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C27F50" w14:textId="2FC987EC" w:rsidR="009732DF" w:rsidRPr="00D74F6E" w:rsidRDefault="009732DF" w:rsidP="009732DF">
      <w:pPr>
        <w:pStyle w:val="Nadpis11"/>
        <w:rPr>
          <w:lang w:val="en-GB"/>
        </w:rPr>
      </w:pPr>
      <w:bookmarkStart w:id="0" w:name="_Toc85106896"/>
      <w:bookmarkStart w:id="1" w:name="_Toc58605374"/>
      <w:bookmarkStart w:id="2" w:name="_Toc66719930"/>
      <w:bookmarkStart w:id="3" w:name="_Toc532558287"/>
      <w:bookmarkStart w:id="4" w:name="_Toc58605375"/>
      <w:r>
        <w:t>3</w:t>
      </w:r>
      <w:r w:rsidRPr="00B43216">
        <w:t>. </w:t>
      </w:r>
      <w:r w:rsidRPr="00D74F6E">
        <w:rPr>
          <w:lang w:val="en-GB"/>
        </w:rPr>
        <w:t>Branches Performance</w:t>
      </w:r>
      <w:bookmarkEnd w:id="0"/>
    </w:p>
    <w:tbl>
      <w:tblPr>
        <w:tblW w:w="9664" w:type="dxa"/>
        <w:tblInd w:w="-30" w:type="dxa"/>
        <w:tblCellMar>
          <w:left w:w="0" w:type="dxa"/>
          <w:right w:w="0" w:type="dxa"/>
        </w:tblCellMar>
        <w:tblLook w:val="00A0" w:firstRow="1" w:lastRow="0" w:firstColumn="1" w:lastColumn="0" w:noHBand="0" w:noVBand="0"/>
      </w:tblPr>
      <w:tblGrid>
        <w:gridCol w:w="1728"/>
        <w:gridCol w:w="206"/>
        <w:gridCol w:w="7730"/>
      </w:tblGrid>
      <w:tr w:rsidR="009732DF" w:rsidRPr="00D74F6E" w14:paraId="77025D20" w14:textId="77777777" w:rsidTr="001144FB">
        <w:trPr>
          <w:trHeight w:val="155"/>
        </w:trPr>
        <w:tc>
          <w:tcPr>
            <w:tcW w:w="1728" w:type="dxa"/>
            <w:shd w:val="clear" w:color="auto" w:fill="auto"/>
            <w:tcMar>
              <w:left w:w="0" w:type="dxa"/>
            </w:tcMar>
          </w:tcPr>
          <w:p w14:paraId="109ADF4E" w14:textId="77777777" w:rsidR="009732DF" w:rsidRPr="00D74F6E" w:rsidRDefault="009732DF" w:rsidP="001144FB">
            <w:pPr>
              <w:pStyle w:val="Marginlie"/>
              <w:rPr>
                <w:lang w:val="en-GB"/>
              </w:rPr>
            </w:pPr>
            <w:r>
              <w:rPr>
                <w:lang w:val="en-GB"/>
              </w:rPr>
              <w:t>Gross value added mildly increased quarter-on-quarter in Q</w:t>
            </w:r>
            <w:r w:rsidRPr="00D74F6E">
              <w:rPr>
                <w:lang w:val="en-GB"/>
              </w:rPr>
              <w:t>2</w:t>
            </w:r>
            <w:r>
              <w:rPr>
                <w:lang w:val="en-GB"/>
              </w:rPr>
              <w:t xml:space="preserve">, mainly thanks to the trade, transportation, accommodation and food service activities. </w:t>
            </w:r>
          </w:p>
        </w:tc>
        <w:tc>
          <w:tcPr>
            <w:tcW w:w="206" w:type="dxa"/>
            <w:shd w:val="clear" w:color="auto" w:fill="auto"/>
            <w:tcMar>
              <w:left w:w="0" w:type="dxa"/>
            </w:tcMar>
          </w:tcPr>
          <w:p w14:paraId="20757281" w14:textId="77777777" w:rsidR="009732DF" w:rsidRPr="00D74F6E" w:rsidRDefault="009732DF" w:rsidP="001144FB">
            <w:pPr>
              <w:pStyle w:val="Textpoznpodarou"/>
              <w:jc w:val="both"/>
              <w:rPr>
                <w:spacing w:val="-4"/>
                <w:lang w:val="en-GB"/>
              </w:rPr>
            </w:pPr>
          </w:p>
        </w:tc>
        <w:tc>
          <w:tcPr>
            <w:tcW w:w="7730" w:type="dxa"/>
            <w:shd w:val="clear" w:color="auto" w:fill="auto"/>
            <w:tcMar>
              <w:left w:w="0" w:type="dxa"/>
            </w:tcMar>
          </w:tcPr>
          <w:p w14:paraId="54B6770F" w14:textId="77777777" w:rsidR="009732DF" w:rsidRPr="00D74F6E" w:rsidRDefault="009732DF" w:rsidP="001144FB">
            <w:pPr>
              <w:spacing w:after="200"/>
              <w:rPr>
                <w:spacing w:val="-4"/>
                <w:lang w:val="en-GB"/>
              </w:rPr>
            </w:pPr>
            <w:r>
              <w:rPr>
                <w:spacing w:val="-4"/>
                <w:lang w:val="en-GB"/>
              </w:rPr>
              <w:t>Considerable improvement of the pandemic situation in this year</w:t>
            </w:r>
            <w:r>
              <w:rPr>
                <w:spacing w:val="-4"/>
                <w:lang w:val="en-US"/>
              </w:rPr>
              <w:t>’s second quarter joined by the gradual loosening of restrictions having part of the economy in clutches led to the expected revival, mainly thanks to the higher household consumption as well as total investment activity. If in Q</w:t>
            </w:r>
            <w:r w:rsidRPr="00D74F6E">
              <w:rPr>
                <w:spacing w:val="-4"/>
                <w:lang w:val="en-GB"/>
              </w:rPr>
              <w:t>1</w:t>
            </w:r>
            <w:r>
              <w:rPr>
                <w:spacing w:val="-4"/>
                <w:lang w:val="en-GB"/>
              </w:rPr>
              <w:t xml:space="preserve"> </w:t>
            </w:r>
            <w:r w:rsidRPr="00D74F6E">
              <w:rPr>
                <w:spacing w:val="-4"/>
                <w:lang w:val="en-GB"/>
              </w:rPr>
              <w:t>2021</w:t>
            </w:r>
            <w:r>
              <w:rPr>
                <w:spacing w:val="-4"/>
                <w:lang w:val="en-GB"/>
              </w:rPr>
              <w:t xml:space="preserve"> the gross value added </w:t>
            </w:r>
            <w:r w:rsidRPr="00D74F6E">
              <w:rPr>
                <w:spacing w:val="-4"/>
                <w:lang w:val="en-GB"/>
              </w:rPr>
              <w:t>(</w:t>
            </w:r>
            <w:r>
              <w:rPr>
                <w:spacing w:val="-4"/>
                <w:lang w:val="en-GB"/>
              </w:rPr>
              <w:t>GVA</w:t>
            </w:r>
            <w:r w:rsidRPr="00D74F6E">
              <w:rPr>
                <w:spacing w:val="-4"/>
                <w:lang w:val="en-GB"/>
              </w:rPr>
              <w:t>)</w:t>
            </w:r>
            <w:r w:rsidRPr="00D74F6E">
              <w:rPr>
                <w:rStyle w:val="Znakapoznpodarou"/>
                <w:spacing w:val="-4"/>
                <w:lang w:val="en-GB"/>
              </w:rPr>
              <w:footnoteReference w:id="1"/>
            </w:r>
            <w:r>
              <w:rPr>
                <w:spacing w:val="-4"/>
                <w:lang w:val="en-GB"/>
              </w:rPr>
              <w:t xml:space="preserve"> fell quarter-on-quarter by </w:t>
            </w:r>
            <w:r w:rsidRPr="00D74F6E">
              <w:rPr>
                <w:spacing w:val="-4"/>
                <w:lang w:val="en-GB"/>
              </w:rPr>
              <w:t>0</w:t>
            </w:r>
            <w:r>
              <w:rPr>
                <w:spacing w:val="-4"/>
                <w:lang w:val="en-GB"/>
              </w:rPr>
              <w:t>.</w:t>
            </w:r>
            <w:r w:rsidRPr="00D74F6E">
              <w:rPr>
                <w:spacing w:val="-4"/>
                <w:lang w:val="en-GB"/>
              </w:rPr>
              <w:t>4%</w:t>
            </w:r>
            <w:r>
              <w:rPr>
                <w:spacing w:val="-4"/>
                <w:lang w:val="en-GB"/>
              </w:rPr>
              <w:t xml:space="preserve"> in the domestic economy</w:t>
            </w:r>
            <w:r w:rsidRPr="00D74F6E">
              <w:rPr>
                <w:spacing w:val="-4"/>
                <w:lang w:val="en-GB"/>
              </w:rPr>
              <w:t xml:space="preserve">, </w:t>
            </w:r>
            <w:r>
              <w:rPr>
                <w:spacing w:val="-4"/>
                <w:lang w:val="en-GB"/>
              </w:rPr>
              <w:t xml:space="preserve">it already recorded </w:t>
            </w:r>
            <w:r w:rsidRPr="00D74F6E">
              <w:rPr>
                <w:spacing w:val="-4"/>
                <w:lang w:val="en-GB"/>
              </w:rPr>
              <w:t>0</w:t>
            </w:r>
            <w:r>
              <w:rPr>
                <w:spacing w:val="-4"/>
                <w:lang w:val="en-GB"/>
              </w:rPr>
              <w:t>.</w:t>
            </w:r>
            <w:r w:rsidRPr="00D74F6E">
              <w:rPr>
                <w:spacing w:val="-4"/>
                <w:lang w:val="en-GB"/>
              </w:rPr>
              <w:t xml:space="preserve">7 </w:t>
            </w:r>
            <w:r>
              <w:rPr>
                <w:spacing w:val="-4"/>
                <w:lang w:val="en-GB"/>
              </w:rPr>
              <w:t>growth in the subsequent period</w:t>
            </w:r>
            <w:r w:rsidRPr="00D74F6E">
              <w:rPr>
                <w:spacing w:val="-4"/>
                <w:lang w:val="en-GB"/>
              </w:rPr>
              <w:t xml:space="preserve">. </w:t>
            </w:r>
            <w:r>
              <w:rPr>
                <w:spacing w:val="-4"/>
                <w:lang w:val="en-GB"/>
              </w:rPr>
              <w:t>Similarly to the whole EU, where however the recovery was more dynamic during Q2 (1.9%), the wider industry group of activities trade, transportation, accommodation and food service also played a key role in the CR in this turnaround</w:t>
            </w:r>
            <w:r w:rsidRPr="00D74F6E">
              <w:rPr>
                <w:spacing w:val="-4"/>
                <w:lang w:val="en-GB"/>
              </w:rPr>
              <w:t xml:space="preserve">. </w:t>
            </w:r>
            <w:r>
              <w:rPr>
                <w:spacing w:val="-4"/>
                <w:lang w:val="en-GB"/>
              </w:rPr>
              <w:t xml:space="preserve">Even though the vast majority of main activities registered at least a slow growth, the total GVA still significantly fell behind </w:t>
            </w:r>
            <w:r w:rsidRPr="00D74F6E">
              <w:rPr>
                <w:spacing w:val="-4"/>
                <w:lang w:val="en-GB"/>
              </w:rPr>
              <w:t>(</w:t>
            </w:r>
            <w:r>
              <w:rPr>
                <w:spacing w:val="-4"/>
                <w:lang w:val="en-GB"/>
              </w:rPr>
              <w:t xml:space="preserve">by </w:t>
            </w:r>
            <w:r w:rsidRPr="00D74F6E">
              <w:rPr>
                <w:spacing w:val="-4"/>
                <w:lang w:val="en-GB"/>
              </w:rPr>
              <w:t>3</w:t>
            </w:r>
            <w:r>
              <w:rPr>
                <w:spacing w:val="-4"/>
                <w:lang w:val="en-GB"/>
              </w:rPr>
              <w:t>.</w:t>
            </w:r>
            <w:r w:rsidRPr="00D74F6E">
              <w:rPr>
                <w:spacing w:val="-4"/>
                <w:lang w:val="en-GB"/>
              </w:rPr>
              <w:t>6%)</w:t>
            </w:r>
            <w:r w:rsidRPr="00D74F6E">
              <w:rPr>
                <w:rStyle w:val="Znakapoznpodarou"/>
                <w:spacing w:val="-4"/>
                <w:lang w:val="en-GB"/>
              </w:rPr>
              <w:footnoteReference w:id="2"/>
            </w:r>
            <w:r>
              <w:rPr>
                <w:spacing w:val="-4"/>
                <w:lang w:val="en-GB"/>
              </w:rPr>
              <w:t xml:space="preserve"> its pre-crisis maximum (from Q4 2019) for now. </w:t>
            </w:r>
          </w:p>
        </w:tc>
      </w:tr>
      <w:tr w:rsidR="009732DF" w:rsidRPr="006237E6" w14:paraId="799AA3C3" w14:textId="77777777" w:rsidTr="001144FB">
        <w:trPr>
          <w:trHeight w:val="155"/>
        </w:trPr>
        <w:tc>
          <w:tcPr>
            <w:tcW w:w="1728" w:type="dxa"/>
            <w:shd w:val="clear" w:color="auto" w:fill="auto"/>
            <w:tcMar>
              <w:left w:w="0" w:type="dxa"/>
            </w:tcMar>
          </w:tcPr>
          <w:p w14:paraId="30BB9D4C" w14:textId="77777777" w:rsidR="009732DF" w:rsidRPr="00AC1909" w:rsidRDefault="009732DF" w:rsidP="001144FB">
            <w:pPr>
              <w:pStyle w:val="Marginlie"/>
              <w:rPr>
                <w:lang w:val="en-GB"/>
              </w:rPr>
            </w:pPr>
            <w:r w:rsidRPr="00AC1909">
              <w:rPr>
                <w:lang w:val="en-GB"/>
              </w:rPr>
              <w:t xml:space="preserve">The GVA was placed nearly 4% lower this year compared </w:t>
            </w:r>
            <w:r>
              <w:rPr>
                <w:lang w:val="en-GB"/>
              </w:rPr>
              <w:t xml:space="preserve">to </w:t>
            </w:r>
            <w:r w:rsidRPr="00AC1909">
              <w:rPr>
                <w:lang w:val="en-GB"/>
              </w:rPr>
              <w:t>H1 2019.</w:t>
            </w:r>
          </w:p>
          <w:p w14:paraId="288E2C13" w14:textId="77777777" w:rsidR="009732DF" w:rsidRPr="00AC1909" w:rsidRDefault="009732DF" w:rsidP="001144FB">
            <w:pPr>
              <w:pStyle w:val="Marginlie"/>
              <w:rPr>
                <w:lang w:val="en-GB"/>
              </w:rPr>
            </w:pPr>
          </w:p>
          <w:p w14:paraId="713DA8F8" w14:textId="77777777" w:rsidR="009732DF" w:rsidRPr="00AC1909" w:rsidRDefault="009732DF" w:rsidP="001144FB">
            <w:pPr>
              <w:pStyle w:val="Marginlie"/>
              <w:rPr>
                <w:lang w:val="en-GB"/>
              </w:rPr>
            </w:pPr>
          </w:p>
          <w:p w14:paraId="65882AA7" w14:textId="77777777" w:rsidR="009732DF" w:rsidRPr="00AC1909" w:rsidRDefault="009732DF" w:rsidP="001144FB">
            <w:pPr>
              <w:pStyle w:val="Marginlie"/>
              <w:rPr>
                <w:lang w:val="en-GB"/>
              </w:rPr>
            </w:pPr>
          </w:p>
          <w:p w14:paraId="33D92C8C" w14:textId="77777777" w:rsidR="009732DF" w:rsidRPr="00AC1909" w:rsidRDefault="009732DF" w:rsidP="001144FB">
            <w:pPr>
              <w:pStyle w:val="Marginlie"/>
              <w:rPr>
                <w:spacing w:val="-4"/>
                <w:lang w:val="en-GB"/>
              </w:rPr>
            </w:pPr>
            <w:r>
              <w:rPr>
                <w:spacing w:val="-4"/>
                <w:lang w:val="en-GB"/>
              </w:rPr>
              <w:t xml:space="preserve">Branches, which were practically unaffected by the pandemic situation, produced nearly one third of the output of the total economy. </w:t>
            </w:r>
          </w:p>
          <w:p w14:paraId="2D8ED592" w14:textId="77777777" w:rsidR="009732DF" w:rsidRPr="00AC1909" w:rsidRDefault="009732DF" w:rsidP="001144FB">
            <w:pPr>
              <w:pStyle w:val="Marginlie"/>
              <w:rPr>
                <w:spacing w:val="-4"/>
                <w:lang w:val="en-GB"/>
              </w:rPr>
            </w:pPr>
          </w:p>
          <w:p w14:paraId="5BA40C4B" w14:textId="77777777" w:rsidR="009732DF" w:rsidRPr="00AC1909" w:rsidRDefault="009732DF" w:rsidP="001144FB">
            <w:pPr>
              <w:pStyle w:val="Marginlie"/>
              <w:rPr>
                <w:spacing w:val="-4"/>
                <w:lang w:val="en-GB"/>
              </w:rPr>
            </w:pPr>
          </w:p>
          <w:p w14:paraId="3F78734F" w14:textId="77777777" w:rsidR="009732DF" w:rsidRPr="00AC1909" w:rsidRDefault="009732DF" w:rsidP="001144FB">
            <w:pPr>
              <w:pStyle w:val="Marginlie"/>
              <w:rPr>
                <w:spacing w:val="-4"/>
                <w:lang w:val="en-GB"/>
              </w:rPr>
            </w:pPr>
          </w:p>
          <w:p w14:paraId="0AEC8448" w14:textId="77777777" w:rsidR="009732DF" w:rsidRPr="00AC1909" w:rsidRDefault="009732DF" w:rsidP="001144FB">
            <w:pPr>
              <w:pStyle w:val="Marginlie"/>
              <w:rPr>
                <w:spacing w:val="-4"/>
                <w:lang w:val="en-GB"/>
              </w:rPr>
            </w:pPr>
            <w:r>
              <w:rPr>
                <w:spacing w:val="-4"/>
                <w:lang w:val="en-GB"/>
              </w:rPr>
              <w:t>Production dived more than the value added in some branches for two years.</w:t>
            </w:r>
          </w:p>
        </w:tc>
        <w:tc>
          <w:tcPr>
            <w:tcW w:w="206" w:type="dxa"/>
            <w:shd w:val="clear" w:color="auto" w:fill="auto"/>
            <w:tcMar>
              <w:left w:w="0" w:type="dxa"/>
            </w:tcMar>
          </w:tcPr>
          <w:p w14:paraId="2E9B64D2" w14:textId="77777777" w:rsidR="009732DF" w:rsidRPr="00AC1909" w:rsidRDefault="009732DF" w:rsidP="001144FB">
            <w:pPr>
              <w:pStyle w:val="Textpoznpodarou"/>
              <w:jc w:val="both"/>
              <w:rPr>
                <w:spacing w:val="-4"/>
                <w:lang w:val="en-GB"/>
              </w:rPr>
            </w:pPr>
          </w:p>
        </w:tc>
        <w:tc>
          <w:tcPr>
            <w:tcW w:w="7730" w:type="dxa"/>
            <w:shd w:val="clear" w:color="auto" w:fill="auto"/>
            <w:tcMar>
              <w:left w:w="0" w:type="dxa"/>
            </w:tcMar>
          </w:tcPr>
          <w:p w14:paraId="1A779BA4" w14:textId="77777777" w:rsidR="009732DF" w:rsidRPr="00AC1909" w:rsidRDefault="009732DF" w:rsidP="001144FB">
            <w:pPr>
              <w:spacing w:after="200"/>
              <w:rPr>
                <w:spacing w:val="-4"/>
                <w:lang w:val="en-GB"/>
              </w:rPr>
            </w:pPr>
            <w:r w:rsidRPr="00AC1909">
              <w:rPr>
                <w:spacing w:val="-4"/>
                <w:lang w:val="en-GB"/>
              </w:rPr>
              <w:t>The GVA went up by</w:t>
            </w:r>
            <w:r>
              <w:rPr>
                <w:spacing w:val="-4"/>
                <w:lang w:val="en-GB"/>
              </w:rPr>
              <w:t xml:space="preserve"> </w:t>
            </w:r>
            <w:r w:rsidRPr="00AC1909">
              <w:rPr>
                <w:spacing w:val="-4"/>
                <w:lang w:val="en-GB"/>
              </w:rPr>
              <w:t>2.7% year-on-year in H1 2021, in that by</w:t>
            </w:r>
            <w:r>
              <w:rPr>
                <w:spacing w:val="-4"/>
                <w:lang w:val="en-GB"/>
              </w:rPr>
              <w:t xml:space="preserve"> </w:t>
            </w:r>
            <w:r w:rsidRPr="00AC1909">
              <w:rPr>
                <w:spacing w:val="-4"/>
                <w:lang w:val="en-GB"/>
              </w:rPr>
              <w:t xml:space="preserve">8.4% in Q2 itself. </w:t>
            </w:r>
            <w:r>
              <w:rPr>
                <w:spacing w:val="-4"/>
                <w:lang w:val="en-GB"/>
              </w:rPr>
              <w:t xml:space="preserve">For the large part however it is the effect of low last year basis, primarily due to the slump of output in branch trade, activities tied to tourism and also in manufacturing. The total GVA thus lost nearly </w:t>
            </w:r>
            <w:r w:rsidRPr="00AC1909">
              <w:rPr>
                <w:spacing w:val="-4"/>
                <w:lang w:val="en-GB"/>
              </w:rPr>
              <w:t>4%</w:t>
            </w:r>
            <w:r>
              <w:rPr>
                <w:spacing w:val="-4"/>
                <w:lang w:val="en-GB"/>
              </w:rPr>
              <w:t xml:space="preserve"> compared to H1 2019 this year</w:t>
            </w:r>
            <w:r w:rsidRPr="00AC1909">
              <w:rPr>
                <w:spacing w:val="-4"/>
                <w:lang w:val="en-GB"/>
              </w:rPr>
              <w:t xml:space="preserve">, </w:t>
            </w:r>
            <w:r>
              <w:rPr>
                <w:spacing w:val="-4"/>
                <w:lang w:val="en-GB"/>
              </w:rPr>
              <w:t>nearly twice as much then in the branch professional, scientific, technical and administrative activities itself</w:t>
            </w:r>
            <w:r w:rsidRPr="00AC1909">
              <w:rPr>
                <w:spacing w:val="-4"/>
                <w:lang w:val="en-GB"/>
              </w:rPr>
              <w:t>.</w:t>
            </w:r>
            <w:r>
              <w:rPr>
                <w:spacing w:val="-4"/>
                <w:lang w:val="en-GB"/>
              </w:rPr>
              <w:t xml:space="preserve"> Construction was hit by even larger slump </w:t>
            </w:r>
            <w:r w:rsidRPr="00AC1909">
              <w:rPr>
                <w:lang w:val="en-GB"/>
              </w:rPr>
              <w:t>(</w:t>
            </w:r>
            <w:r w:rsidRPr="00AC1909">
              <w:rPr>
                <w:spacing w:val="-5"/>
                <w:lang w:val="en-GB"/>
              </w:rPr>
              <w:t>–</w:t>
            </w:r>
            <w:r w:rsidRPr="00AC1909">
              <w:rPr>
                <w:lang w:val="en-GB"/>
              </w:rPr>
              <w:t>10</w:t>
            </w:r>
            <w:r>
              <w:rPr>
                <w:lang w:val="en-GB"/>
              </w:rPr>
              <w:t>.</w:t>
            </w:r>
            <w:r w:rsidRPr="00AC1909">
              <w:rPr>
                <w:lang w:val="en-GB"/>
              </w:rPr>
              <w:t>1%)</w:t>
            </w:r>
            <w:r>
              <w:rPr>
                <w:lang w:val="en-GB"/>
              </w:rPr>
              <w:t xml:space="preserve"> and especially the group of activities trade, transportation, accommodation and food service </w:t>
            </w:r>
            <w:r w:rsidRPr="00AC1909">
              <w:rPr>
                <w:lang w:val="en-GB"/>
              </w:rPr>
              <w:t>(</w:t>
            </w:r>
            <w:r w:rsidRPr="00AC1909">
              <w:rPr>
                <w:spacing w:val="-5"/>
                <w:lang w:val="en-GB"/>
              </w:rPr>
              <w:t>–</w:t>
            </w:r>
            <w:r w:rsidRPr="00AC1909">
              <w:rPr>
                <w:lang w:val="en-GB"/>
              </w:rPr>
              <w:t>14</w:t>
            </w:r>
            <w:r>
              <w:rPr>
                <w:lang w:val="en-GB"/>
              </w:rPr>
              <w:t>.</w:t>
            </w:r>
            <w:r w:rsidRPr="00AC1909">
              <w:rPr>
                <w:lang w:val="en-GB"/>
              </w:rPr>
              <w:t>1%),</w:t>
            </w:r>
            <w:r w:rsidRPr="00AC1909">
              <w:rPr>
                <w:spacing w:val="-4"/>
                <w:lang w:val="en-GB"/>
              </w:rPr>
              <w:t xml:space="preserve"> </w:t>
            </w:r>
            <w:r>
              <w:rPr>
                <w:spacing w:val="-4"/>
                <w:lang w:val="en-GB"/>
              </w:rPr>
              <w:t xml:space="preserve">whose output returned down to the level of year </w:t>
            </w:r>
            <w:r w:rsidRPr="00AC1909">
              <w:rPr>
                <w:spacing w:val="-4"/>
                <w:lang w:val="en-GB"/>
              </w:rPr>
              <w:t xml:space="preserve">2016. </w:t>
            </w:r>
            <w:r>
              <w:rPr>
                <w:spacing w:val="-4"/>
                <w:lang w:val="en-GB"/>
              </w:rPr>
              <w:t>Some branches were not nevertheless immediately greatly affected during the pandemics</w:t>
            </w:r>
            <w:r w:rsidRPr="00AC1909">
              <w:rPr>
                <w:spacing w:val="-4"/>
                <w:lang w:val="en-GB"/>
              </w:rPr>
              <w:t xml:space="preserve">, </w:t>
            </w:r>
            <w:r>
              <w:rPr>
                <w:spacing w:val="-4"/>
                <w:lang w:val="en-GB"/>
              </w:rPr>
              <w:t>eventually their role was even strengthened in this time period</w:t>
            </w:r>
            <w:r w:rsidRPr="00AC1909">
              <w:rPr>
                <w:rStyle w:val="Znakapoznpodarou"/>
                <w:spacing w:val="-5"/>
                <w:lang w:val="en-GB"/>
              </w:rPr>
              <w:footnoteReference w:id="3"/>
            </w:r>
            <w:r w:rsidRPr="00AC1909">
              <w:rPr>
                <w:spacing w:val="-5"/>
                <w:lang w:val="en-GB"/>
              </w:rPr>
              <w:t>.</w:t>
            </w:r>
            <w:r>
              <w:rPr>
                <w:spacing w:val="-5"/>
                <w:lang w:val="en-GB"/>
              </w:rPr>
              <w:t xml:space="preserve"> </w:t>
            </w:r>
            <w:r w:rsidRPr="00AC1909">
              <w:rPr>
                <w:spacing w:val="-5"/>
                <w:lang w:val="en-GB"/>
              </w:rPr>
              <w:t xml:space="preserve"> </w:t>
            </w:r>
            <w:r>
              <w:rPr>
                <w:spacing w:val="-5"/>
                <w:lang w:val="en-GB"/>
              </w:rPr>
              <w:t>The GVA thus increased by one eighth in agriculture, forestry and fishing for the two years, nearly by one tenth in financial and insurance activities. Growth was substantial also in industries with strong role of the public sector</w:t>
            </w:r>
            <w:r w:rsidRPr="00AC1909">
              <w:rPr>
                <w:rStyle w:val="Znakapoznpodarou"/>
                <w:spacing w:val="-5"/>
                <w:lang w:val="en-GB"/>
              </w:rPr>
              <w:footnoteReference w:id="4"/>
            </w:r>
            <w:r w:rsidRPr="00AC1909">
              <w:rPr>
                <w:spacing w:val="-5"/>
                <w:lang w:val="en-GB"/>
              </w:rPr>
              <w:t xml:space="preserve"> (3</w:t>
            </w:r>
            <w:r>
              <w:rPr>
                <w:spacing w:val="-5"/>
                <w:lang w:val="en-GB"/>
              </w:rPr>
              <w:t>.</w:t>
            </w:r>
            <w:r w:rsidRPr="00AC1909">
              <w:rPr>
                <w:spacing w:val="-5"/>
                <w:lang w:val="en-GB"/>
              </w:rPr>
              <w:t>9%) a</w:t>
            </w:r>
            <w:r>
              <w:rPr>
                <w:spacing w:val="-5"/>
                <w:lang w:val="en-GB"/>
              </w:rPr>
              <w:t xml:space="preserve">nd also in information and communication </w:t>
            </w:r>
            <w:r w:rsidRPr="00AC1909">
              <w:rPr>
                <w:spacing w:val="-5"/>
                <w:lang w:val="en-GB"/>
              </w:rPr>
              <w:t>(6</w:t>
            </w:r>
            <w:r>
              <w:rPr>
                <w:spacing w:val="-5"/>
                <w:lang w:val="en-GB"/>
              </w:rPr>
              <w:t>.</w:t>
            </w:r>
            <w:r w:rsidRPr="00AC1909">
              <w:rPr>
                <w:spacing w:val="-5"/>
                <w:lang w:val="en-GB"/>
              </w:rPr>
              <w:t>5%) – t</w:t>
            </w:r>
            <w:r>
              <w:rPr>
                <w:spacing w:val="-5"/>
                <w:lang w:val="en-GB"/>
              </w:rPr>
              <w:t>hese belonged to the most occupied during the pandemics, as also evident by the number of hours worked</w:t>
            </w:r>
            <w:r w:rsidRPr="00AC1909">
              <w:rPr>
                <w:rStyle w:val="Znakapoznpodarou"/>
                <w:spacing w:val="-5"/>
                <w:lang w:val="en-GB"/>
              </w:rPr>
              <w:footnoteReference w:id="5"/>
            </w:r>
            <w:r w:rsidRPr="00AC1909">
              <w:rPr>
                <w:spacing w:val="-5"/>
                <w:lang w:val="en-GB"/>
              </w:rPr>
              <w:t xml:space="preserve">, </w:t>
            </w:r>
            <w:r>
              <w:rPr>
                <w:spacing w:val="-5"/>
                <w:lang w:val="en-GB"/>
              </w:rPr>
              <w:t xml:space="preserve">which hiked up by </w:t>
            </w:r>
            <w:r w:rsidRPr="00AC1909">
              <w:rPr>
                <w:spacing w:val="-5"/>
                <w:lang w:val="en-GB"/>
              </w:rPr>
              <w:t>12</w:t>
            </w:r>
            <w:r>
              <w:rPr>
                <w:spacing w:val="-5"/>
                <w:lang w:val="en-GB"/>
              </w:rPr>
              <w:t>.</w:t>
            </w:r>
            <w:r w:rsidRPr="00AC1909">
              <w:rPr>
                <w:spacing w:val="-5"/>
                <w:lang w:val="en-GB"/>
              </w:rPr>
              <w:t>1%</w:t>
            </w:r>
            <w:r>
              <w:rPr>
                <w:spacing w:val="-5"/>
                <w:lang w:val="en-GB"/>
              </w:rPr>
              <w:t xml:space="preserve"> here for the two years</w:t>
            </w:r>
            <w:r w:rsidRPr="00AC1909">
              <w:rPr>
                <w:spacing w:val="-5"/>
                <w:lang w:val="en-GB"/>
              </w:rPr>
              <w:t xml:space="preserve">. </w:t>
            </w:r>
            <w:r>
              <w:rPr>
                <w:spacing w:val="-5"/>
                <w:lang w:val="en-GB"/>
              </w:rPr>
              <w:t>In contrast was for example the development in industry of other services</w:t>
            </w:r>
            <w:r w:rsidRPr="00AC1909">
              <w:rPr>
                <w:rStyle w:val="Znakapoznpodarou"/>
                <w:spacing w:val="-4"/>
                <w:lang w:val="en-GB"/>
              </w:rPr>
              <w:footnoteReference w:id="6"/>
            </w:r>
            <w:r w:rsidRPr="00AC1909">
              <w:rPr>
                <w:spacing w:val="-5"/>
                <w:lang w:val="en-GB"/>
              </w:rPr>
              <w:t xml:space="preserve">, </w:t>
            </w:r>
            <w:r>
              <w:rPr>
                <w:spacing w:val="-5"/>
                <w:lang w:val="en-GB"/>
              </w:rPr>
              <w:t xml:space="preserve">where the time worked plunged by </w:t>
            </w:r>
            <w:r w:rsidRPr="00AC1909">
              <w:rPr>
                <w:spacing w:val="-5"/>
                <w:lang w:val="en-GB"/>
              </w:rPr>
              <w:t>22</w:t>
            </w:r>
            <w:r>
              <w:rPr>
                <w:spacing w:val="-5"/>
                <w:lang w:val="en-GB"/>
              </w:rPr>
              <w:t>.</w:t>
            </w:r>
            <w:r w:rsidRPr="00AC1909">
              <w:rPr>
                <w:spacing w:val="-5"/>
                <w:lang w:val="en-GB"/>
              </w:rPr>
              <w:t>8%. C</w:t>
            </w:r>
            <w:r>
              <w:rPr>
                <w:spacing w:val="-5"/>
                <w:lang w:val="en-GB"/>
              </w:rPr>
              <w:t xml:space="preserve">onsiderable slump of output or rather sales was here apparently partially compensated also by lower intermediate consumption. Because the GVA lowered “only” by </w:t>
            </w:r>
            <w:r w:rsidRPr="00AC1909">
              <w:rPr>
                <w:spacing w:val="-5"/>
                <w:lang w:val="en-GB"/>
              </w:rPr>
              <w:t>4</w:t>
            </w:r>
            <w:r>
              <w:rPr>
                <w:spacing w:val="-5"/>
                <w:lang w:val="en-GB"/>
              </w:rPr>
              <w:t>.</w:t>
            </w:r>
            <w:r w:rsidRPr="00AC1909">
              <w:rPr>
                <w:spacing w:val="-5"/>
                <w:lang w:val="en-GB"/>
              </w:rPr>
              <w:t>5%</w:t>
            </w:r>
            <w:r>
              <w:rPr>
                <w:spacing w:val="-5"/>
                <w:lang w:val="en-GB"/>
              </w:rPr>
              <w:t xml:space="preserve"> in this branch for comparable period</w:t>
            </w:r>
            <w:r w:rsidRPr="00AC1909">
              <w:rPr>
                <w:spacing w:val="-5"/>
                <w:lang w:val="en-GB"/>
              </w:rPr>
              <w:t xml:space="preserve">. </w:t>
            </w:r>
            <w:r>
              <w:rPr>
                <w:spacing w:val="-5"/>
                <w:lang w:val="en-GB"/>
              </w:rPr>
              <w:t xml:space="preserve">The situation was different in the primary sector of the economy or in financial service, where the growth of value added occurred even when accompanied by decrease of hours worked in the last two years </w:t>
            </w:r>
            <w:r w:rsidRPr="00AC1909">
              <w:rPr>
                <w:spacing w:val="-5"/>
                <w:lang w:val="en-GB"/>
              </w:rPr>
              <w:t>(</w:t>
            </w:r>
            <w:r>
              <w:rPr>
                <w:spacing w:val="-5"/>
                <w:lang w:val="en-GB"/>
              </w:rPr>
              <w:t xml:space="preserve">by </w:t>
            </w:r>
            <w:r w:rsidRPr="00AC1909">
              <w:rPr>
                <w:spacing w:val="-5"/>
                <w:lang w:val="en-GB"/>
              </w:rPr>
              <w:t>1</w:t>
            </w:r>
            <w:r>
              <w:rPr>
                <w:spacing w:val="-5"/>
                <w:lang w:val="en-GB"/>
              </w:rPr>
              <w:t>.</w:t>
            </w:r>
            <w:r w:rsidRPr="00AC1909">
              <w:rPr>
                <w:spacing w:val="-5"/>
                <w:lang w:val="en-GB"/>
              </w:rPr>
              <w:t>4%</w:t>
            </w:r>
            <w:r>
              <w:rPr>
                <w:spacing w:val="-5"/>
                <w:lang w:val="en-GB"/>
              </w:rPr>
              <w:t xml:space="preserve"> and</w:t>
            </w:r>
            <w:r w:rsidRPr="00AC1909">
              <w:rPr>
                <w:spacing w:val="-5"/>
                <w:lang w:val="en-GB"/>
              </w:rPr>
              <w:t xml:space="preserve"> 5</w:t>
            </w:r>
            <w:r>
              <w:rPr>
                <w:spacing w:val="-5"/>
                <w:lang w:val="en-GB"/>
              </w:rPr>
              <w:t>.</w:t>
            </w:r>
            <w:r w:rsidRPr="00AC1909">
              <w:rPr>
                <w:spacing w:val="-5"/>
                <w:lang w:val="en-GB"/>
              </w:rPr>
              <w:t>3%</w:t>
            </w:r>
            <w:r>
              <w:rPr>
                <w:spacing w:val="-5"/>
                <w:lang w:val="en-GB"/>
              </w:rPr>
              <w:t>, respectively</w:t>
            </w:r>
            <w:r w:rsidRPr="00AC1909">
              <w:rPr>
                <w:spacing w:val="-5"/>
                <w:lang w:val="en-GB"/>
              </w:rPr>
              <w:t>).</w:t>
            </w:r>
          </w:p>
        </w:tc>
      </w:tr>
      <w:tr w:rsidR="009732DF" w:rsidRPr="006237E6" w14:paraId="1939F864" w14:textId="77777777" w:rsidTr="001144FB">
        <w:trPr>
          <w:trHeight w:val="155"/>
        </w:trPr>
        <w:tc>
          <w:tcPr>
            <w:tcW w:w="1728" w:type="dxa"/>
            <w:shd w:val="clear" w:color="auto" w:fill="auto"/>
            <w:tcMar>
              <w:left w:w="0" w:type="dxa"/>
            </w:tcMar>
          </w:tcPr>
          <w:p w14:paraId="3C897117" w14:textId="77777777" w:rsidR="009732DF" w:rsidRPr="00DA328B" w:rsidRDefault="009732DF" w:rsidP="001144FB">
            <w:pPr>
              <w:pStyle w:val="Marginlie"/>
              <w:rPr>
                <w:lang w:val="en-GB"/>
              </w:rPr>
            </w:pPr>
            <w:r>
              <w:rPr>
                <w:lang w:val="en-GB"/>
              </w:rPr>
              <w:t xml:space="preserve">Industrial output increased by </w:t>
            </w:r>
            <w:r w:rsidRPr="00DA328B">
              <w:rPr>
                <w:lang w:val="en-GB"/>
              </w:rPr>
              <w:t>0</w:t>
            </w:r>
            <w:r>
              <w:rPr>
                <w:lang w:val="en-GB"/>
              </w:rPr>
              <w:t>.</w:t>
            </w:r>
            <w:r w:rsidRPr="00DA328B">
              <w:rPr>
                <w:lang w:val="en-GB"/>
              </w:rPr>
              <w:t>9%</w:t>
            </w:r>
            <w:r>
              <w:rPr>
                <w:lang w:val="en-GB"/>
              </w:rPr>
              <w:t xml:space="preserve"> in Q2</w:t>
            </w:r>
            <w:r w:rsidRPr="00DA328B">
              <w:rPr>
                <w:lang w:val="en-GB"/>
              </w:rPr>
              <w:t>, when it benefited from the fast revival of demand in develope</w:t>
            </w:r>
            <w:r>
              <w:rPr>
                <w:lang w:val="en-GB"/>
              </w:rPr>
              <w:t>d</w:t>
            </w:r>
            <w:r w:rsidRPr="00DA328B">
              <w:rPr>
                <w:lang w:val="en-GB"/>
              </w:rPr>
              <w:t xml:space="preserve"> economies. </w:t>
            </w:r>
          </w:p>
          <w:p w14:paraId="7FC465EE" w14:textId="77777777" w:rsidR="009732DF" w:rsidRPr="00DA328B" w:rsidRDefault="009732DF" w:rsidP="001144FB">
            <w:pPr>
              <w:pStyle w:val="Marginlie"/>
              <w:rPr>
                <w:lang w:val="en-GB"/>
              </w:rPr>
            </w:pPr>
          </w:p>
          <w:p w14:paraId="2C874EDA" w14:textId="77777777" w:rsidR="009732DF" w:rsidRPr="00DA328B" w:rsidRDefault="009732DF" w:rsidP="001144FB">
            <w:pPr>
              <w:pStyle w:val="Marginlie"/>
              <w:rPr>
                <w:lang w:val="en-GB"/>
              </w:rPr>
            </w:pPr>
          </w:p>
          <w:p w14:paraId="5DE8D08B" w14:textId="77777777" w:rsidR="009732DF" w:rsidRPr="00DA328B" w:rsidRDefault="009732DF" w:rsidP="001144FB">
            <w:pPr>
              <w:pStyle w:val="Marginlie"/>
              <w:rPr>
                <w:lang w:val="en-GB"/>
              </w:rPr>
            </w:pPr>
            <w:r>
              <w:rPr>
                <w:lang w:val="en-GB"/>
              </w:rPr>
              <w:t xml:space="preserve">It however simultaneously led to the overstraining of production and supplier chains with an adverse </w:t>
            </w:r>
            <w:r>
              <w:rPr>
                <w:lang w:val="en-GB"/>
              </w:rPr>
              <w:lastRenderedPageBreak/>
              <w:t xml:space="preserve">impact on the continuity of production as well as the development of prices of production. </w:t>
            </w:r>
          </w:p>
        </w:tc>
        <w:tc>
          <w:tcPr>
            <w:tcW w:w="206" w:type="dxa"/>
            <w:shd w:val="clear" w:color="auto" w:fill="auto"/>
            <w:tcMar>
              <w:left w:w="0" w:type="dxa"/>
            </w:tcMar>
          </w:tcPr>
          <w:p w14:paraId="47954C0C" w14:textId="77777777" w:rsidR="009732DF" w:rsidRPr="00DA328B" w:rsidRDefault="009732DF" w:rsidP="001144FB">
            <w:pPr>
              <w:pStyle w:val="Textpoznpodarou"/>
              <w:jc w:val="both"/>
              <w:rPr>
                <w:spacing w:val="-4"/>
                <w:lang w:val="en-GB"/>
              </w:rPr>
            </w:pPr>
          </w:p>
        </w:tc>
        <w:tc>
          <w:tcPr>
            <w:tcW w:w="7730" w:type="dxa"/>
            <w:shd w:val="clear" w:color="auto" w:fill="auto"/>
            <w:tcMar>
              <w:left w:w="0" w:type="dxa"/>
            </w:tcMar>
          </w:tcPr>
          <w:p w14:paraId="4593433F" w14:textId="77777777" w:rsidR="009732DF" w:rsidRDefault="009732DF" w:rsidP="001144FB">
            <w:pPr>
              <w:spacing w:after="0"/>
              <w:rPr>
                <w:color w:val="0D0D0D" w:themeColor="text1" w:themeTint="F2"/>
                <w:spacing w:val="-3"/>
                <w:lang w:val="en-GB"/>
              </w:rPr>
            </w:pPr>
            <w:r w:rsidRPr="007C02DA">
              <w:rPr>
                <w:spacing w:val="-4"/>
                <w:lang w:val="en-GB"/>
              </w:rPr>
              <w:t xml:space="preserve">Industry also contributed to the total economic revival in the CR in Q2 this year, as also confirmed by the more detailed data from the business statistics. </w:t>
            </w:r>
            <w:r w:rsidRPr="007C02DA">
              <w:rPr>
                <w:color w:val="0D0D0D" w:themeColor="text1" w:themeTint="F2"/>
                <w:spacing w:val="-4"/>
                <w:lang w:val="en-GB"/>
              </w:rPr>
              <w:t>Industrial output</w:t>
            </w:r>
            <w:r w:rsidRPr="007C02DA">
              <w:rPr>
                <w:color w:val="0D0D0D" w:themeColor="text1" w:themeTint="F2"/>
                <w:spacing w:val="-3"/>
                <w:vertAlign w:val="superscript"/>
                <w:lang w:val="en-GB"/>
              </w:rPr>
              <w:footnoteReference w:id="7"/>
            </w:r>
            <w:r w:rsidRPr="007C02DA">
              <w:rPr>
                <w:color w:val="0D0D0D" w:themeColor="text1" w:themeTint="F2"/>
                <w:spacing w:val="-4"/>
                <w:lang w:val="en-GB"/>
              </w:rPr>
              <w:t xml:space="preserve"> went up by </w:t>
            </w:r>
            <w:r w:rsidRPr="007C02DA">
              <w:rPr>
                <w:color w:val="0D0D0D" w:themeColor="text1" w:themeTint="F2"/>
                <w:spacing w:val="-3"/>
                <w:lang w:val="en-GB"/>
              </w:rPr>
              <w:t>0.9% quarter-on-quarter and signalled, that the cooling down during Q1 2021 (</w:t>
            </w:r>
            <w:r w:rsidRPr="007C02DA">
              <w:rPr>
                <w:spacing w:val="-5"/>
                <w:lang w:val="en-GB"/>
              </w:rPr>
              <w:t>–</w:t>
            </w:r>
            <w:r w:rsidRPr="007C02DA">
              <w:rPr>
                <w:color w:val="0D0D0D" w:themeColor="text1" w:themeTint="F2"/>
                <w:spacing w:val="-3"/>
                <w:lang w:val="en-GB"/>
              </w:rPr>
              <w:t xml:space="preserve">1.4%) was likely only short term. Markedly export oriented domestic industry capitalised on the favourable economic development of key export territories in </w:t>
            </w:r>
            <w:r>
              <w:rPr>
                <w:color w:val="0D0D0D" w:themeColor="text1" w:themeTint="F2"/>
                <w:spacing w:val="-3"/>
                <w:lang w:val="en-GB"/>
              </w:rPr>
              <w:t>s</w:t>
            </w:r>
            <w:r w:rsidRPr="007C02DA">
              <w:rPr>
                <w:color w:val="0D0D0D" w:themeColor="text1" w:themeTint="F2"/>
                <w:spacing w:val="-3"/>
                <w:lang w:val="en-GB"/>
              </w:rPr>
              <w:t xml:space="preserve">pring – Germany </w:t>
            </w:r>
            <w:r>
              <w:rPr>
                <w:color w:val="0D0D0D" w:themeColor="text1" w:themeTint="F2"/>
                <w:spacing w:val="-3"/>
                <w:lang w:val="en-GB"/>
              </w:rPr>
              <w:t>or more precisely</w:t>
            </w:r>
            <w:r w:rsidRPr="007C02DA">
              <w:rPr>
                <w:color w:val="0D0D0D" w:themeColor="text1" w:themeTint="F2"/>
                <w:spacing w:val="-3"/>
                <w:lang w:val="en-GB"/>
              </w:rPr>
              <w:t xml:space="preserve"> the whole EU</w:t>
            </w:r>
            <w:r w:rsidRPr="007C02DA">
              <w:rPr>
                <w:rStyle w:val="Znakapoznpodarou"/>
                <w:color w:val="0D0D0D" w:themeColor="text1" w:themeTint="F2"/>
                <w:spacing w:val="-3"/>
                <w:lang w:val="en-GB"/>
              </w:rPr>
              <w:footnoteReference w:id="8"/>
            </w:r>
            <w:r w:rsidRPr="007C02DA">
              <w:rPr>
                <w:color w:val="0D0D0D" w:themeColor="text1" w:themeTint="F2"/>
                <w:spacing w:val="-3"/>
                <w:lang w:val="en-GB"/>
              </w:rPr>
              <w:t xml:space="preserve">. On the other hand, the fast recovery of the world economy and especially the most developed economies formed likely temporary, but strong tension in the production and supplier chains, which gradually also transmitted into the CR. Mainly the </w:t>
            </w:r>
            <w:r>
              <w:rPr>
                <w:color w:val="0D0D0D" w:themeColor="text1" w:themeTint="F2"/>
                <w:spacing w:val="-3"/>
                <w:lang w:val="en-GB"/>
              </w:rPr>
              <w:t>shortage</w:t>
            </w:r>
            <w:r w:rsidRPr="007C02DA">
              <w:rPr>
                <w:color w:val="0D0D0D" w:themeColor="text1" w:themeTint="F2"/>
                <w:spacing w:val="-3"/>
                <w:lang w:val="en-GB"/>
              </w:rPr>
              <w:t xml:space="preserve"> of some supplies and components (besides other things in motor vehicle industry and associated fields of activity) disrupted the continuity of the production process, led to </w:t>
            </w:r>
            <w:r w:rsidRPr="007C02DA">
              <w:rPr>
                <w:color w:val="0D0D0D" w:themeColor="text1" w:themeTint="F2"/>
                <w:spacing w:val="-3"/>
                <w:lang w:val="en-GB"/>
              </w:rPr>
              <w:lastRenderedPageBreak/>
              <w:t xml:space="preserve">the unplanned creation of stock of unfinished production and was putting pressures on the price growth of producers. Apart from this, the domestic industry was still also limited by the lack of mainly qualified labour force, </w:t>
            </w:r>
            <w:r>
              <w:rPr>
                <w:color w:val="0D0D0D" w:themeColor="text1" w:themeTint="F2"/>
                <w:spacing w:val="-3"/>
                <w:lang w:val="en-GB"/>
              </w:rPr>
              <w:t xml:space="preserve">even though with respect to the decreased employment in industry during the pandemics, this problem was not </w:t>
            </w:r>
            <w:r w:rsidRPr="007C02DA">
              <w:rPr>
                <w:color w:val="0D0D0D" w:themeColor="text1" w:themeTint="F2"/>
                <w:spacing w:val="-3"/>
                <w:lang w:val="en-GB"/>
              </w:rPr>
              <w:t>so pressing as in years 2018 and 2019</w:t>
            </w:r>
            <w:r>
              <w:rPr>
                <w:color w:val="0D0D0D" w:themeColor="text1" w:themeTint="F2"/>
                <w:spacing w:val="-3"/>
                <w:lang w:val="en-GB"/>
              </w:rPr>
              <w:t xml:space="preserve"> this year so far</w:t>
            </w:r>
            <w:r w:rsidRPr="007C02DA">
              <w:rPr>
                <w:color w:val="0D0D0D" w:themeColor="text1" w:themeTint="F2"/>
                <w:spacing w:val="-3"/>
                <w:lang w:val="en-GB"/>
              </w:rPr>
              <w:t>.</w:t>
            </w:r>
            <w:r>
              <w:rPr>
                <w:color w:val="0D0D0D" w:themeColor="text1" w:themeTint="F2"/>
                <w:spacing w:val="-3"/>
                <w:lang w:val="en-GB"/>
              </w:rPr>
              <w:t xml:space="preserve"> </w:t>
            </w:r>
          </w:p>
          <w:p w14:paraId="3D87AE64" w14:textId="77777777" w:rsidR="009732DF" w:rsidRPr="007C02DA" w:rsidRDefault="009732DF" w:rsidP="001144FB">
            <w:pPr>
              <w:spacing w:after="0"/>
              <w:rPr>
                <w:spacing w:val="-4"/>
                <w:lang w:val="en-GB"/>
              </w:rPr>
            </w:pPr>
          </w:p>
        </w:tc>
      </w:tr>
      <w:tr w:rsidR="009732DF" w:rsidRPr="006237E6" w14:paraId="609F7163" w14:textId="77777777" w:rsidTr="001144FB">
        <w:trPr>
          <w:trHeight w:val="155"/>
        </w:trPr>
        <w:tc>
          <w:tcPr>
            <w:tcW w:w="1728" w:type="dxa"/>
            <w:shd w:val="clear" w:color="auto" w:fill="auto"/>
            <w:tcMar>
              <w:left w:w="0" w:type="dxa"/>
            </w:tcMar>
          </w:tcPr>
          <w:p w14:paraId="5FFAC16F" w14:textId="77777777" w:rsidR="009732DF" w:rsidRDefault="009732DF" w:rsidP="001144FB">
            <w:pPr>
              <w:pStyle w:val="Marginlie"/>
            </w:pPr>
          </w:p>
        </w:tc>
        <w:tc>
          <w:tcPr>
            <w:tcW w:w="206" w:type="dxa"/>
            <w:shd w:val="clear" w:color="auto" w:fill="auto"/>
            <w:tcMar>
              <w:left w:w="0" w:type="dxa"/>
            </w:tcMar>
          </w:tcPr>
          <w:p w14:paraId="31DBA680" w14:textId="77777777" w:rsidR="009732DF" w:rsidRPr="003B1401" w:rsidRDefault="009732DF" w:rsidP="001144FB">
            <w:pPr>
              <w:pStyle w:val="Textpoznpodarou"/>
              <w:jc w:val="both"/>
              <w:rPr>
                <w:spacing w:val="-4"/>
              </w:rPr>
            </w:pPr>
          </w:p>
        </w:tc>
        <w:tc>
          <w:tcPr>
            <w:tcW w:w="7730" w:type="dxa"/>
            <w:shd w:val="clear" w:color="auto" w:fill="auto"/>
            <w:tcMar>
              <w:left w:w="0" w:type="dxa"/>
            </w:tcMar>
          </w:tcPr>
          <w:p w14:paraId="528F5AE9" w14:textId="77777777" w:rsidR="009732DF" w:rsidRPr="007C02DA" w:rsidRDefault="009732DF" w:rsidP="001144FB">
            <w:pPr>
              <w:spacing w:after="200"/>
              <w:rPr>
                <w:spacing w:val="-4"/>
                <w:lang w:val="en-GB"/>
              </w:rPr>
            </w:pPr>
            <w:r>
              <w:rPr>
                <w:spacing w:val="-4"/>
                <w:lang w:val="en-GB"/>
              </w:rPr>
              <w:t xml:space="preserve">Industrial production increased by </w:t>
            </w:r>
            <w:r w:rsidRPr="007C02DA">
              <w:rPr>
                <w:spacing w:val="-4"/>
                <w:lang w:val="en-GB"/>
              </w:rPr>
              <w:t>14</w:t>
            </w:r>
            <w:r>
              <w:rPr>
                <w:spacing w:val="-4"/>
                <w:lang w:val="en-GB"/>
              </w:rPr>
              <w:t>.</w:t>
            </w:r>
            <w:r w:rsidRPr="007C02DA">
              <w:rPr>
                <w:spacing w:val="-4"/>
                <w:lang w:val="en-GB"/>
              </w:rPr>
              <w:t>7%</w:t>
            </w:r>
            <w:r>
              <w:rPr>
                <w:spacing w:val="-4"/>
                <w:lang w:val="en-GB"/>
              </w:rPr>
              <w:t xml:space="preserve"> year-on-year in H1</w:t>
            </w:r>
            <w:r w:rsidRPr="007C02DA">
              <w:rPr>
                <w:spacing w:val="-4"/>
                <w:lang w:val="en-GB"/>
              </w:rPr>
              <w:t>,</w:t>
            </w:r>
            <w:r>
              <w:rPr>
                <w:spacing w:val="-4"/>
                <w:lang w:val="en-GB"/>
              </w:rPr>
              <w:t xml:space="preserve"> which was heavily influenced by the comparison with a very low basis during the </w:t>
            </w:r>
            <w:r w:rsidRPr="00750B07">
              <w:rPr>
                <w:spacing w:val="-4"/>
                <w:lang w:val="en-GB"/>
              </w:rPr>
              <w:t>last year’s April and May (</w:t>
            </w:r>
            <w:r>
              <w:rPr>
                <w:spacing w:val="-4"/>
                <w:lang w:val="en-GB"/>
              </w:rPr>
              <w:t>also due to the de facto halting of production in significant business establishments of motor vehicle industry</w:t>
            </w:r>
            <w:r w:rsidRPr="00750B07">
              <w:rPr>
                <w:rStyle w:val="Znakapoznpodarou"/>
                <w:spacing w:val="-4"/>
                <w:lang w:val="en-GB"/>
              </w:rPr>
              <w:footnoteReference w:id="9"/>
            </w:r>
            <w:r w:rsidRPr="00750B07">
              <w:rPr>
                <w:spacing w:val="-4"/>
                <w:lang w:val="en-GB"/>
              </w:rPr>
              <w:t>). The industry as a whole thus still slightly lagged behind its absolute pre-pandemic maximum</w:t>
            </w:r>
            <w:r w:rsidRPr="00750B07">
              <w:rPr>
                <w:rStyle w:val="Znakapoznpodarou"/>
                <w:color w:val="000000" w:themeColor="text1"/>
                <w:spacing w:val="-4"/>
                <w:lang w:val="en-GB"/>
              </w:rPr>
              <w:footnoteReference w:id="10"/>
            </w:r>
            <w:r w:rsidRPr="00750B07">
              <w:rPr>
                <w:color w:val="000000" w:themeColor="text1"/>
                <w:spacing w:val="-4"/>
                <w:lang w:val="en-GB"/>
              </w:rPr>
              <w:t>.</w:t>
            </w:r>
          </w:p>
        </w:tc>
      </w:tr>
      <w:tr w:rsidR="009732DF" w:rsidRPr="006237E6" w14:paraId="15F6B8D8" w14:textId="77777777" w:rsidTr="001144FB">
        <w:trPr>
          <w:trHeight w:val="155"/>
        </w:trPr>
        <w:tc>
          <w:tcPr>
            <w:tcW w:w="1728" w:type="dxa"/>
            <w:shd w:val="clear" w:color="auto" w:fill="auto"/>
            <w:tcMar>
              <w:left w:w="0" w:type="dxa"/>
            </w:tcMar>
          </w:tcPr>
          <w:p w14:paraId="5FCDCD83" w14:textId="77777777" w:rsidR="009732DF" w:rsidRPr="00C9364A" w:rsidRDefault="009732DF" w:rsidP="001144FB">
            <w:pPr>
              <w:pStyle w:val="Marginlie"/>
              <w:rPr>
                <w:lang w:val="en-GB"/>
              </w:rPr>
            </w:pPr>
            <w:r w:rsidRPr="00C9364A">
              <w:rPr>
                <w:lang w:val="en-GB"/>
              </w:rPr>
              <w:t xml:space="preserve">Motor vehicle manufacturing secured more than one third of the year-on-year growth of industrial output this year. </w:t>
            </w:r>
            <w:r>
              <w:rPr>
                <w:lang w:val="en-GB"/>
              </w:rPr>
              <w:t xml:space="preserve">Gradually however it hit the growth barriers. </w:t>
            </w:r>
          </w:p>
        </w:tc>
        <w:tc>
          <w:tcPr>
            <w:tcW w:w="206" w:type="dxa"/>
            <w:shd w:val="clear" w:color="auto" w:fill="auto"/>
            <w:tcMar>
              <w:left w:w="0" w:type="dxa"/>
            </w:tcMar>
          </w:tcPr>
          <w:p w14:paraId="7551FFAA" w14:textId="77777777" w:rsidR="009732DF" w:rsidRPr="003B1401" w:rsidRDefault="009732DF" w:rsidP="001144FB">
            <w:pPr>
              <w:pStyle w:val="Textpoznpodarou"/>
              <w:jc w:val="both"/>
              <w:rPr>
                <w:spacing w:val="-4"/>
              </w:rPr>
            </w:pPr>
          </w:p>
        </w:tc>
        <w:tc>
          <w:tcPr>
            <w:tcW w:w="7730" w:type="dxa"/>
            <w:shd w:val="clear" w:color="auto" w:fill="auto"/>
            <w:tcMar>
              <w:left w:w="0" w:type="dxa"/>
            </w:tcMar>
          </w:tcPr>
          <w:p w14:paraId="65CA1E3B" w14:textId="77777777" w:rsidR="009732DF" w:rsidRPr="006B7B25" w:rsidRDefault="009732DF" w:rsidP="001144FB">
            <w:pPr>
              <w:spacing w:after="200"/>
              <w:rPr>
                <w:spacing w:val="-4"/>
                <w:lang w:val="en-GB"/>
              </w:rPr>
            </w:pPr>
            <w:r w:rsidRPr="006B7B25">
              <w:rPr>
                <w:color w:val="000000" w:themeColor="text1"/>
                <w:spacing w:val="-4"/>
                <w:lang w:val="en-GB"/>
              </w:rPr>
              <w:t xml:space="preserve">Motor vehicle manufacturing contributed to the year-on-year growth of the industrial production from more than one third this half-year, the nearest subcontractors then added one fifth. Output of the motor vehicle manufacturing however </w:t>
            </w:r>
            <w:r>
              <w:rPr>
                <w:color w:val="000000" w:themeColor="text1"/>
                <w:spacing w:val="-4"/>
                <w:lang w:val="en-GB"/>
              </w:rPr>
              <w:t xml:space="preserve">fell quarter-on-quarter by </w:t>
            </w:r>
            <w:r w:rsidRPr="006B7B25">
              <w:rPr>
                <w:rFonts w:cs="Arial"/>
                <w:spacing w:val="-4"/>
                <w:szCs w:val="20"/>
                <w:lang w:val="en-GB"/>
              </w:rPr>
              <w:t>1</w:t>
            </w:r>
            <w:r>
              <w:rPr>
                <w:rFonts w:cs="Arial"/>
                <w:spacing w:val="-4"/>
                <w:szCs w:val="20"/>
                <w:lang w:val="en-GB"/>
              </w:rPr>
              <w:t>.</w:t>
            </w:r>
            <w:r w:rsidRPr="006B7B25">
              <w:rPr>
                <w:rFonts w:cs="Arial"/>
                <w:spacing w:val="-4"/>
                <w:szCs w:val="20"/>
                <w:lang w:val="en-GB"/>
              </w:rPr>
              <w:t>9%</w:t>
            </w:r>
            <w:r w:rsidRPr="006B7B25">
              <w:rPr>
                <w:rStyle w:val="Znakapoznpodarou"/>
                <w:spacing w:val="-4"/>
                <w:szCs w:val="20"/>
                <w:lang w:val="en-GB"/>
              </w:rPr>
              <w:footnoteReference w:id="11"/>
            </w:r>
            <w:r>
              <w:rPr>
                <w:color w:val="000000" w:themeColor="text1"/>
                <w:spacing w:val="-4"/>
                <w:lang w:val="en-GB"/>
              </w:rPr>
              <w:t xml:space="preserve"> in Q2 itself. On the contrary, </w:t>
            </w:r>
            <w:r>
              <w:rPr>
                <w:rFonts w:cs="Arial"/>
                <w:spacing w:val="-4"/>
                <w:szCs w:val="20"/>
                <w:lang w:val="en-GB"/>
              </w:rPr>
              <w:t>no indications of slowdown were apparent in the manufacture of electrical appliances as well as both plastic and rubber industries since the problem with shortage of production components did not directly concern them. Significant metalworking industry contributed to the year-on-year industry growth by more than one tenth in H</w:t>
            </w:r>
            <w:r w:rsidRPr="006B7B25">
              <w:rPr>
                <w:rFonts w:cs="Arial"/>
                <w:spacing w:val="-4"/>
                <w:szCs w:val="20"/>
                <w:lang w:val="en-GB"/>
              </w:rPr>
              <w:t xml:space="preserve">1. </w:t>
            </w:r>
            <w:r>
              <w:rPr>
                <w:rFonts w:cs="Arial"/>
                <w:spacing w:val="-4"/>
                <w:szCs w:val="20"/>
                <w:lang w:val="en-GB"/>
              </w:rPr>
              <w:t xml:space="preserve">Output in metallurgy also featured slightly above average rate of growth </w:t>
            </w:r>
            <w:r w:rsidRPr="006B7B25">
              <w:rPr>
                <w:rFonts w:cs="Arial"/>
                <w:spacing w:val="-4"/>
                <w:szCs w:val="20"/>
                <w:lang w:val="en-GB"/>
              </w:rPr>
              <w:t>(+16</w:t>
            </w:r>
            <w:r>
              <w:rPr>
                <w:rFonts w:cs="Arial"/>
                <w:spacing w:val="-4"/>
                <w:szCs w:val="20"/>
                <w:lang w:val="en-GB"/>
              </w:rPr>
              <w:t>.</w:t>
            </w:r>
            <w:r w:rsidRPr="006B7B25">
              <w:rPr>
                <w:rFonts w:cs="Arial"/>
                <w:spacing w:val="-4"/>
                <w:szCs w:val="20"/>
                <w:lang w:val="en-GB"/>
              </w:rPr>
              <w:t>7%).</w:t>
            </w:r>
            <w:r>
              <w:rPr>
                <w:rFonts w:cs="Arial"/>
                <w:spacing w:val="-4"/>
                <w:szCs w:val="20"/>
                <w:lang w:val="en-GB"/>
              </w:rPr>
              <w:t xml:space="preserve"> Among smaller industries, manufacturing of other (especially rail) transport equipment </w:t>
            </w:r>
            <w:r w:rsidRPr="006B7B25">
              <w:rPr>
                <w:rFonts w:cs="Arial"/>
                <w:spacing w:val="-4"/>
                <w:szCs w:val="20"/>
                <w:lang w:val="en-GB"/>
              </w:rPr>
              <w:t>(+23</w:t>
            </w:r>
            <w:r>
              <w:rPr>
                <w:rFonts w:cs="Arial"/>
                <w:spacing w:val="-4"/>
                <w:szCs w:val="20"/>
                <w:lang w:val="en-GB"/>
              </w:rPr>
              <w:t>.</w:t>
            </w:r>
            <w:r w:rsidRPr="006B7B25">
              <w:rPr>
                <w:rFonts w:cs="Arial"/>
                <w:spacing w:val="-4"/>
                <w:szCs w:val="20"/>
                <w:lang w:val="en-GB"/>
              </w:rPr>
              <w:t>2%)</w:t>
            </w:r>
            <w:r>
              <w:rPr>
                <w:rFonts w:cs="Arial"/>
                <w:spacing w:val="-4"/>
                <w:szCs w:val="20"/>
                <w:lang w:val="en-GB"/>
              </w:rPr>
              <w:t xml:space="preserve"> fared the best</w:t>
            </w:r>
            <w:r w:rsidRPr="006B7B25">
              <w:rPr>
                <w:rFonts w:cs="Arial"/>
                <w:spacing w:val="-4"/>
                <w:szCs w:val="20"/>
                <w:lang w:val="en-GB"/>
              </w:rPr>
              <w:t xml:space="preserve">, </w:t>
            </w:r>
            <w:r>
              <w:rPr>
                <w:rFonts w:cs="Arial"/>
                <w:spacing w:val="-4"/>
                <w:szCs w:val="20"/>
                <w:lang w:val="en-GB"/>
              </w:rPr>
              <w:t xml:space="preserve">mainly thanks to the very good Spring results. </w:t>
            </w:r>
          </w:p>
        </w:tc>
      </w:tr>
      <w:tr w:rsidR="009732DF" w:rsidRPr="006237E6" w14:paraId="7ABBDE27" w14:textId="77777777" w:rsidTr="001144FB">
        <w:trPr>
          <w:trHeight w:val="155"/>
        </w:trPr>
        <w:tc>
          <w:tcPr>
            <w:tcW w:w="1728" w:type="dxa"/>
            <w:shd w:val="clear" w:color="auto" w:fill="auto"/>
            <w:tcMar>
              <w:left w:w="0" w:type="dxa"/>
            </w:tcMar>
          </w:tcPr>
          <w:p w14:paraId="351DF02A" w14:textId="77777777" w:rsidR="009732DF" w:rsidRPr="00BD0941" w:rsidRDefault="009732DF" w:rsidP="001144FB">
            <w:pPr>
              <w:pStyle w:val="Marginlie"/>
              <w:rPr>
                <w:spacing w:val="-4"/>
                <w:lang w:val="en-GB"/>
              </w:rPr>
            </w:pPr>
            <w:r>
              <w:rPr>
                <w:spacing w:val="-4"/>
                <w:lang w:val="en-GB"/>
              </w:rPr>
              <w:t>Only several industries with marginal weight lagged behind the outputs from last year</w:t>
            </w:r>
            <w:r>
              <w:rPr>
                <w:spacing w:val="-4"/>
                <w:lang w:val="en-US"/>
              </w:rPr>
              <w:t>’s H</w:t>
            </w:r>
            <w:r w:rsidRPr="00BD0941">
              <w:rPr>
                <w:spacing w:val="-4"/>
                <w:lang w:val="en-GB"/>
              </w:rPr>
              <w:t>1.</w:t>
            </w:r>
            <w:r>
              <w:rPr>
                <w:spacing w:val="-4"/>
                <w:lang w:val="en-GB"/>
              </w:rPr>
              <w:t xml:space="preserve"> </w:t>
            </w:r>
          </w:p>
        </w:tc>
        <w:tc>
          <w:tcPr>
            <w:tcW w:w="206" w:type="dxa"/>
            <w:shd w:val="clear" w:color="auto" w:fill="auto"/>
            <w:tcMar>
              <w:left w:w="0" w:type="dxa"/>
            </w:tcMar>
          </w:tcPr>
          <w:p w14:paraId="58934FDA" w14:textId="77777777" w:rsidR="009732DF" w:rsidRPr="00BD0941" w:rsidRDefault="009732DF" w:rsidP="001144FB">
            <w:pPr>
              <w:pStyle w:val="Textpoznpodarou"/>
              <w:jc w:val="both"/>
              <w:rPr>
                <w:spacing w:val="-4"/>
                <w:lang w:val="en-GB"/>
              </w:rPr>
            </w:pPr>
          </w:p>
        </w:tc>
        <w:tc>
          <w:tcPr>
            <w:tcW w:w="7730" w:type="dxa"/>
            <w:shd w:val="clear" w:color="auto" w:fill="auto"/>
            <w:tcMar>
              <w:left w:w="0" w:type="dxa"/>
            </w:tcMar>
          </w:tcPr>
          <w:p w14:paraId="266B3ACF" w14:textId="77777777" w:rsidR="009732DF" w:rsidRPr="00BD0941" w:rsidRDefault="009732DF" w:rsidP="001144FB">
            <w:pPr>
              <w:spacing w:after="200"/>
              <w:rPr>
                <w:rFonts w:cs="Arial"/>
                <w:spacing w:val="-4"/>
                <w:szCs w:val="20"/>
                <w:lang w:val="en-GB"/>
              </w:rPr>
            </w:pPr>
            <w:r>
              <w:rPr>
                <w:rFonts w:cs="Arial"/>
                <w:spacing w:val="-4"/>
                <w:szCs w:val="20"/>
                <w:lang w:val="en-GB"/>
              </w:rPr>
              <w:t>On the contrary, the output lagged behind the level from last year</w:t>
            </w:r>
            <w:r>
              <w:rPr>
                <w:rFonts w:cs="Arial"/>
                <w:spacing w:val="-4"/>
                <w:szCs w:val="20"/>
                <w:lang w:val="en-US"/>
              </w:rPr>
              <w:t xml:space="preserve">’s </w:t>
            </w:r>
            <w:r>
              <w:rPr>
                <w:rFonts w:cs="Arial"/>
                <w:spacing w:val="-4"/>
                <w:szCs w:val="20"/>
                <w:lang w:val="en-GB"/>
              </w:rPr>
              <w:t>H1 only in minimum of industries</w:t>
            </w:r>
            <w:r w:rsidRPr="00BD0941">
              <w:rPr>
                <w:rFonts w:cs="Arial"/>
                <w:spacing w:val="-4"/>
                <w:szCs w:val="20"/>
                <w:lang w:val="en-GB"/>
              </w:rPr>
              <w:t>.</w:t>
            </w:r>
            <w:r>
              <w:rPr>
                <w:rFonts w:cs="Arial"/>
                <w:spacing w:val="-4"/>
                <w:szCs w:val="20"/>
                <w:lang w:val="en-GB"/>
              </w:rPr>
              <w:t xml:space="preserve"> There belonged manufacturing of clothing </w:t>
            </w:r>
            <w:r w:rsidRPr="00BD0941">
              <w:rPr>
                <w:rFonts w:cs="Arial"/>
                <w:spacing w:val="-4"/>
                <w:szCs w:val="20"/>
                <w:lang w:val="en-GB"/>
              </w:rPr>
              <w:t>(</w:t>
            </w:r>
            <w:r w:rsidRPr="00BD0941">
              <w:rPr>
                <w:spacing w:val="-4"/>
                <w:lang w:val="en-GB"/>
              </w:rPr>
              <w:t>–</w:t>
            </w:r>
            <w:r w:rsidRPr="00BD0941">
              <w:rPr>
                <w:rFonts w:cs="Arial"/>
                <w:spacing w:val="-4"/>
                <w:szCs w:val="20"/>
                <w:lang w:val="en-GB"/>
              </w:rPr>
              <w:t>7</w:t>
            </w:r>
            <w:r>
              <w:rPr>
                <w:rFonts w:cs="Arial"/>
                <w:spacing w:val="-4"/>
                <w:szCs w:val="20"/>
                <w:lang w:val="en-GB"/>
              </w:rPr>
              <w:t>.</w:t>
            </w:r>
            <w:r w:rsidRPr="00BD0941">
              <w:rPr>
                <w:rFonts w:cs="Arial"/>
                <w:spacing w:val="-4"/>
                <w:szCs w:val="20"/>
                <w:lang w:val="en-GB"/>
              </w:rPr>
              <w:t>0%) a</w:t>
            </w:r>
            <w:r>
              <w:rPr>
                <w:rFonts w:cs="Arial"/>
                <w:spacing w:val="-4"/>
                <w:szCs w:val="20"/>
                <w:lang w:val="en-GB"/>
              </w:rPr>
              <w:t xml:space="preserve">nd also the production of beverages </w:t>
            </w:r>
            <w:r w:rsidRPr="00BD0941">
              <w:rPr>
                <w:rFonts w:cs="Arial"/>
                <w:spacing w:val="-4"/>
                <w:szCs w:val="20"/>
                <w:lang w:val="en-GB"/>
              </w:rPr>
              <w:t>(</w:t>
            </w:r>
            <w:r w:rsidRPr="00BD0941">
              <w:rPr>
                <w:spacing w:val="-4"/>
                <w:lang w:val="en-GB"/>
              </w:rPr>
              <w:t>–</w:t>
            </w:r>
            <w:r w:rsidRPr="00BD0941">
              <w:rPr>
                <w:rFonts w:cs="Arial"/>
                <w:spacing w:val="-4"/>
                <w:szCs w:val="20"/>
                <w:lang w:val="en-GB"/>
              </w:rPr>
              <w:t>1</w:t>
            </w:r>
            <w:r>
              <w:rPr>
                <w:rFonts w:cs="Arial"/>
                <w:spacing w:val="-4"/>
                <w:szCs w:val="20"/>
                <w:lang w:val="en-GB"/>
              </w:rPr>
              <w:t>.</w:t>
            </w:r>
            <w:r w:rsidRPr="00BD0941">
              <w:rPr>
                <w:rFonts w:cs="Arial"/>
                <w:spacing w:val="-4"/>
                <w:szCs w:val="20"/>
                <w:lang w:val="en-GB"/>
              </w:rPr>
              <w:t xml:space="preserve">3%). </w:t>
            </w:r>
            <w:r w:rsidRPr="008816A8">
              <w:rPr>
                <w:rFonts w:cs="Arial"/>
                <w:spacing w:val="-4"/>
                <w:szCs w:val="20"/>
                <w:lang w:val="en-GB"/>
              </w:rPr>
              <w:t>These industries are fundamentally dependent on the household consumption and thus</w:t>
            </w:r>
            <w:r>
              <w:rPr>
                <w:rFonts w:cs="Arial"/>
                <w:spacing w:val="-4"/>
                <w:szCs w:val="20"/>
                <w:lang w:val="en-GB"/>
              </w:rPr>
              <w:t xml:space="preserve"> suffered hardship as a result of repeated forced closures of their traditional domestic outlets </w:t>
            </w:r>
            <w:r w:rsidRPr="008816A8">
              <w:rPr>
                <w:color w:val="000000" w:themeColor="text1"/>
                <w:spacing w:val="-4"/>
                <w:lang w:val="en-GB"/>
              </w:rPr>
              <w:t xml:space="preserve">as well as due to the slump of arrival tourism. Downturn of investment activity of businesses during the pandemic recession was evident in the lower output in industry repair and installation of machinery and equipment </w:t>
            </w:r>
            <w:r w:rsidRPr="008816A8">
              <w:rPr>
                <w:rFonts w:cs="Arial"/>
                <w:spacing w:val="-4"/>
                <w:szCs w:val="20"/>
                <w:lang w:val="en-GB"/>
              </w:rPr>
              <w:t>(</w:t>
            </w:r>
            <w:r w:rsidRPr="008816A8">
              <w:rPr>
                <w:spacing w:val="-4"/>
                <w:lang w:val="en-GB"/>
              </w:rPr>
              <w:t>–</w:t>
            </w:r>
            <w:r w:rsidRPr="008816A8">
              <w:rPr>
                <w:rFonts w:cs="Arial"/>
                <w:spacing w:val="-4"/>
                <w:szCs w:val="20"/>
                <w:lang w:val="en-GB"/>
              </w:rPr>
              <w:t xml:space="preserve">1.8%). In mining and quarrying, lower performance was associated with long-term transformation of the energetic mix of the economy also accelerated by swift growth of prices of emission permits in the last quarters. </w:t>
            </w:r>
            <w:r>
              <w:rPr>
                <w:rFonts w:cs="Arial"/>
                <w:spacing w:val="-4"/>
                <w:szCs w:val="20"/>
                <w:lang w:val="en-GB"/>
              </w:rPr>
              <w:t xml:space="preserve">Output fell by </w:t>
            </w:r>
            <w:r w:rsidRPr="008816A8">
              <w:rPr>
                <w:rFonts w:cs="Arial"/>
                <w:spacing w:val="-4"/>
                <w:szCs w:val="20"/>
                <w:lang w:val="en-GB"/>
              </w:rPr>
              <w:t>0</w:t>
            </w:r>
            <w:r>
              <w:rPr>
                <w:rFonts w:cs="Arial"/>
                <w:spacing w:val="-4"/>
                <w:szCs w:val="20"/>
                <w:lang w:val="en-GB"/>
              </w:rPr>
              <w:t>.</w:t>
            </w:r>
            <w:r w:rsidRPr="008816A8">
              <w:rPr>
                <w:rFonts w:cs="Arial"/>
                <w:spacing w:val="-4"/>
                <w:szCs w:val="20"/>
                <w:lang w:val="en-GB"/>
              </w:rPr>
              <w:t>9%</w:t>
            </w:r>
            <w:r>
              <w:rPr>
                <w:rFonts w:cs="Arial"/>
                <w:spacing w:val="-4"/>
                <w:szCs w:val="20"/>
                <w:lang w:val="en-GB"/>
              </w:rPr>
              <w:t xml:space="preserve"> here following the last </w:t>
            </w:r>
            <w:r w:rsidRPr="00367F5C">
              <w:rPr>
                <w:rFonts w:cs="Arial"/>
                <w:spacing w:val="-4"/>
                <w:szCs w:val="20"/>
                <w:lang w:val="en-GB"/>
              </w:rPr>
              <w:t>year’s deep slump</w:t>
            </w:r>
            <w:r w:rsidRPr="00367F5C">
              <w:rPr>
                <w:rStyle w:val="Znakapoznpodarou"/>
                <w:spacing w:val="-4"/>
                <w:szCs w:val="20"/>
                <w:lang w:val="en-GB"/>
              </w:rPr>
              <w:footnoteReference w:id="12"/>
            </w:r>
            <w:r w:rsidRPr="00367F5C">
              <w:rPr>
                <w:rFonts w:cs="Arial"/>
                <w:spacing w:val="-4"/>
                <w:szCs w:val="20"/>
                <w:lang w:val="en-GB"/>
              </w:rPr>
              <w:t>. However, these four above mention industries also thanks to their low weight as well as slower rates of growth exerted only a minimal influence on the year-on-year development</w:t>
            </w:r>
            <w:r>
              <w:rPr>
                <w:rFonts w:cs="Arial"/>
                <w:spacing w:val="-4"/>
                <w:szCs w:val="20"/>
                <w:lang w:val="en-GB"/>
              </w:rPr>
              <w:t xml:space="preserve"> of output in the whole industry this year </w:t>
            </w:r>
            <w:r w:rsidRPr="008816A8">
              <w:rPr>
                <w:rFonts w:cs="Arial"/>
                <w:spacing w:val="-6"/>
                <w:szCs w:val="20"/>
                <w:lang w:val="en-GB"/>
              </w:rPr>
              <w:t>(</w:t>
            </w:r>
            <w:r w:rsidRPr="008816A8">
              <w:rPr>
                <w:spacing w:val="-6"/>
                <w:lang w:val="en-GB"/>
              </w:rPr>
              <w:t>–</w:t>
            </w:r>
            <w:r w:rsidRPr="008816A8">
              <w:rPr>
                <w:rFonts w:cs="Arial"/>
                <w:spacing w:val="-6"/>
                <w:szCs w:val="20"/>
                <w:lang w:val="en-GB"/>
              </w:rPr>
              <w:t>0</w:t>
            </w:r>
            <w:r>
              <w:rPr>
                <w:rFonts w:cs="Arial"/>
                <w:spacing w:val="-6"/>
                <w:szCs w:val="20"/>
                <w:lang w:val="en-GB"/>
              </w:rPr>
              <w:t>.</w:t>
            </w:r>
            <w:r w:rsidRPr="008816A8">
              <w:rPr>
                <w:rFonts w:cs="Arial"/>
                <w:spacing w:val="-6"/>
                <w:szCs w:val="20"/>
                <w:lang w:val="en-GB"/>
              </w:rPr>
              <w:t>1 p.</w:t>
            </w:r>
            <w:r>
              <w:rPr>
                <w:rFonts w:cs="Arial"/>
                <w:spacing w:val="-6"/>
                <w:szCs w:val="20"/>
                <w:lang w:val="en-GB"/>
              </w:rPr>
              <w:t>p</w:t>
            </w:r>
            <w:r w:rsidRPr="008816A8">
              <w:rPr>
                <w:rFonts w:cs="Arial"/>
                <w:spacing w:val="-6"/>
                <w:szCs w:val="20"/>
                <w:lang w:val="en-GB"/>
              </w:rPr>
              <w:t>.).</w:t>
            </w:r>
          </w:p>
        </w:tc>
      </w:tr>
      <w:tr w:rsidR="009732DF" w:rsidRPr="006237E6" w14:paraId="5E37F0CE" w14:textId="77777777" w:rsidTr="001144FB">
        <w:trPr>
          <w:trHeight w:val="155"/>
        </w:trPr>
        <w:tc>
          <w:tcPr>
            <w:tcW w:w="1728" w:type="dxa"/>
            <w:shd w:val="clear" w:color="auto" w:fill="auto"/>
            <w:tcMar>
              <w:left w:w="0" w:type="dxa"/>
            </w:tcMar>
          </w:tcPr>
          <w:p w14:paraId="14467EE6" w14:textId="77777777" w:rsidR="009732DF" w:rsidRPr="00F01F13" w:rsidRDefault="009732DF" w:rsidP="001144FB">
            <w:pPr>
              <w:pStyle w:val="Marginlie"/>
              <w:rPr>
                <w:spacing w:val="-4"/>
                <w:lang w:val="en-GB"/>
              </w:rPr>
            </w:pPr>
            <w:r w:rsidRPr="00F01F13">
              <w:rPr>
                <w:spacing w:val="-4"/>
                <w:lang w:val="en-GB"/>
              </w:rPr>
              <w:t>Industrial output already nearly balanced out the level from Q2 2019. Some both weight and strategically significant industries however haven´t attained this mark yet.</w:t>
            </w:r>
          </w:p>
        </w:tc>
        <w:tc>
          <w:tcPr>
            <w:tcW w:w="206" w:type="dxa"/>
            <w:shd w:val="clear" w:color="auto" w:fill="auto"/>
            <w:tcMar>
              <w:left w:w="0" w:type="dxa"/>
            </w:tcMar>
          </w:tcPr>
          <w:p w14:paraId="6F7EF36D" w14:textId="77777777" w:rsidR="009732DF" w:rsidRPr="00F01F13" w:rsidRDefault="009732DF" w:rsidP="001144FB">
            <w:pPr>
              <w:pStyle w:val="Textpoznpodarou"/>
              <w:jc w:val="both"/>
              <w:rPr>
                <w:spacing w:val="-4"/>
                <w:lang w:val="en-GB"/>
              </w:rPr>
            </w:pPr>
          </w:p>
        </w:tc>
        <w:tc>
          <w:tcPr>
            <w:tcW w:w="7730" w:type="dxa"/>
            <w:shd w:val="clear" w:color="auto" w:fill="auto"/>
            <w:tcMar>
              <w:left w:w="0" w:type="dxa"/>
            </w:tcMar>
          </w:tcPr>
          <w:p w14:paraId="744D8D70" w14:textId="77777777" w:rsidR="009732DF" w:rsidRPr="00F70D82" w:rsidRDefault="009732DF" w:rsidP="001144FB">
            <w:pPr>
              <w:spacing w:after="200"/>
              <w:rPr>
                <w:color w:val="0D0D0D" w:themeColor="text1" w:themeTint="F2"/>
                <w:spacing w:val="-3"/>
                <w:lang w:val="en-GB"/>
              </w:rPr>
            </w:pPr>
            <w:r w:rsidRPr="00F70D82">
              <w:rPr>
                <w:color w:val="0D0D0D" w:themeColor="text1" w:themeTint="F2"/>
                <w:spacing w:val="-3"/>
                <w:lang w:val="en-GB"/>
              </w:rPr>
              <w:t>Output in the whole industry already only slightly lagged behind the same period of year 2019 (by 1.6%) in the second this year’s quarter.</w:t>
            </w:r>
            <w:r>
              <w:rPr>
                <w:color w:val="0D0D0D" w:themeColor="text1" w:themeTint="F2"/>
                <w:spacing w:val="-3"/>
                <w:lang w:val="en-GB"/>
              </w:rPr>
              <w:t xml:space="preserve"> It is the result of not only effect of the whole pandemic period, but also of the short cyclical industry downturn preceding it. </w:t>
            </w:r>
            <w:r w:rsidRPr="00F70D82">
              <w:rPr>
                <w:color w:val="0D0D0D" w:themeColor="text1" w:themeTint="F2"/>
                <w:spacing w:val="-3"/>
                <w:lang w:val="en-GB"/>
              </w:rPr>
              <w:t xml:space="preserve">One half of manufacturing activities recorded growth in this two-year period. </w:t>
            </w:r>
            <w:r>
              <w:rPr>
                <w:color w:val="0D0D0D" w:themeColor="text1" w:themeTint="F2"/>
                <w:spacing w:val="-3"/>
                <w:lang w:val="en-GB"/>
              </w:rPr>
              <w:t xml:space="preserve">Next to the manufacturing of rail transport equipment </w:t>
            </w:r>
            <w:r w:rsidRPr="00F70D82">
              <w:rPr>
                <w:color w:val="0D0D0D" w:themeColor="text1" w:themeTint="F2"/>
                <w:spacing w:val="-3"/>
                <w:lang w:val="en-GB"/>
              </w:rPr>
              <w:t>(</w:t>
            </w:r>
            <w:r>
              <w:rPr>
                <w:color w:val="0D0D0D" w:themeColor="text1" w:themeTint="F2"/>
                <w:spacing w:val="-3"/>
                <w:lang w:val="en-GB"/>
              </w:rPr>
              <w:t>where the production is characterised by partial volatility</w:t>
            </w:r>
            <w:r w:rsidRPr="00F70D82">
              <w:rPr>
                <w:color w:val="0D0D0D" w:themeColor="text1" w:themeTint="F2"/>
                <w:spacing w:val="-3"/>
                <w:lang w:val="en-GB"/>
              </w:rPr>
              <w:t>)</w:t>
            </w:r>
            <w:r>
              <w:rPr>
                <w:color w:val="0D0D0D" w:themeColor="text1" w:themeTint="F2"/>
                <w:spacing w:val="-3"/>
                <w:lang w:val="en-GB"/>
              </w:rPr>
              <w:t xml:space="preserve">, it was mainly wood industry </w:t>
            </w:r>
            <w:r w:rsidRPr="00F70D82">
              <w:rPr>
                <w:color w:val="0D0D0D" w:themeColor="text1" w:themeTint="F2"/>
                <w:spacing w:val="-3"/>
                <w:lang w:val="en-GB"/>
              </w:rPr>
              <w:t>(+12</w:t>
            </w:r>
            <w:r>
              <w:rPr>
                <w:color w:val="0D0D0D" w:themeColor="text1" w:themeTint="F2"/>
                <w:spacing w:val="-3"/>
                <w:lang w:val="en-GB"/>
              </w:rPr>
              <w:t>.</w:t>
            </w:r>
            <w:r w:rsidRPr="00F70D82">
              <w:rPr>
                <w:color w:val="0D0D0D" w:themeColor="text1" w:themeTint="F2"/>
                <w:spacing w:val="-3"/>
                <w:lang w:val="en-GB"/>
              </w:rPr>
              <w:t xml:space="preserve">6%), </w:t>
            </w:r>
            <w:r>
              <w:rPr>
                <w:color w:val="0D0D0D" w:themeColor="text1" w:themeTint="F2"/>
                <w:spacing w:val="-3"/>
                <w:lang w:val="en-GB"/>
              </w:rPr>
              <w:t xml:space="preserve">paper </w:t>
            </w:r>
            <w:r w:rsidRPr="00F70D82">
              <w:rPr>
                <w:color w:val="0D0D0D" w:themeColor="text1" w:themeTint="F2"/>
                <w:spacing w:val="-3"/>
                <w:lang w:val="en-GB"/>
              </w:rPr>
              <w:t>(+10</w:t>
            </w:r>
            <w:r>
              <w:rPr>
                <w:color w:val="0D0D0D" w:themeColor="text1" w:themeTint="F2"/>
                <w:spacing w:val="-3"/>
                <w:lang w:val="en-GB"/>
              </w:rPr>
              <w:t>.</w:t>
            </w:r>
            <w:r w:rsidRPr="00F70D82">
              <w:rPr>
                <w:color w:val="0D0D0D" w:themeColor="text1" w:themeTint="F2"/>
                <w:spacing w:val="-3"/>
                <w:lang w:val="en-GB"/>
              </w:rPr>
              <w:t>9%)</w:t>
            </w:r>
            <w:r>
              <w:rPr>
                <w:color w:val="0D0D0D" w:themeColor="text1" w:themeTint="F2"/>
                <w:spacing w:val="-3"/>
                <w:lang w:val="en-GB"/>
              </w:rPr>
              <w:t xml:space="preserve"> and other industry</w:t>
            </w:r>
            <w:r w:rsidRPr="00F70D82">
              <w:rPr>
                <w:rStyle w:val="Znakapoznpodarou"/>
                <w:color w:val="0D0D0D" w:themeColor="text1" w:themeTint="F2"/>
                <w:spacing w:val="-3"/>
                <w:lang w:val="en-GB"/>
              </w:rPr>
              <w:footnoteReference w:id="13"/>
            </w:r>
            <w:r w:rsidRPr="00F70D82">
              <w:rPr>
                <w:color w:val="0D0D0D" w:themeColor="text1" w:themeTint="F2"/>
                <w:spacing w:val="-3"/>
                <w:lang w:val="en-GB"/>
              </w:rPr>
              <w:t xml:space="preserve"> (+10</w:t>
            </w:r>
            <w:r>
              <w:rPr>
                <w:color w:val="0D0D0D" w:themeColor="text1" w:themeTint="F2"/>
                <w:spacing w:val="-3"/>
                <w:lang w:val="en-GB"/>
              </w:rPr>
              <w:t>.</w:t>
            </w:r>
            <w:r w:rsidRPr="00F70D82">
              <w:rPr>
                <w:color w:val="0D0D0D" w:themeColor="text1" w:themeTint="F2"/>
                <w:spacing w:val="-3"/>
                <w:lang w:val="en-GB"/>
              </w:rPr>
              <w:t>6%),</w:t>
            </w:r>
            <w:r>
              <w:rPr>
                <w:color w:val="0D0D0D" w:themeColor="text1" w:themeTint="F2"/>
                <w:spacing w:val="-3"/>
                <w:lang w:val="en-GB"/>
              </w:rPr>
              <w:t xml:space="preserve"> further pharmaceutical industry </w:t>
            </w:r>
            <w:r w:rsidRPr="00F70D82">
              <w:rPr>
                <w:color w:val="0D0D0D" w:themeColor="text1" w:themeTint="F2"/>
                <w:spacing w:val="-3"/>
                <w:lang w:val="en-GB"/>
              </w:rPr>
              <w:t>(+4</w:t>
            </w:r>
            <w:r>
              <w:rPr>
                <w:color w:val="0D0D0D" w:themeColor="text1" w:themeTint="F2"/>
                <w:spacing w:val="-3"/>
                <w:lang w:val="en-GB"/>
              </w:rPr>
              <w:t>.</w:t>
            </w:r>
            <w:r w:rsidRPr="00F70D82">
              <w:rPr>
                <w:color w:val="0D0D0D" w:themeColor="text1" w:themeTint="F2"/>
                <w:spacing w:val="-3"/>
                <w:lang w:val="en-GB"/>
              </w:rPr>
              <w:t>9%)</w:t>
            </w:r>
            <w:r>
              <w:rPr>
                <w:color w:val="0D0D0D" w:themeColor="text1" w:themeTint="F2"/>
                <w:spacing w:val="-3"/>
                <w:lang w:val="en-GB"/>
              </w:rPr>
              <w:t xml:space="preserve"> and out of large industries electrical engineering </w:t>
            </w:r>
            <w:r w:rsidRPr="00F70D82">
              <w:rPr>
                <w:color w:val="0D0D0D" w:themeColor="text1" w:themeTint="F2"/>
                <w:spacing w:val="-3"/>
                <w:lang w:val="en-GB"/>
              </w:rPr>
              <w:t>(+2</w:t>
            </w:r>
            <w:r>
              <w:rPr>
                <w:color w:val="0D0D0D" w:themeColor="text1" w:themeTint="F2"/>
                <w:spacing w:val="-3"/>
                <w:lang w:val="en-GB"/>
              </w:rPr>
              <w:t>.</w:t>
            </w:r>
            <w:r w:rsidRPr="00F70D82">
              <w:rPr>
                <w:color w:val="0D0D0D" w:themeColor="text1" w:themeTint="F2"/>
                <w:spacing w:val="-3"/>
                <w:lang w:val="en-GB"/>
              </w:rPr>
              <w:t>8%),</w:t>
            </w:r>
            <w:r>
              <w:rPr>
                <w:color w:val="0D0D0D" w:themeColor="text1" w:themeTint="F2"/>
                <w:spacing w:val="-3"/>
                <w:lang w:val="en-GB"/>
              </w:rPr>
              <w:t xml:space="preserve"> metalworking </w:t>
            </w:r>
            <w:r w:rsidRPr="00F70D82">
              <w:rPr>
                <w:color w:val="0D0D0D" w:themeColor="text1" w:themeTint="F2"/>
                <w:spacing w:val="-3"/>
                <w:lang w:val="en-GB"/>
              </w:rPr>
              <w:t>(+2</w:t>
            </w:r>
            <w:r>
              <w:rPr>
                <w:color w:val="0D0D0D" w:themeColor="text1" w:themeTint="F2"/>
                <w:spacing w:val="-3"/>
                <w:lang w:val="en-GB"/>
              </w:rPr>
              <w:t>.</w:t>
            </w:r>
            <w:r w:rsidRPr="00F70D82">
              <w:rPr>
                <w:color w:val="0D0D0D" w:themeColor="text1" w:themeTint="F2"/>
                <w:spacing w:val="-3"/>
                <w:lang w:val="en-GB"/>
              </w:rPr>
              <w:t>5%) a</w:t>
            </w:r>
            <w:r>
              <w:rPr>
                <w:color w:val="0D0D0D" w:themeColor="text1" w:themeTint="F2"/>
                <w:spacing w:val="-3"/>
                <w:lang w:val="en-GB"/>
              </w:rPr>
              <w:t xml:space="preserve">nd food industry </w:t>
            </w:r>
            <w:r w:rsidRPr="00F70D82">
              <w:rPr>
                <w:color w:val="0D0D0D" w:themeColor="text1" w:themeTint="F2"/>
                <w:spacing w:val="-3"/>
                <w:lang w:val="en-GB"/>
              </w:rPr>
              <w:t>(+1</w:t>
            </w:r>
            <w:r>
              <w:rPr>
                <w:color w:val="0D0D0D" w:themeColor="text1" w:themeTint="F2"/>
                <w:spacing w:val="-3"/>
                <w:lang w:val="en-GB"/>
              </w:rPr>
              <w:t>.</w:t>
            </w:r>
            <w:r w:rsidRPr="00F70D82">
              <w:rPr>
                <w:color w:val="0D0D0D" w:themeColor="text1" w:themeTint="F2"/>
                <w:spacing w:val="-3"/>
                <w:lang w:val="en-GB"/>
              </w:rPr>
              <w:t>7%). In contrast, even some key activities – manufacturing of motor</w:t>
            </w:r>
            <w:r>
              <w:rPr>
                <w:color w:val="0D0D0D" w:themeColor="text1" w:themeTint="F2"/>
                <w:spacing w:val="-3"/>
                <w:lang w:val="en-GB"/>
              </w:rPr>
              <w:t xml:space="preserve"> vehicles</w:t>
            </w:r>
            <w:r w:rsidRPr="00F70D82">
              <w:rPr>
                <w:color w:val="0D0D0D" w:themeColor="text1" w:themeTint="F2"/>
                <w:spacing w:val="-3"/>
                <w:lang w:val="en-GB"/>
              </w:rPr>
              <w:t xml:space="preserve"> (</w:t>
            </w:r>
            <w:r w:rsidRPr="00F70D82">
              <w:rPr>
                <w:spacing w:val="-4"/>
                <w:lang w:val="en-GB"/>
              </w:rPr>
              <w:t>–</w:t>
            </w:r>
            <w:r w:rsidRPr="00F70D82">
              <w:rPr>
                <w:color w:val="0D0D0D" w:themeColor="text1" w:themeTint="F2"/>
                <w:spacing w:val="-3"/>
                <w:lang w:val="en-GB"/>
              </w:rPr>
              <w:t>5.5%) and machinery (</w:t>
            </w:r>
            <w:r w:rsidRPr="00F70D82">
              <w:rPr>
                <w:spacing w:val="-4"/>
                <w:lang w:val="en-GB"/>
              </w:rPr>
              <w:t>–</w:t>
            </w:r>
            <w:r w:rsidRPr="00F70D82">
              <w:rPr>
                <w:color w:val="0D0D0D" w:themeColor="text1" w:themeTint="F2"/>
                <w:spacing w:val="-3"/>
                <w:lang w:val="en-GB"/>
              </w:rPr>
              <w:t>6.0%) and also the energy industry (</w:t>
            </w:r>
            <w:r w:rsidRPr="00F70D82">
              <w:rPr>
                <w:spacing w:val="-4"/>
                <w:lang w:val="en-GB"/>
              </w:rPr>
              <w:t>–</w:t>
            </w:r>
            <w:r w:rsidRPr="00F70D82">
              <w:rPr>
                <w:color w:val="0D0D0D" w:themeColor="text1" w:themeTint="F2"/>
                <w:spacing w:val="-3"/>
                <w:lang w:val="en-GB"/>
              </w:rPr>
              <w:t>9.6%) were losing.</w:t>
            </w:r>
          </w:p>
        </w:tc>
      </w:tr>
      <w:tr w:rsidR="009732DF" w:rsidRPr="006237E6" w14:paraId="3F5D15E9" w14:textId="77777777" w:rsidTr="001144FB">
        <w:trPr>
          <w:trHeight w:val="155"/>
        </w:trPr>
        <w:tc>
          <w:tcPr>
            <w:tcW w:w="1728" w:type="dxa"/>
            <w:shd w:val="clear" w:color="auto" w:fill="auto"/>
            <w:tcMar>
              <w:left w:w="0" w:type="dxa"/>
            </w:tcMar>
          </w:tcPr>
          <w:p w14:paraId="231DF710" w14:textId="77777777" w:rsidR="009732DF" w:rsidRDefault="009732DF" w:rsidP="001144FB">
            <w:pPr>
              <w:pStyle w:val="Marginlie"/>
              <w:rPr>
                <w:spacing w:val="-4"/>
              </w:rPr>
            </w:pPr>
            <w:r w:rsidRPr="00836C2D">
              <w:rPr>
                <w:spacing w:val="-4"/>
                <w:lang w:val="en-GB"/>
              </w:rPr>
              <w:lastRenderedPageBreak/>
              <w:t xml:space="preserve">Sales from direct export </w:t>
            </w:r>
            <w:r>
              <w:rPr>
                <w:spacing w:val="-4"/>
                <w:lang w:val="en-GB"/>
              </w:rPr>
              <w:t xml:space="preserve">kept growing </w:t>
            </w:r>
            <w:r w:rsidRPr="00836C2D">
              <w:rPr>
                <w:spacing w:val="-4"/>
                <w:lang w:val="en-GB"/>
              </w:rPr>
              <w:t xml:space="preserve">more briskly than domestic sales. </w:t>
            </w:r>
            <w:r>
              <w:rPr>
                <w:spacing w:val="-4"/>
                <w:lang w:val="en-GB"/>
              </w:rPr>
              <w:t>In chemical, metallurgy and wood industry, the growth of sales was also driven by significantly higher prices.</w:t>
            </w:r>
          </w:p>
        </w:tc>
        <w:tc>
          <w:tcPr>
            <w:tcW w:w="206" w:type="dxa"/>
            <w:shd w:val="clear" w:color="auto" w:fill="auto"/>
            <w:tcMar>
              <w:left w:w="0" w:type="dxa"/>
            </w:tcMar>
          </w:tcPr>
          <w:p w14:paraId="4F9BEDB0" w14:textId="77777777" w:rsidR="009732DF" w:rsidRPr="003B1401" w:rsidRDefault="009732DF" w:rsidP="001144FB">
            <w:pPr>
              <w:pStyle w:val="Textpoznpodarou"/>
              <w:jc w:val="both"/>
              <w:rPr>
                <w:spacing w:val="-4"/>
              </w:rPr>
            </w:pPr>
          </w:p>
        </w:tc>
        <w:tc>
          <w:tcPr>
            <w:tcW w:w="7730" w:type="dxa"/>
            <w:shd w:val="clear" w:color="auto" w:fill="auto"/>
            <w:tcMar>
              <w:left w:w="0" w:type="dxa"/>
            </w:tcMar>
          </w:tcPr>
          <w:p w14:paraId="2BFA60B7" w14:textId="77777777" w:rsidR="009732DF" w:rsidRPr="00F70D82" w:rsidRDefault="009732DF" w:rsidP="001144FB">
            <w:pPr>
              <w:rPr>
                <w:rFonts w:cs="Arial"/>
                <w:bCs/>
                <w:color w:val="0D0D0D" w:themeColor="text1" w:themeTint="F2"/>
                <w:spacing w:val="-4"/>
                <w:szCs w:val="20"/>
                <w:lang w:val="en-GB"/>
              </w:rPr>
            </w:pPr>
            <w:r w:rsidRPr="00F70D82">
              <w:rPr>
                <w:rFonts w:cs="Arial"/>
                <w:bCs/>
                <w:color w:val="0D0D0D" w:themeColor="text1" w:themeTint="F2"/>
                <w:spacing w:val="-4"/>
                <w:szCs w:val="20"/>
                <w:lang w:val="en-GB"/>
              </w:rPr>
              <w:t>Nominal sales of industrial businesses</w:t>
            </w:r>
            <w:r w:rsidRPr="00F70D82">
              <w:rPr>
                <w:rStyle w:val="Znakapoznpodarou"/>
                <w:bCs/>
                <w:color w:val="0D0D0D" w:themeColor="text1" w:themeTint="F2"/>
                <w:spacing w:val="-4"/>
                <w:szCs w:val="20"/>
                <w:lang w:val="en-GB"/>
              </w:rPr>
              <w:footnoteReference w:id="14"/>
            </w:r>
            <w:r w:rsidRPr="00F70D82">
              <w:rPr>
                <w:rFonts w:cs="Arial"/>
                <w:bCs/>
                <w:color w:val="0D0D0D" w:themeColor="text1" w:themeTint="F2"/>
                <w:spacing w:val="-4"/>
                <w:szCs w:val="20"/>
                <w:lang w:val="en-GB"/>
              </w:rPr>
              <w:t xml:space="preserve"> grew by 4</w:t>
            </w:r>
            <w:r>
              <w:rPr>
                <w:rFonts w:cs="Arial"/>
                <w:bCs/>
                <w:color w:val="0D0D0D" w:themeColor="text1" w:themeTint="F2"/>
                <w:spacing w:val="-4"/>
                <w:szCs w:val="20"/>
                <w:lang w:val="en-GB"/>
              </w:rPr>
              <w:t>.</w:t>
            </w:r>
            <w:r w:rsidRPr="00F70D82">
              <w:rPr>
                <w:rFonts w:cs="Arial"/>
                <w:bCs/>
                <w:color w:val="0D0D0D" w:themeColor="text1" w:themeTint="F2"/>
                <w:spacing w:val="-4"/>
                <w:szCs w:val="20"/>
                <w:lang w:val="en-GB"/>
              </w:rPr>
              <w:t xml:space="preserve">1% quarter-on-quarter in Q2 2021 and offset the mild decrease from the beginning of the year. </w:t>
            </w:r>
            <w:r>
              <w:rPr>
                <w:rFonts w:cs="Arial"/>
                <w:bCs/>
                <w:color w:val="0D0D0D" w:themeColor="text1" w:themeTint="F2"/>
                <w:spacing w:val="-4"/>
                <w:szCs w:val="20"/>
                <w:lang w:val="en-GB"/>
              </w:rPr>
              <w:t xml:space="preserve">Sales from direct export were by </w:t>
            </w:r>
            <w:r w:rsidRPr="00F70D82">
              <w:rPr>
                <w:rFonts w:cs="Arial"/>
                <w:bCs/>
                <w:color w:val="0D0D0D" w:themeColor="text1" w:themeTint="F2"/>
                <w:spacing w:val="-4"/>
                <w:szCs w:val="20"/>
                <w:lang w:val="en-GB"/>
              </w:rPr>
              <w:t>38</w:t>
            </w:r>
            <w:r>
              <w:rPr>
                <w:rFonts w:cs="Arial"/>
                <w:bCs/>
                <w:color w:val="0D0D0D" w:themeColor="text1" w:themeTint="F2"/>
                <w:spacing w:val="-4"/>
                <w:szCs w:val="20"/>
                <w:lang w:val="en-GB"/>
              </w:rPr>
              <w:t>.</w:t>
            </w:r>
            <w:r w:rsidRPr="00F70D82">
              <w:rPr>
                <w:rFonts w:cs="Arial"/>
                <w:bCs/>
                <w:color w:val="0D0D0D" w:themeColor="text1" w:themeTint="F2"/>
                <w:spacing w:val="-4"/>
                <w:szCs w:val="20"/>
                <w:lang w:val="en-GB"/>
              </w:rPr>
              <w:t>1%</w:t>
            </w:r>
            <w:r>
              <w:rPr>
                <w:rFonts w:cs="Arial"/>
                <w:bCs/>
                <w:color w:val="0D0D0D" w:themeColor="text1" w:themeTint="F2"/>
                <w:spacing w:val="-4"/>
                <w:szCs w:val="20"/>
                <w:lang w:val="en-GB"/>
              </w:rPr>
              <w:t xml:space="preserve"> higher</w:t>
            </w:r>
            <w:r w:rsidRPr="00F70D82">
              <w:rPr>
                <w:rFonts w:cs="Arial"/>
                <w:bCs/>
                <w:color w:val="0D0D0D" w:themeColor="text1" w:themeTint="F2"/>
                <w:spacing w:val="-4"/>
                <w:szCs w:val="20"/>
                <w:lang w:val="en-GB"/>
              </w:rPr>
              <w:t xml:space="preserve">, </w:t>
            </w:r>
            <w:r>
              <w:rPr>
                <w:rFonts w:cs="Arial"/>
                <w:bCs/>
                <w:color w:val="0D0D0D" w:themeColor="text1" w:themeTint="F2"/>
                <w:spacing w:val="-4"/>
                <w:szCs w:val="20"/>
                <w:lang w:val="en-GB"/>
              </w:rPr>
              <w:t xml:space="preserve">domestic sales by </w:t>
            </w:r>
            <w:r w:rsidRPr="00F70D82">
              <w:rPr>
                <w:rFonts w:cs="Arial"/>
                <w:bCs/>
                <w:color w:val="0D0D0D" w:themeColor="text1" w:themeTint="F2"/>
                <w:spacing w:val="-4"/>
                <w:szCs w:val="20"/>
                <w:lang w:val="en-GB"/>
              </w:rPr>
              <w:t>26</w:t>
            </w:r>
            <w:r>
              <w:rPr>
                <w:rFonts w:cs="Arial"/>
                <w:bCs/>
                <w:color w:val="0D0D0D" w:themeColor="text1" w:themeTint="F2"/>
                <w:spacing w:val="-4"/>
                <w:szCs w:val="20"/>
                <w:lang w:val="en-GB"/>
              </w:rPr>
              <w:t>.</w:t>
            </w:r>
            <w:r w:rsidRPr="00F70D82">
              <w:rPr>
                <w:rFonts w:cs="Arial"/>
                <w:bCs/>
                <w:color w:val="0D0D0D" w:themeColor="text1" w:themeTint="F2"/>
                <w:spacing w:val="-4"/>
                <w:szCs w:val="20"/>
                <w:lang w:val="en-GB"/>
              </w:rPr>
              <w:t>9%.</w:t>
            </w:r>
            <w:r>
              <w:rPr>
                <w:rFonts w:cs="Arial"/>
                <w:bCs/>
                <w:color w:val="0D0D0D" w:themeColor="text1" w:themeTint="F2"/>
                <w:spacing w:val="-4"/>
                <w:szCs w:val="20"/>
                <w:lang w:val="en-GB"/>
              </w:rPr>
              <w:t xml:space="preserve"> Foreign demand was thus growing faster compared to the domestic demand already fourth quarter in a row </w:t>
            </w:r>
            <w:r w:rsidRPr="00F70D82">
              <w:rPr>
                <w:rStyle w:val="Znakapoznpodarou"/>
                <w:bCs/>
                <w:color w:val="0D0D0D" w:themeColor="text1" w:themeTint="F2"/>
                <w:spacing w:val="-4"/>
                <w:szCs w:val="20"/>
                <w:lang w:val="en-GB"/>
              </w:rPr>
              <w:footnoteReference w:id="15"/>
            </w:r>
            <w:r w:rsidRPr="00F70D82">
              <w:rPr>
                <w:rFonts w:cs="Arial"/>
                <w:bCs/>
                <w:color w:val="0D0D0D" w:themeColor="text1" w:themeTint="F2"/>
                <w:spacing w:val="-4"/>
                <w:szCs w:val="20"/>
                <w:lang w:val="en-GB"/>
              </w:rPr>
              <w:t xml:space="preserve">. </w:t>
            </w:r>
            <w:r>
              <w:rPr>
                <w:rFonts w:cs="Arial"/>
                <w:bCs/>
                <w:color w:val="0D0D0D" w:themeColor="text1" w:themeTint="F2"/>
                <w:spacing w:val="-4"/>
                <w:szCs w:val="20"/>
                <w:lang w:val="en-GB"/>
              </w:rPr>
              <w:t xml:space="preserve">Total sales grew the most in manufacturing of motor vehicles </w:t>
            </w:r>
            <w:r w:rsidRPr="00F70D82">
              <w:rPr>
                <w:rFonts w:cs="Arial"/>
                <w:bCs/>
                <w:color w:val="0D0D0D" w:themeColor="text1" w:themeTint="F2"/>
                <w:spacing w:val="-4"/>
                <w:szCs w:val="20"/>
                <w:lang w:val="en-GB"/>
              </w:rPr>
              <w:t>(73</w:t>
            </w:r>
            <w:r>
              <w:rPr>
                <w:rFonts w:cs="Arial"/>
                <w:bCs/>
                <w:color w:val="0D0D0D" w:themeColor="text1" w:themeTint="F2"/>
                <w:spacing w:val="-4"/>
                <w:szCs w:val="20"/>
                <w:lang w:val="en-GB"/>
              </w:rPr>
              <w:t>.</w:t>
            </w:r>
            <w:r w:rsidRPr="00F70D82">
              <w:rPr>
                <w:rFonts w:cs="Arial"/>
                <w:bCs/>
                <w:color w:val="0D0D0D" w:themeColor="text1" w:themeTint="F2"/>
                <w:spacing w:val="-4"/>
                <w:szCs w:val="20"/>
                <w:lang w:val="en-GB"/>
              </w:rPr>
              <w:t>3%),</w:t>
            </w:r>
            <w:r>
              <w:rPr>
                <w:rFonts w:cs="Arial"/>
                <w:bCs/>
                <w:color w:val="0D0D0D" w:themeColor="text1" w:themeTint="F2"/>
                <w:spacing w:val="-4"/>
                <w:szCs w:val="20"/>
                <w:lang w:val="en-GB"/>
              </w:rPr>
              <w:t xml:space="preserve"> </w:t>
            </w:r>
            <w:r w:rsidRPr="00F70D82">
              <w:rPr>
                <w:rFonts w:cs="Arial"/>
                <w:bCs/>
                <w:color w:val="0D0D0D" w:themeColor="text1" w:themeTint="F2"/>
                <w:spacing w:val="-4"/>
                <w:szCs w:val="20"/>
                <w:lang w:val="en-GB"/>
              </w:rPr>
              <w:t xml:space="preserve"> </w:t>
            </w:r>
            <w:r>
              <w:rPr>
                <w:rFonts w:cs="Arial"/>
                <w:bCs/>
                <w:color w:val="0D0D0D" w:themeColor="text1" w:themeTint="F2"/>
                <w:spacing w:val="-4"/>
                <w:szCs w:val="20"/>
                <w:lang w:val="en-GB"/>
              </w:rPr>
              <w:t xml:space="preserve">still it was not adequate to fully cover the deeper slump from Q2 </w:t>
            </w:r>
            <w:r w:rsidRPr="00F70D82">
              <w:rPr>
                <w:rFonts w:cs="Arial"/>
                <w:bCs/>
                <w:color w:val="0D0D0D" w:themeColor="text1" w:themeTint="F2"/>
                <w:spacing w:val="-4"/>
                <w:szCs w:val="20"/>
                <w:lang w:val="en-GB"/>
              </w:rPr>
              <w:t>2020</w:t>
            </w:r>
            <w:r>
              <w:rPr>
                <w:rFonts w:cs="Arial"/>
                <w:bCs/>
                <w:color w:val="0D0D0D" w:themeColor="text1" w:themeTint="F2"/>
                <w:spacing w:val="-4"/>
                <w:szCs w:val="20"/>
                <w:lang w:val="en-GB"/>
              </w:rPr>
              <w:t>. Manufacture of rubber and plastic products reported more than 50% increase in sales</w:t>
            </w:r>
            <w:r w:rsidRPr="00F70D82">
              <w:rPr>
                <w:rFonts w:cs="Arial"/>
                <w:bCs/>
                <w:color w:val="0D0D0D" w:themeColor="text1" w:themeTint="F2"/>
                <w:spacing w:val="-4"/>
                <w:szCs w:val="20"/>
                <w:lang w:val="en-GB"/>
              </w:rPr>
              <w:t xml:space="preserve">, </w:t>
            </w:r>
            <w:r>
              <w:rPr>
                <w:rFonts w:cs="Arial"/>
                <w:bCs/>
                <w:color w:val="0D0D0D" w:themeColor="text1" w:themeTint="F2"/>
                <w:spacing w:val="-4"/>
                <w:szCs w:val="20"/>
                <w:lang w:val="en-GB"/>
              </w:rPr>
              <w:t xml:space="preserve">as well as chemical industry and metallurgy, where however the price growth played a notable role. It supported the sales in wood industry as well </w:t>
            </w:r>
            <w:r w:rsidRPr="00F70D82">
              <w:rPr>
                <w:rFonts w:cs="Arial"/>
                <w:bCs/>
                <w:color w:val="0D0D0D" w:themeColor="text1" w:themeTint="F2"/>
                <w:spacing w:val="-4"/>
                <w:szCs w:val="20"/>
                <w:lang w:val="en-GB"/>
              </w:rPr>
              <w:t>(43</w:t>
            </w:r>
            <w:r>
              <w:rPr>
                <w:rFonts w:cs="Arial"/>
                <w:bCs/>
                <w:color w:val="0D0D0D" w:themeColor="text1" w:themeTint="F2"/>
                <w:spacing w:val="-4"/>
                <w:szCs w:val="20"/>
                <w:lang w:val="en-GB"/>
              </w:rPr>
              <w:t>.</w:t>
            </w:r>
            <w:r w:rsidRPr="00F70D82">
              <w:rPr>
                <w:rFonts w:cs="Arial"/>
                <w:bCs/>
                <w:color w:val="0D0D0D" w:themeColor="text1" w:themeTint="F2"/>
                <w:spacing w:val="-4"/>
                <w:szCs w:val="20"/>
                <w:lang w:val="en-GB"/>
              </w:rPr>
              <w:t>2%,</w:t>
            </w:r>
            <w:r>
              <w:rPr>
                <w:rFonts w:cs="Arial"/>
                <w:bCs/>
                <w:color w:val="0D0D0D" w:themeColor="text1" w:themeTint="F2"/>
                <w:spacing w:val="-4"/>
                <w:szCs w:val="20"/>
                <w:lang w:val="en-GB"/>
              </w:rPr>
              <w:t xml:space="preserve"> even </w:t>
            </w:r>
            <w:r w:rsidRPr="00F70D82">
              <w:rPr>
                <w:rFonts w:cs="Arial"/>
                <w:bCs/>
                <w:color w:val="0D0D0D" w:themeColor="text1" w:themeTint="F2"/>
                <w:spacing w:val="-4"/>
                <w:szCs w:val="20"/>
                <w:lang w:val="en-GB"/>
              </w:rPr>
              <w:t>50</w:t>
            </w:r>
            <w:r>
              <w:rPr>
                <w:rFonts w:cs="Arial"/>
                <w:bCs/>
                <w:color w:val="0D0D0D" w:themeColor="text1" w:themeTint="F2"/>
                <w:spacing w:val="-4"/>
                <w:szCs w:val="20"/>
                <w:lang w:val="en-GB"/>
              </w:rPr>
              <w:t>.</w:t>
            </w:r>
            <w:r w:rsidRPr="00F70D82">
              <w:rPr>
                <w:rFonts w:cs="Arial"/>
                <w:bCs/>
                <w:color w:val="0D0D0D" w:themeColor="text1" w:themeTint="F2"/>
                <w:spacing w:val="-4"/>
                <w:szCs w:val="20"/>
                <w:lang w:val="en-GB"/>
              </w:rPr>
              <w:t>3%</w:t>
            </w:r>
            <w:r>
              <w:rPr>
                <w:rFonts w:cs="Arial"/>
                <w:bCs/>
                <w:color w:val="0D0D0D" w:themeColor="text1" w:themeTint="F2"/>
                <w:spacing w:val="-4"/>
                <w:szCs w:val="20"/>
                <w:lang w:val="en-GB"/>
              </w:rPr>
              <w:t xml:space="preserve"> for direct export</w:t>
            </w:r>
            <w:r w:rsidRPr="00F70D82">
              <w:rPr>
                <w:rFonts w:cs="Arial"/>
                <w:bCs/>
                <w:color w:val="0D0D0D" w:themeColor="text1" w:themeTint="F2"/>
                <w:spacing w:val="-4"/>
                <w:szCs w:val="20"/>
                <w:lang w:val="en-GB"/>
              </w:rPr>
              <w:t xml:space="preserve">). </w:t>
            </w:r>
            <w:r>
              <w:rPr>
                <w:rFonts w:cs="Arial"/>
                <w:bCs/>
                <w:color w:val="0D0D0D" w:themeColor="text1" w:themeTint="F2"/>
                <w:spacing w:val="-4"/>
                <w:szCs w:val="20"/>
                <w:lang w:val="en-GB"/>
              </w:rPr>
              <w:t xml:space="preserve">Only manufacturers of clothing, pharmaceutical industry and manufacturers of computers, electrical and optical appliances registered a mild lowering of sales </w:t>
            </w:r>
            <w:r w:rsidRPr="00F70D82">
              <w:rPr>
                <w:rFonts w:cs="Arial"/>
                <w:bCs/>
                <w:color w:val="0D0D0D" w:themeColor="text1" w:themeTint="F2"/>
                <w:spacing w:val="-4"/>
                <w:szCs w:val="20"/>
                <w:lang w:val="en-GB"/>
              </w:rPr>
              <w:t>(</w:t>
            </w:r>
            <w:r>
              <w:rPr>
                <w:rFonts w:cs="Arial"/>
                <w:bCs/>
                <w:color w:val="0D0D0D" w:themeColor="text1" w:themeTint="F2"/>
                <w:spacing w:val="-4"/>
                <w:szCs w:val="20"/>
                <w:lang w:val="en-GB"/>
              </w:rPr>
              <w:t>up to</w:t>
            </w:r>
            <w:r w:rsidRPr="00F70D82">
              <w:rPr>
                <w:rFonts w:cs="Arial"/>
                <w:bCs/>
                <w:color w:val="0D0D0D" w:themeColor="text1" w:themeTint="F2"/>
                <w:spacing w:val="-4"/>
                <w:szCs w:val="20"/>
                <w:lang w:val="en-GB"/>
              </w:rPr>
              <w:t xml:space="preserve"> 5 %)</w:t>
            </w:r>
            <w:r>
              <w:rPr>
                <w:rFonts w:cs="Arial"/>
                <w:bCs/>
                <w:color w:val="0D0D0D" w:themeColor="text1" w:themeTint="F2"/>
                <w:spacing w:val="-4"/>
                <w:szCs w:val="20"/>
                <w:lang w:val="en-GB"/>
              </w:rPr>
              <w:t xml:space="preserve"> </w:t>
            </w:r>
            <w:r w:rsidRPr="00F70D82">
              <w:rPr>
                <w:rFonts w:cs="Arial"/>
                <w:bCs/>
                <w:color w:val="0D0D0D" w:themeColor="text1" w:themeTint="F2"/>
                <w:spacing w:val="-4"/>
                <w:szCs w:val="20"/>
                <w:lang w:val="en-GB"/>
              </w:rPr>
              <w:t xml:space="preserve">– </w:t>
            </w:r>
            <w:r>
              <w:rPr>
                <w:rFonts w:cs="Arial"/>
                <w:bCs/>
                <w:color w:val="0D0D0D" w:themeColor="text1" w:themeTint="F2"/>
                <w:spacing w:val="-4"/>
                <w:szCs w:val="20"/>
                <w:lang w:val="en-GB"/>
              </w:rPr>
              <w:t>in all cases exclusively due to the adverse price impact.</w:t>
            </w:r>
          </w:p>
        </w:tc>
      </w:tr>
      <w:tr w:rsidR="009732DF" w:rsidRPr="006237E6" w14:paraId="4D791793" w14:textId="77777777" w:rsidTr="001144FB">
        <w:trPr>
          <w:trHeight w:val="155"/>
        </w:trPr>
        <w:tc>
          <w:tcPr>
            <w:tcW w:w="1728" w:type="dxa"/>
            <w:shd w:val="clear" w:color="auto" w:fill="auto"/>
            <w:tcMar>
              <w:left w:w="0" w:type="dxa"/>
            </w:tcMar>
          </w:tcPr>
          <w:p w14:paraId="711E65C8" w14:textId="77777777" w:rsidR="009732DF" w:rsidRPr="00BE54BF" w:rsidRDefault="009732DF" w:rsidP="001144FB">
            <w:pPr>
              <w:pStyle w:val="Marginlie"/>
            </w:pPr>
          </w:p>
        </w:tc>
        <w:tc>
          <w:tcPr>
            <w:tcW w:w="206" w:type="dxa"/>
            <w:shd w:val="clear" w:color="auto" w:fill="auto"/>
            <w:tcMar>
              <w:left w:w="0" w:type="dxa"/>
            </w:tcMar>
          </w:tcPr>
          <w:p w14:paraId="36339734" w14:textId="77777777" w:rsidR="009732DF" w:rsidRPr="003B1401" w:rsidRDefault="009732DF" w:rsidP="001144FB">
            <w:pPr>
              <w:pStyle w:val="Textpoznpodarou"/>
              <w:jc w:val="both"/>
              <w:rPr>
                <w:spacing w:val="-4"/>
              </w:rPr>
            </w:pPr>
          </w:p>
        </w:tc>
        <w:tc>
          <w:tcPr>
            <w:tcW w:w="7730" w:type="dxa"/>
            <w:shd w:val="clear" w:color="auto" w:fill="auto"/>
            <w:tcMar>
              <w:left w:w="0" w:type="dxa"/>
            </w:tcMar>
          </w:tcPr>
          <w:p w14:paraId="743C6EF1" w14:textId="77777777" w:rsidR="009732DF" w:rsidRPr="00965AD0" w:rsidRDefault="009732DF" w:rsidP="001144FB">
            <w:pPr>
              <w:spacing w:after="0"/>
              <w:rPr>
                <w:spacing w:val="-4"/>
              </w:rPr>
            </w:pPr>
            <w:r>
              <w:rPr>
                <w:rFonts w:cs="Arial"/>
                <w:b/>
                <w:bCs/>
                <w:color w:val="000000"/>
                <w:szCs w:val="20"/>
              </w:rPr>
              <w:t xml:space="preserve">Chart </w:t>
            </w:r>
            <w:r w:rsidRPr="00883202">
              <w:rPr>
                <w:rFonts w:cs="Arial"/>
                <w:b/>
                <w:bCs/>
                <w:color w:val="000000"/>
                <w:szCs w:val="20"/>
              </w:rPr>
              <w:t>4</w:t>
            </w:r>
            <w:r>
              <w:rPr>
                <w:rFonts w:cs="Arial"/>
                <w:b/>
                <w:bCs/>
                <w:color w:val="000000"/>
                <w:szCs w:val="20"/>
              </w:rPr>
              <w:t xml:space="preserve"> </w:t>
            </w:r>
            <w:r w:rsidRPr="00883202">
              <w:rPr>
                <w:rFonts w:cs="Arial"/>
                <w:b/>
                <w:bCs/>
                <w:color w:val="000000"/>
                <w:szCs w:val="20"/>
              </w:rPr>
              <w:t xml:space="preserve"> </w:t>
            </w:r>
            <w:r w:rsidRPr="007E2CDD">
              <w:rPr>
                <w:b/>
                <w:lang w:val="en-GB"/>
              </w:rPr>
              <w:t xml:space="preserve">Contributions of sub-branches to the year-on-year change of the industrial production </w:t>
            </w:r>
            <w:r w:rsidRPr="007E2CDD">
              <w:rPr>
                <w:lang w:val="en-GB"/>
              </w:rPr>
              <w:t xml:space="preserve">(in p.p., adjusted for calendar effects), </w:t>
            </w:r>
            <w:r w:rsidRPr="007E2CDD">
              <w:rPr>
                <w:b/>
                <w:bCs/>
                <w:lang w:val="en-GB"/>
              </w:rPr>
              <w:t>confidence indicator in industry</w:t>
            </w:r>
            <w:r w:rsidRPr="007E2CDD">
              <w:rPr>
                <w:b/>
                <w:lang w:val="en-GB"/>
              </w:rPr>
              <w:t xml:space="preserve">* </w:t>
            </w:r>
            <w:r w:rsidRPr="007E2CDD">
              <w:rPr>
                <w:lang w:val="en-GB"/>
              </w:rPr>
              <w:t>(in p.p., right axis)</w:t>
            </w:r>
          </w:p>
        </w:tc>
      </w:tr>
      <w:tr w:rsidR="009732DF" w:rsidRPr="00B43216" w14:paraId="60639E7D" w14:textId="77777777" w:rsidTr="001144FB">
        <w:tblPrEx>
          <w:tblCellMar>
            <w:left w:w="70" w:type="dxa"/>
            <w:right w:w="70" w:type="dxa"/>
          </w:tblCellMar>
        </w:tblPrEx>
        <w:trPr>
          <w:trHeight w:val="145"/>
        </w:trPr>
        <w:tc>
          <w:tcPr>
            <w:tcW w:w="1728" w:type="dxa"/>
            <w:shd w:val="clear" w:color="auto" w:fill="auto"/>
          </w:tcPr>
          <w:p w14:paraId="398A3E57" w14:textId="77777777" w:rsidR="009732DF" w:rsidRDefault="009732DF" w:rsidP="001144FB">
            <w:pPr>
              <w:pStyle w:val="Marginlie"/>
              <w:rPr>
                <w:spacing w:val="-4"/>
              </w:rPr>
            </w:pPr>
          </w:p>
        </w:tc>
        <w:tc>
          <w:tcPr>
            <w:tcW w:w="206" w:type="dxa"/>
            <w:shd w:val="clear" w:color="auto" w:fill="auto"/>
          </w:tcPr>
          <w:p w14:paraId="07866494" w14:textId="77777777" w:rsidR="009732DF" w:rsidRPr="00B43216" w:rsidRDefault="009732DF" w:rsidP="001144FB">
            <w:pPr>
              <w:pStyle w:val="Textpoznpodarou"/>
              <w:jc w:val="both"/>
              <w:rPr>
                <w:spacing w:val="-4"/>
              </w:rPr>
            </w:pPr>
          </w:p>
        </w:tc>
        <w:tc>
          <w:tcPr>
            <w:tcW w:w="7730" w:type="dxa"/>
            <w:shd w:val="clear" w:color="auto" w:fill="auto"/>
          </w:tcPr>
          <w:p w14:paraId="49CD347E" w14:textId="77777777" w:rsidR="009732DF" w:rsidRPr="00241E62" w:rsidRDefault="009732DF" w:rsidP="001144FB">
            <w:pPr>
              <w:spacing w:after="0"/>
              <w:rPr>
                <w:rFonts w:cs="Arial"/>
                <w:bCs/>
                <w:color w:val="000000"/>
                <w:szCs w:val="20"/>
              </w:rPr>
            </w:pPr>
            <w:r>
              <w:rPr>
                <w:noProof/>
              </w:rPr>
              <w:drawing>
                <wp:inline distT="0" distB="0" distL="0" distR="0" wp14:anchorId="44DDA755" wp14:editId="0669464B">
                  <wp:extent cx="4817994" cy="3626053"/>
                  <wp:effectExtent l="0" t="0" r="1905" b="0"/>
                  <wp:docPr id="2" name="Graf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r>
      <w:tr w:rsidR="009732DF" w:rsidRPr="00B43216" w14:paraId="7D952A56" w14:textId="77777777" w:rsidTr="001144FB">
        <w:trPr>
          <w:trHeight w:val="145"/>
        </w:trPr>
        <w:tc>
          <w:tcPr>
            <w:tcW w:w="1728" w:type="dxa"/>
            <w:shd w:val="clear" w:color="auto" w:fill="auto"/>
            <w:tcMar>
              <w:left w:w="0" w:type="dxa"/>
            </w:tcMar>
          </w:tcPr>
          <w:p w14:paraId="68C3FDA5" w14:textId="77777777" w:rsidR="009732DF" w:rsidRDefault="009732DF" w:rsidP="001144FB">
            <w:pPr>
              <w:pStyle w:val="Marginlie"/>
              <w:rPr>
                <w:spacing w:val="-4"/>
              </w:rPr>
            </w:pPr>
          </w:p>
        </w:tc>
        <w:tc>
          <w:tcPr>
            <w:tcW w:w="206" w:type="dxa"/>
            <w:shd w:val="clear" w:color="auto" w:fill="auto"/>
            <w:tcMar>
              <w:left w:w="0" w:type="dxa"/>
            </w:tcMar>
          </w:tcPr>
          <w:p w14:paraId="41E693C9" w14:textId="77777777" w:rsidR="009732DF" w:rsidRPr="00B43216" w:rsidRDefault="009732DF" w:rsidP="001144FB">
            <w:pPr>
              <w:pStyle w:val="Textpoznpodarou"/>
              <w:jc w:val="both"/>
              <w:rPr>
                <w:spacing w:val="-4"/>
              </w:rPr>
            </w:pPr>
          </w:p>
        </w:tc>
        <w:tc>
          <w:tcPr>
            <w:tcW w:w="7730" w:type="dxa"/>
            <w:shd w:val="clear" w:color="auto" w:fill="auto"/>
            <w:tcMar>
              <w:left w:w="0" w:type="dxa"/>
            </w:tcMar>
          </w:tcPr>
          <w:p w14:paraId="45C04EA0" w14:textId="77777777" w:rsidR="009732DF" w:rsidRPr="00072B9B" w:rsidRDefault="009732DF" w:rsidP="001144FB">
            <w:pPr>
              <w:tabs>
                <w:tab w:val="right" w:pos="7711"/>
              </w:tabs>
              <w:spacing w:after="200"/>
              <w:rPr>
                <w:rFonts w:cs="Arial"/>
                <w:sz w:val="14"/>
                <w:szCs w:val="14"/>
                <w:lang w:val="en-GB"/>
              </w:rPr>
            </w:pPr>
            <w:r w:rsidRPr="00993C99">
              <w:rPr>
                <w:rFonts w:cs="Arial"/>
                <w:sz w:val="14"/>
                <w:szCs w:val="14"/>
                <w:lang w:val="en-GB"/>
              </w:rPr>
              <w:t xml:space="preserve">*Balance of confidence indicator is seasonally adjusted and expresses the </w:t>
            </w:r>
            <w:r>
              <w:rPr>
                <w:rFonts w:cs="Arial"/>
                <w:sz w:val="14"/>
                <w:szCs w:val="14"/>
                <w:lang w:val="en-GB"/>
              </w:rPr>
              <w:t>level</w:t>
            </w:r>
            <w:r w:rsidRPr="00993C99">
              <w:rPr>
                <w:rFonts w:cs="Arial"/>
                <w:sz w:val="14"/>
                <w:szCs w:val="14"/>
                <w:lang w:val="en-GB"/>
              </w:rPr>
              <w:t xml:space="preserve"> in the second month of the given quarter. Source: CZSO</w:t>
            </w:r>
          </w:p>
        </w:tc>
      </w:tr>
      <w:tr w:rsidR="009732DF" w:rsidRPr="00B43216" w14:paraId="1CC89117" w14:textId="77777777" w:rsidTr="001144FB">
        <w:trPr>
          <w:trHeight w:val="145"/>
        </w:trPr>
        <w:tc>
          <w:tcPr>
            <w:tcW w:w="1728" w:type="dxa"/>
            <w:shd w:val="clear" w:color="auto" w:fill="auto"/>
            <w:tcMar>
              <w:left w:w="0" w:type="dxa"/>
            </w:tcMar>
          </w:tcPr>
          <w:p w14:paraId="5E8619C1" w14:textId="77777777" w:rsidR="009732DF" w:rsidRPr="00BF4E0C" w:rsidRDefault="009732DF" w:rsidP="001144FB">
            <w:pPr>
              <w:pStyle w:val="Marginlie"/>
              <w:rPr>
                <w:spacing w:val="0"/>
                <w:lang w:val="en-GB"/>
              </w:rPr>
            </w:pPr>
            <w:r>
              <w:rPr>
                <w:spacing w:val="0"/>
                <w:lang w:val="en-GB"/>
              </w:rPr>
              <w:t xml:space="preserve">Growth of both domestic and foreign demand continued during H1 as well as in July itself. It was true for vast majority of monitored industries. </w:t>
            </w:r>
          </w:p>
        </w:tc>
        <w:tc>
          <w:tcPr>
            <w:tcW w:w="206" w:type="dxa"/>
            <w:shd w:val="clear" w:color="auto" w:fill="auto"/>
            <w:tcMar>
              <w:left w:w="0" w:type="dxa"/>
            </w:tcMar>
          </w:tcPr>
          <w:p w14:paraId="5996EC56" w14:textId="77777777" w:rsidR="009732DF" w:rsidRPr="00BF4E0C" w:rsidRDefault="009732DF" w:rsidP="001144FB">
            <w:pPr>
              <w:pStyle w:val="Textpoznpodarou"/>
              <w:jc w:val="both"/>
              <w:rPr>
                <w:spacing w:val="-4"/>
                <w:lang w:val="en-GB"/>
              </w:rPr>
            </w:pPr>
          </w:p>
        </w:tc>
        <w:tc>
          <w:tcPr>
            <w:tcW w:w="7730" w:type="dxa"/>
            <w:shd w:val="clear" w:color="auto" w:fill="auto"/>
            <w:tcMar>
              <w:left w:w="0" w:type="dxa"/>
            </w:tcMar>
          </w:tcPr>
          <w:p w14:paraId="0DF57650" w14:textId="77777777" w:rsidR="009732DF" w:rsidRPr="00BF4E0C" w:rsidRDefault="009732DF" w:rsidP="001144FB">
            <w:pPr>
              <w:spacing w:after="200"/>
              <w:rPr>
                <w:color w:val="0D0D0D" w:themeColor="text1" w:themeTint="F2"/>
                <w:spacing w:val="-4"/>
                <w:lang w:val="en-GB"/>
              </w:rPr>
            </w:pPr>
            <w:r>
              <w:rPr>
                <w:color w:val="0D0D0D" w:themeColor="text1" w:themeTint="F2"/>
                <w:spacing w:val="-4"/>
                <w:lang w:val="en-GB"/>
              </w:rPr>
              <w:t xml:space="preserve">Short term outlook of industry was improving during H1. Following the strong recovery in the second half of the last year, the total demand kept further growing this year. </w:t>
            </w:r>
            <w:r>
              <w:rPr>
                <w:color w:val="000000" w:themeColor="text1"/>
                <w:spacing w:val="-4"/>
                <w:lang w:val="en-GB"/>
              </w:rPr>
              <w:t>The value of industrial orders</w:t>
            </w:r>
            <w:r w:rsidRPr="00BF4E0C">
              <w:rPr>
                <w:rStyle w:val="Znakapoznpodarou"/>
                <w:spacing w:val="-4"/>
                <w:lang w:val="en-GB"/>
              </w:rPr>
              <w:footnoteReference w:id="16"/>
            </w:r>
            <w:r>
              <w:rPr>
                <w:color w:val="000000" w:themeColor="text1"/>
                <w:spacing w:val="-4"/>
                <w:lang w:val="en-GB"/>
              </w:rPr>
              <w:t xml:space="preserve"> increased by </w:t>
            </w:r>
            <w:r w:rsidRPr="00BF4E0C">
              <w:rPr>
                <w:color w:val="0D0D0D" w:themeColor="text1" w:themeTint="F2"/>
                <w:spacing w:val="-4"/>
                <w:lang w:val="en-GB"/>
              </w:rPr>
              <w:t>1</w:t>
            </w:r>
            <w:r>
              <w:rPr>
                <w:color w:val="0D0D0D" w:themeColor="text1" w:themeTint="F2"/>
                <w:spacing w:val="-4"/>
                <w:lang w:val="en-GB"/>
              </w:rPr>
              <w:t>.</w:t>
            </w:r>
            <w:r w:rsidRPr="00BF4E0C">
              <w:rPr>
                <w:color w:val="0D0D0D" w:themeColor="text1" w:themeTint="F2"/>
                <w:spacing w:val="-4"/>
                <w:lang w:val="en-GB"/>
              </w:rPr>
              <w:t>8%</w:t>
            </w:r>
            <w:r>
              <w:rPr>
                <w:color w:val="0D0D0D" w:themeColor="text1" w:themeTint="F2"/>
                <w:spacing w:val="-4"/>
                <w:lang w:val="en-GB"/>
              </w:rPr>
              <w:t xml:space="preserve"> quarter-on-quarter in Q1 2021</w:t>
            </w:r>
            <w:r w:rsidRPr="00BF4E0C">
              <w:rPr>
                <w:color w:val="0D0D0D" w:themeColor="text1" w:themeTint="F2"/>
                <w:spacing w:val="-4"/>
                <w:lang w:val="en-GB"/>
              </w:rPr>
              <w:t>,</w:t>
            </w:r>
            <w:r>
              <w:rPr>
                <w:color w:val="0D0D0D" w:themeColor="text1" w:themeTint="F2"/>
                <w:spacing w:val="-4"/>
                <w:lang w:val="en-GB"/>
              </w:rPr>
              <w:t xml:space="preserve"> by </w:t>
            </w:r>
            <w:r w:rsidRPr="00BF4E0C">
              <w:rPr>
                <w:color w:val="0D0D0D" w:themeColor="text1" w:themeTint="F2"/>
                <w:spacing w:val="-4"/>
                <w:lang w:val="en-GB"/>
              </w:rPr>
              <w:t>3</w:t>
            </w:r>
            <w:r>
              <w:rPr>
                <w:color w:val="0D0D0D" w:themeColor="text1" w:themeTint="F2"/>
                <w:spacing w:val="-4"/>
                <w:lang w:val="en-GB"/>
              </w:rPr>
              <w:t>.</w:t>
            </w:r>
            <w:r w:rsidRPr="00BF4E0C">
              <w:rPr>
                <w:color w:val="0D0D0D" w:themeColor="text1" w:themeTint="F2"/>
                <w:spacing w:val="-4"/>
                <w:lang w:val="en-GB"/>
              </w:rPr>
              <w:t>2%</w:t>
            </w:r>
            <w:r>
              <w:rPr>
                <w:color w:val="0D0D0D" w:themeColor="text1" w:themeTint="F2"/>
                <w:spacing w:val="-4"/>
                <w:lang w:val="en-GB"/>
              </w:rPr>
              <w:t xml:space="preserve"> in the subsequent period</w:t>
            </w:r>
            <w:r w:rsidRPr="00BF4E0C">
              <w:rPr>
                <w:color w:val="0D0D0D" w:themeColor="text1" w:themeTint="F2"/>
                <w:spacing w:val="-4"/>
                <w:lang w:val="en-GB"/>
              </w:rPr>
              <w:t xml:space="preserve">. </w:t>
            </w:r>
            <w:r>
              <w:rPr>
                <w:color w:val="0D0D0D" w:themeColor="text1" w:themeTint="F2"/>
                <w:spacing w:val="-4"/>
                <w:lang w:val="en-GB"/>
              </w:rPr>
              <w:t xml:space="preserve">The favourable trend also spread into the beginning of holiday period, since the orders were higher by 3.1% in July compared to the preceding month and by </w:t>
            </w:r>
            <w:r w:rsidRPr="00BF4E0C">
              <w:rPr>
                <w:color w:val="0D0D0D" w:themeColor="text1" w:themeTint="F2"/>
                <w:spacing w:val="-4"/>
                <w:lang w:val="en-GB"/>
              </w:rPr>
              <w:t>18</w:t>
            </w:r>
            <w:r>
              <w:rPr>
                <w:color w:val="0D0D0D" w:themeColor="text1" w:themeTint="F2"/>
                <w:spacing w:val="-4"/>
                <w:lang w:val="en-GB"/>
              </w:rPr>
              <w:t>.</w:t>
            </w:r>
            <w:r w:rsidRPr="00BF4E0C">
              <w:rPr>
                <w:color w:val="0D0D0D" w:themeColor="text1" w:themeTint="F2"/>
                <w:spacing w:val="-4"/>
                <w:lang w:val="en-GB"/>
              </w:rPr>
              <w:t>9%</w:t>
            </w:r>
            <w:r w:rsidRPr="00BF4E0C">
              <w:rPr>
                <w:rStyle w:val="Znakapoznpodarou"/>
                <w:color w:val="0D0D0D" w:themeColor="text1" w:themeTint="F2"/>
                <w:spacing w:val="-4"/>
                <w:lang w:val="en-GB"/>
              </w:rPr>
              <w:footnoteReference w:id="17"/>
            </w:r>
            <w:r>
              <w:rPr>
                <w:color w:val="0D0D0D" w:themeColor="text1" w:themeTint="F2"/>
                <w:spacing w:val="-4"/>
                <w:lang w:val="en-GB"/>
              </w:rPr>
              <w:t xml:space="preserve"> year-on-year</w:t>
            </w:r>
            <w:r w:rsidRPr="00BF4E0C">
              <w:rPr>
                <w:color w:val="0D0D0D" w:themeColor="text1" w:themeTint="F2"/>
                <w:spacing w:val="-4"/>
                <w:lang w:val="en-GB"/>
              </w:rPr>
              <w:t xml:space="preserve"> (</w:t>
            </w:r>
            <w:r>
              <w:rPr>
                <w:color w:val="0D0D0D" w:themeColor="text1" w:themeTint="F2"/>
                <w:spacing w:val="-4"/>
                <w:lang w:val="en-GB"/>
              </w:rPr>
              <w:t>without substantial differences between domestic and foreign demand</w:t>
            </w:r>
            <w:r w:rsidRPr="00BF4E0C">
              <w:rPr>
                <w:color w:val="0D0D0D" w:themeColor="text1" w:themeTint="F2"/>
                <w:spacing w:val="-4"/>
                <w:lang w:val="en-GB"/>
              </w:rPr>
              <w:t xml:space="preserve">). </w:t>
            </w:r>
            <w:r>
              <w:rPr>
                <w:color w:val="0D0D0D" w:themeColor="text1" w:themeTint="F2"/>
                <w:spacing w:val="-4"/>
                <w:lang w:val="en-GB"/>
              </w:rPr>
              <w:t xml:space="preserve">Both chemical industry and metallurgy reported strong growth, higher demand was however signalled by overwhelming majority of monitored industries. The utilisation of </w:t>
            </w:r>
            <w:r>
              <w:rPr>
                <w:color w:val="0D0D0D" w:themeColor="text1" w:themeTint="F2"/>
                <w:spacing w:val="-4"/>
                <w:lang w:val="en-GB"/>
              </w:rPr>
              <w:lastRenderedPageBreak/>
              <w:t xml:space="preserve">production capacities in industry climbed up to </w:t>
            </w:r>
            <w:r w:rsidRPr="00BF4E0C">
              <w:rPr>
                <w:color w:val="0D0D0D" w:themeColor="text1" w:themeTint="F2"/>
                <w:spacing w:val="-4"/>
                <w:lang w:val="en-GB"/>
              </w:rPr>
              <w:t>88%,</w:t>
            </w:r>
            <w:r>
              <w:rPr>
                <w:color w:val="0D0D0D" w:themeColor="text1" w:themeTint="F2"/>
                <w:spacing w:val="-4"/>
                <w:lang w:val="en-GB"/>
              </w:rPr>
              <w:t xml:space="preserve"> i.e. mildly above the level of boom period of the past decade. Only in Austria it was higher among the EU states. </w:t>
            </w:r>
          </w:p>
        </w:tc>
      </w:tr>
      <w:tr w:rsidR="009732DF" w:rsidRPr="00B43216" w14:paraId="3906CDE9" w14:textId="77777777" w:rsidTr="001144FB">
        <w:trPr>
          <w:trHeight w:val="145"/>
        </w:trPr>
        <w:tc>
          <w:tcPr>
            <w:tcW w:w="1728" w:type="dxa"/>
            <w:shd w:val="clear" w:color="auto" w:fill="auto"/>
            <w:tcMar>
              <w:left w:w="0" w:type="dxa"/>
            </w:tcMar>
          </w:tcPr>
          <w:p w14:paraId="5572D168" w14:textId="77777777" w:rsidR="009732DF" w:rsidRPr="008D5F7F" w:rsidRDefault="009732DF" w:rsidP="001144FB">
            <w:pPr>
              <w:pStyle w:val="Marginlie"/>
              <w:rPr>
                <w:spacing w:val="0"/>
                <w:lang w:val="en-GB"/>
              </w:rPr>
            </w:pPr>
            <w:r w:rsidRPr="008D5F7F">
              <w:rPr>
                <w:spacing w:val="0"/>
                <w:lang w:val="en-GB"/>
              </w:rPr>
              <w:lastRenderedPageBreak/>
              <w:t xml:space="preserve">The entrepreneur confidence in industry grew and culminated in June. Consequently it went slightly down, mainly due to the </w:t>
            </w:r>
            <w:r>
              <w:rPr>
                <w:spacing w:val="0"/>
                <w:lang w:val="en-GB"/>
              </w:rPr>
              <w:t xml:space="preserve">shortage </w:t>
            </w:r>
            <w:r w:rsidRPr="008D5F7F">
              <w:rPr>
                <w:spacing w:val="0"/>
                <w:lang w:val="en-GB"/>
              </w:rPr>
              <w:t xml:space="preserve">of production components. </w:t>
            </w:r>
          </w:p>
        </w:tc>
        <w:tc>
          <w:tcPr>
            <w:tcW w:w="206" w:type="dxa"/>
            <w:shd w:val="clear" w:color="auto" w:fill="auto"/>
            <w:tcMar>
              <w:left w:w="0" w:type="dxa"/>
            </w:tcMar>
          </w:tcPr>
          <w:p w14:paraId="30D86982" w14:textId="77777777" w:rsidR="009732DF" w:rsidRPr="008D5F7F" w:rsidRDefault="009732DF" w:rsidP="001144FB">
            <w:pPr>
              <w:pStyle w:val="Textpoznpodarou"/>
              <w:jc w:val="both"/>
              <w:rPr>
                <w:spacing w:val="-4"/>
                <w:lang w:val="en-GB"/>
              </w:rPr>
            </w:pPr>
          </w:p>
        </w:tc>
        <w:tc>
          <w:tcPr>
            <w:tcW w:w="7730" w:type="dxa"/>
            <w:shd w:val="clear" w:color="auto" w:fill="auto"/>
            <w:tcMar>
              <w:left w:w="0" w:type="dxa"/>
            </w:tcMar>
          </w:tcPr>
          <w:p w14:paraId="79547B30" w14:textId="77777777" w:rsidR="009732DF" w:rsidRPr="008D5F7F" w:rsidRDefault="009732DF" w:rsidP="001144FB">
            <w:pPr>
              <w:rPr>
                <w:rFonts w:cs="Arial"/>
                <w:bCs/>
                <w:color w:val="0D0D0D" w:themeColor="text1" w:themeTint="F2"/>
                <w:spacing w:val="-4"/>
                <w:szCs w:val="20"/>
                <w:lang w:val="en-GB"/>
              </w:rPr>
            </w:pPr>
            <w:r>
              <w:rPr>
                <w:color w:val="0D0D0D" w:themeColor="text1" w:themeTint="F2"/>
                <w:spacing w:val="-4"/>
                <w:lang w:val="en-GB"/>
              </w:rPr>
              <w:t>Entrepreneur confidence in industry climbed up to ten year maximum in June. It did weaken because of partial correction of high short term expectations of the production growth during the holiday period</w:t>
            </w:r>
            <w:r w:rsidRPr="008D5F7F">
              <w:rPr>
                <w:color w:val="0D0D0D" w:themeColor="text1" w:themeTint="F2"/>
                <w:spacing w:val="-4"/>
                <w:lang w:val="en-GB"/>
              </w:rPr>
              <w:t xml:space="preserve">, </w:t>
            </w:r>
            <w:r>
              <w:rPr>
                <w:color w:val="0D0D0D" w:themeColor="text1" w:themeTint="F2"/>
                <w:spacing w:val="-4"/>
                <w:lang w:val="en-GB"/>
              </w:rPr>
              <w:t xml:space="preserve">still it exceeded the level from the period just before the pandemics commencement. Short term outlook in the area of employment also remained mildly positive. One quarter of businesses considered their current economic situation as good, more than two thirds as satisfactory. Shortage of material and equipment, which record </w:t>
            </w:r>
            <w:r w:rsidRPr="008D5F7F">
              <w:rPr>
                <w:color w:val="0D0D0D" w:themeColor="text1" w:themeTint="F2"/>
                <w:spacing w:val="-4"/>
                <w:lang w:val="en-GB"/>
              </w:rPr>
              <w:t>46%</w:t>
            </w:r>
            <w:r>
              <w:rPr>
                <w:color w:val="0D0D0D" w:themeColor="text1" w:themeTint="F2"/>
                <w:spacing w:val="-4"/>
                <w:lang w:val="en-GB"/>
              </w:rPr>
              <w:t xml:space="preserve"> of domestic industrial businesses</w:t>
            </w:r>
            <w:r w:rsidRPr="008D5F7F">
              <w:rPr>
                <w:rStyle w:val="Znakapoznpodarou"/>
                <w:color w:val="0D0D0D" w:themeColor="text1" w:themeTint="F2"/>
                <w:spacing w:val="-4"/>
                <w:lang w:val="en-GB"/>
              </w:rPr>
              <w:footnoteReference w:id="18"/>
            </w:r>
            <w:r>
              <w:rPr>
                <w:color w:val="0D0D0D" w:themeColor="text1" w:themeTint="F2"/>
                <w:spacing w:val="-4"/>
                <w:lang w:val="en-GB"/>
              </w:rPr>
              <w:t xml:space="preserve"> struggled with, became the main growth barrier</w:t>
            </w:r>
            <w:r w:rsidRPr="008D5F7F">
              <w:rPr>
                <w:rStyle w:val="Znakapoznpodarou"/>
                <w:color w:val="0D0D0D" w:themeColor="text1" w:themeTint="F2"/>
                <w:spacing w:val="-4"/>
                <w:lang w:val="en-GB"/>
              </w:rPr>
              <w:footnoteReference w:id="19"/>
            </w:r>
            <w:r>
              <w:rPr>
                <w:color w:val="0D0D0D" w:themeColor="text1" w:themeTint="F2"/>
                <w:spacing w:val="-4"/>
                <w:lang w:val="en-GB"/>
              </w:rPr>
              <w:t xml:space="preserve"> in the CR (but also in the EU) at the beginning of Q3. </w:t>
            </w:r>
            <w:r w:rsidRPr="008D5F7F">
              <w:rPr>
                <w:color w:val="0D0D0D" w:themeColor="text1" w:themeTint="F2"/>
                <w:spacing w:val="-4"/>
                <w:lang w:val="en-GB"/>
              </w:rPr>
              <w:t xml:space="preserve">Role </w:t>
            </w:r>
            <w:r>
              <w:rPr>
                <w:color w:val="0D0D0D" w:themeColor="text1" w:themeTint="F2"/>
                <w:spacing w:val="-4"/>
                <w:lang w:val="en-GB"/>
              </w:rPr>
              <w:t>of inadequate demand considerably stepped into the background</w:t>
            </w:r>
            <w:r w:rsidRPr="008D5F7F">
              <w:rPr>
                <w:rStyle w:val="Znakapoznpodarou"/>
                <w:color w:val="0D0D0D" w:themeColor="text1" w:themeTint="F2"/>
                <w:spacing w:val="-4"/>
                <w:lang w:val="en-GB"/>
              </w:rPr>
              <w:footnoteReference w:id="20"/>
            </w:r>
            <w:r w:rsidRPr="008D5F7F">
              <w:rPr>
                <w:color w:val="0D0D0D" w:themeColor="text1" w:themeTint="F2"/>
                <w:spacing w:val="-4"/>
                <w:lang w:val="en-GB"/>
              </w:rPr>
              <w:t xml:space="preserve"> (</w:t>
            </w:r>
            <w:r>
              <w:rPr>
                <w:color w:val="0D0D0D" w:themeColor="text1" w:themeTint="F2"/>
                <w:spacing w:val="-4"/>
                <w:lang w:val="en-GB"/>
              </w:rPr>
              <w:t xml:space="preserve">from </w:t>
            </w:r>
            <w:r w:rsidRPr="008D5F7F">
              <w:rPr>
                <w:color w:val="0D0D0D" w:themeColor="text1" w:themeTint="F2"/>
                <w:spacing w:val="-4"/>
                <w:lang w:val="en-GB"/>
              </w:rPr>
              <w:t>49%</w:t>
            </w:r>
            <w:r>
              <w:rPr>
                <w:color w:val="0D0D0D" w:themeColor="text1" w:themeTint="F2"/>
                <w:spacing w:val="-4"/>
                <w:lang w:val="en-GB"/>
              </w:rPr>
              <w:t xml:space="preserve"> to </w:t>
            </w:r>
            <w:r w:rsidRPr="008D5F7F">
              <w:rPr>
                <w:color w:val="0D0D0D" w:themeColor="text1" w:themeTint="F2"/>
                <w:spacing w:val="-4"/>
                <w:lang w:val="en-GB"/>
              </w:rPr>
              <w:t>25%)</w:t>
            </w:r>
            <w:r>
              <w:rPr>
                <w:color w:val="0D0D0D" w:themeColor="text1" w:themeTint="F2"/>
                <w:spacing w:val="-4"/>
                <w:lang w:val="en-GB"/>
              </w:rPr>
              <w:t xml:space="preserve"> during </w:t>
            </w:r>
            <w:r w:rsidRPr="00D309E6">
              <w:rPr>
                <w:color w:val="0D0D0D" w:themeColor="text1" w:themeTint="F2"/>
                <w:spacing w:val="-4"/>
                <w:lang w:val="en-GB"/>
              </w:rPr>
              <w:t xml:space="preserve">this year’s half-year, on the contrary the difficulty with hiring labour force </w:t>
            </w:r>
            <w:r>
              <w:rPr>
                <w:color w:val="0D0D0D" w:themeColor="text1" w:themeTint="F2"/>
                <w:spacing w:val="-4"/>
                <w:lang w:val="en-GB"/>
              </w:rPr>
              <w:t xml:space="preserve">was </w:t>
            </w:r>
            <w:r w:rsidRPr="00D309E6">
              <w:rPr>
                <w:color w:val="0D0D0D" w:themeColor="text1" w:themeTint="F2"/>
                <w:spacing w:val="-4"/>
                <w:lang w:val="en-GB"/>
              </w:rPr>
              <w:t>slightly</w:t>
            </w:r>
            <w:r>
              <w:rPr>
                <w:color w:val="0D0D0D" w:themeColor="text1" w:themeTint="F2"/>
                <w:spacing w:val="-4"/>
                <w:lang w:val="en-GB"/>
              </w:rPr>
              <w:t xml:space="preserve"> enhanced </w:t>
            </w:r>
            <w:r w:rsidRPr="00D309E6">
              <w:rPr>
                <w:color w:val="0D0D0D" w:themeColor="text1" w:themeTint="F2"/>
                <w:spacing w:val="-4"/>
                <w:lang w:val="en-GB"/>
              </w:rPr>
              <w:t>(</w:t>
            </w:r>
            <w:r>
              <w:rPr>
                <w:color w:val="0D0D0D" w:themeColor="text1" w:themeTint="F2"/>
                <w:spacing w:val="-4"/>
                <w:lang w:val="en-GB"/>
              </w:rPr>
              <w:t xml:space="preserve">to </w:t>
            </w:r>
            <w:r w:rsidRPr="00D309E6">
              <w:rPr>
                <w:color w:val="0D0D0D" w:themeColor="text1" w:themeTint="F2"/>
                <w:spacing w:val="-4"/>
                <w:lang w:val="en-GB"/>
              </w:rPr>
              <w:t>26%) and represented the most significant barrier in more than one third of manufacturing activities</w:t>
            </w:r>
            <w:r w:rsidRPr="00D309E6">
              <w:rPr>
                <w:rStyle w:val="Znakapoznpodarou"/>
                <w:color w:val="0D0D0D" w:themeColor="text1" w:themeTint="F2"/>
                <w:spacing w:val="-4"/>
                <w:lang w:val="en-GB"/>
              </w:rPr>
              <w:footnoteReference w:id="21"/>
            </w:r>
            <w:r w:rsidRPr="00D309E6">
              <w:rPr>
                <w:color w:val="0D0D0D" w:themeColor="text1" w:themeTint="F2"/>
                <w:spacing w:val="-4"/>
                <w:lang w:val="en-GB"/>
              </w:rPr>
              <w:t>.</w:t>
            </w:r>
          </w:p>
        </w:tc>
      </w:tr>
      <w:tr w:rsidR="009732DF" w:rsidRPr="00B43216" w14:paraId="5BEDDD97" w14:textId="77777777" w:rsidTr="001144FB">
        <w:trPr>
          <w:trHeight w:val="155"/>
        </w:trPr>
        <w:tc>
          <w:tcPr>
            <w:tcW w:w="1728" w:type="dxa"/>
            <w:vMerge w:val="restart"/>
            <w:shd w:val="clear" w:color="auto" w:fill="auto"/>
            <w:tcMar>
              <w:left w:w="0" w:type="dxa"/>
            </w:tcMar>
          </w:tcPr>
          <w:p w14:paraId="551625A8" w14:textId="77777777" w:rsidR="009732DF" w:rsidRPr="00B43216" w:rsidRDefault="009732DF" w:rsidP="001144FB">
            <w:pPr>
              <w:pStyle w:val="Marginlie"/>
              <w:rPr>
                <w:spacing w:val="-4"/>
              </w:rPr>
            </w:pPr>
          </w:p>
        </w:tc>
        <w:tc>
          <w:tcPr>
            <w:tcW w:w="206" w:type="dxa"/>
            <w:vMerge w:val="restart"/>
            <w:shd w:val="clear" w:color="auto" w:fill="auto"/>
            <w:tcMar>
              <w:left w:w="0" w:type="dxa"/>
            </w:tcMar>
          </w:tcPr>
          <w:p w14:paraId="4DAF78D8" w14:textId="77777777" w:rsidR="009732DF" w:rsidRPr="00B43216" w:rsidRDefault="009732DF" w:rsidP="001144FB">
            <w:pPr>
              <w:pStyle w:val="Textpoznpodarou"/>
              <w:jc w:val="both"/>
              <w:rPr>
                <w:spacing w:val="-4"/>
              </w:rPr>
            </w:pPr>
          </w:p>
        </w:tc>
        <w:tc>
          <w:tcPr>
            <w:tcW w:w="7730" w:type="dxa"/>
            <w:shd w:val="clear" w:color="auto" w:fill="auto"/>
            <w:tcMar>
              <w:left w:w="0" w:type="dxa"/>
            </w:tcMar>
          </w:tcPr>
          <w:p w14:paraId="5FBBD600" w14:textId="77777777" w:rsidR="009732DF" w:rsidRPr="00301AEC" w:rsidRDefault="009732DF" w:rsidP="001144FB">
            <w:pPr>
              <w:pStyle w:val="Textpoznpodarou"/>
              <w:spacing w:line="276" w:lineRule="auto"/>
              <w:jc w:val="both"/>
              <w:rPr>
                <w:b/>
                <w:lang w:val="en-GB"/>
              </w:rPr>
            </w:pPr>
            <w:r>
              <w:rPr>
                <w:b/>
                <w:spacing w:val="-2"/>
              </w:rPr>
              <w:t xml:space="preserve">Chart </w:t>
            </w:r>
            <w:r w:rsidRPr="00760356">
              <w:rPr>
                <w:b/>
                <w:spacing w:val="-2"/>
              </w:rPr>
              <w:t>5</w:t>
            </w:r>
            <w:r>
              <w:rPr>
                <w:b/>
                <w:spacing w:val="-2"/>
              </w:rPr>
              <w:t xml:space="preserve"> </w:t>
            </w:r>
            <w:r w:rsidRPr="00760356">
              <w:rPr>
                <w:b/>
                <w:spacing w:val="-2"/>
              </w:rPr>
              <w:t xml:space="preserve"> </w:t>
            </w:r>
            <w:r w:rsidRPr="00301AEC">
              <w:rPr>
                <w:b/>
                <w:lang w:val="en-GB"/>
              </w:rPr>
              <w:t>New orders in manufacture of motor vehicles</w:t>
            </w:r>
            <w:r>
              <w:rPr>
                <w:b/>
                <w:lang w:val="en-GB"/>
              </w:rPr>
              <w:t xml:space="preserve"> and </w:t>
            </w:r>
            <w:r w:rsidRPr="00301AEC">
              <w:rPr>
                <w:b/>
                <w:lang w:val="en-GB"/>
              </w:rPr>
              <w:t>in industry in total </w:t>
            </w:r>
          </w:p>
          <w:p w14:paraId="440DAE8B" w14:textId="77777777" w:rsidR="009732DF" w:rsidRPr="00760356" w:rsidRDefault="009732DF" w:rsidP="001144FB">
            <w:pPr>
              <w:pStyle w:val="Textpoznpodarou"/>
              <w:spacing w:line="276" w:lineRule="auto"/>
              <w:jc w:val="both"/>
              <w:rPr>
                <w:b/>
                <w:spacing w:val="-2"/>
              </w:rPr>
            </w:pPr>
            <w:r w:rsidRPr="00301AEC">
              <w:rPr>
                <w:bCs/>
                <w:lang w:val="en-GB"/>
              </w:rPr>
              <w:t>(in current prices, year-on-year change in %)</w:t>
            </w:r>
            <w:r>
              <w:rPr>
                <w:bCs/>
                <w:lang w:val="en-GB"/>
              </w:rPr>
              <w:t xml:space="preserve"> </w:t>
            </w:r>
            <w:r w:rsidRPr="00BE2A0D">
              <w:rPr>
                <w:b/>
                <w:lang w:val="en-GB"/>
              </w:rPr>
              <w:t>and</w:t>
            </w:r>
            <w:r>
              <w:rPr>
                <w:bCs/>
                <w:lang w:val="en-GB"/>
              </w:rPr>
              <w:t xml:space="preserve"> </w:t>
            </w:r>
            <w:r>
              <w:rPr>
                <w:b/>
                <w:lang w:val="en-GB"/>
              </w:rPr>
              <w:t>u</w:t>
            </w:r>
            <w:r w:rsidRPr="00301AEC">
              <w:rPr>
                <w:b/>
                <w:lang w:val="en-GB"/>
              </w:rPr>
              <w:t>tilisation of production capaciti</w:t>
            </w:r>
            <w:r>
              <w:rPr>
                <w:b/>
                <w:lang w:val="en-GB"/>
              </w:rPr>
              <w:t>e</w:t>
            </w:r>
            <w:r w:rsidRPr="00301AEC">
              <w:rPr>
                <w:b/>
                <w:lang w:val="en-GB"/>
              </w:rPr>
              <w:t>s in industry*</w:t>
            </w:r>
            <w:r>
              <w:rPr>
                <w:b/>
                <w:lang w:val="en-GB"/>
              </w:rPr>
              <w:t xml:space="preserve"> and selected growth barriers</w:t>
            </w:r>
            <w:r w:rsidRPr="00301AEC">
              <w:rPr>
                <w:lang w:val="en-GB"/>
              </w:rPr>
              <w:t xml:space="preserve"> (in %, right axis)</w:t>
            </w:r>
          </w:p>
        </w:tc>
      </w:tr>
      <w:tr w:rsidR="009732DF" w:rsidRPr="00B43216" w14:paraId="559E9BB3" w14:textId="77777777" w:rsidTr="001144FB">
        <w:tblPrEx>
          <w:tblCellMar>
            <w:left w:w="70" w:type="dxa"/>
            <w:right w:w="70" w:type="dxa"/>
          </w:tblCellMar>
        </w:tblPrEx>
        <w:trPr>
          <w:trHeight w:val="155"/>
        </w:trPr>
        <w:tc>
          <w:tcPr>
            <w:tcW w:w="1728" w:type="dxa"/>
            <w:vMerge/>
            <w:shd w:val="clear" w:color="auto" w:fill="auto"/>
          </w:tcPr>
          <w:p w14:paraId="4F5AD48E" w14:textId="77777777" w:rsidR="009732DF" w:rsidRPr="00B43216" w:rsidRDefault="009732DF" w:rsidP="001144FB">
            <w:pPr>
              <w:pStyle w:val="Marginlie"/>
              <w:rPr>
                <w:spacing w:val="-4"/>
              </w:rPr>
            </w:pPr>
          </w:p>
        </w:tc>
        <w:tc>
          <w:tcPr>
            <w:tcW w:w="206" w:type="dxa"/>
            <w:vMerge/>
            <w:shd w:val="clear" w:color="auto" w:fill="auto"/>
          </w:tcPr>
          <w:p w14:paraId="6A99183C" w14:textId="77777777" w:rsidR="009732DF" w:rsidRPr="00B43216" w:rsidRDefault="009732DF" w:rsidP="001144FB">
            <w:pPr>
              <w:pStyle w:val="Textpoznpodarou"/>
              <w:jc w:val="both"/>
              <w:rPr>
                <w:spacing w:val="-4"/>
              </w:rPr>
            </w:pPr>
          </w:p>
        </w:tc>
        <w:tc>
          <w:tcPr>
            <w:tcW w:w="7730" w:type="dxa"/>
            <w:shd w:val="clear" w:color="auto" w:fill="auto"/>
          </w:tcPr>
          <w:p w14:paraId="0E43AF09" w14:textId="77777777" w:rsidR="009732DF" w:rsidRPr="00B43216" w:rsidRDefault="009732DF" w:rsidP="001144FB">
            <w:pPr>
              <w:spacing w:after="0"/>
              <w:rPr>
                <w:spacing w:val="-4"/>
              </w:rPr>
            </w:pPr>
            <w:r>
              <w:rPr>
                <w:noProof/>
              </w:rPr>
              <w:drawing>
                <wp:inline distT="0" distB="0" distL="0" distR="0" wp14:anchorId="0FBA59A1" wp14:editId="7B0D39AB">
                  <wp:extent cx="4772801" cy="3647661"/>
                  <wp:effectExtent l="0" t="0" r="8890" b="0"/>
                  <wp:docPr id="6" name="Graf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r>
      <w:tr w:rsidR="009732DF" w:rsidRPr="00B43216" w14:paraId="25F6498F" w14:textId="77777777" w:rsidTr="001144FB">
        <w:trPr>
          <w:trHeight w:val="152"/>
        </w:trPr>
        <w:tc>
          <w:tcPr>
            <w:tcW w:w="1728" w:type="dxa"/>
            <w:vMerge/>
            <w:shd w:val="clear" w:color="auto" w:fill="auto"/>
            <w:tcMar>
              <w:left w:w="0" w:type="dxa"/>
            </w:tcMar>
          </w:tcPr>
          <w:p w14:paraId="40C7FB0B" w14:textId="77777777" w:rsidR="009732DF" w:rsidRPr="00B43216" w:rsidRDefault="009732DF" w:rsidP="001144FB">
            <w:pPr>
              <w:pStyle w:val="Marginlie"/>
              <w:rPr>
                <w:spacing w:val="-4"/>
              </w:rPr>
            </w:pPr>
          </w:p>
        </w:tc>
        <w:tc>
          <w:tcPr>
            <w:tcW w:w="206" w:type="dxa"/>
            <w:vMerge/>
            <w:shd w:val="clear" w:color="auto" w:fill="auto"/>
            <w:tcMar>
              <w:left w:w="0" w:type="dxa"/>
            </w:tcMar>
          </w:tcPr>
          <w:p w14:paraId="52F6A6BE" w14:textId="77777777" w:rsidR="009732DF" w:rsidRPr="00B43216" w:rsidRDefault="009732DF" w:rsidP="001144FB">
            <w:pPr>
              <w:pStyle w:val="Textpoznpodarou"/>
              <w:jc w:val="both"/>
              <w:rPr>
                <w:spacing w:val="-4"/>
              </w:rPr>
            </w:pPr>
          </w:p>
        </w:tc>
        <w:tc>
          <w:tcPr>
            <w:tcW w:w="7730" w:type="dxa"/>
            <w:shd w:val="clear" w:color="auto" w:fill="auto"/>
            <w:tcMar>
              <w:left w:w="0" w:type="dxa"/>
            </w:tcMar>
          </w:tcPr>
          <w:p w14:paraId="5B67A761" w14:textId="77777777" w:rsidR="009732DF" w:rsidRDefault="009732DF" w:rsidP="001144FB">
            <w:pPr>
              <w:spacing w:after="0"/>
              <w:rPr>
                <w:rFonts w:cs="Arial"/>
                <w:sz w:val="14"/>
                <w:szCs w:val="14"/>
                <w:lang w:val="en-GB"/>
              </w:rPr>
            </w:pPr>
            <w:r w:rsidRPr="00883202">
              <w:rPr>
                <w:rFonts w:cs="Arial"/>
                <w:sz w:val="14"/>
                <w:szCs w:val="14"/>
              </w:rPr>
              <w:t>*</w:t>
            </w:r>
            <w:r w:rsidRPr="000E27AC">
              <w:rPr>
                <w:rFonts w:cs="Arial"/>
                <w:sz w:val="14"/>
                <w:szCs w:val="14"/>
                <w:lang w:val="en-GB"/>
              </w:rPr>
              <w:t xml:space="preserve"> Both utilisation of production capacities and growth barriers are seasonally adjusted and express the </w:t>
            </w:r>
            <w:r>
              <w:rPr>
                <w:rFonts w:cs="Arial"/>
                <w:sz w:val="14"/>
                <w:szCs w:val="14"/>
                <w:lang w:val="en-GB"/>
              </w:rPr>
              <w:t>level</w:t>
            </w:r>
            <w:r w:rsidRPr="000E27AC">
              <w:rPr>
                <w:rFonts w:cs="Arial"/>
                <w:sz w:val="14"/>
                <w:szCs w:val="14"/>
                <w:lang w:val="en-GB"/>
              </w:rPr>
              <w:t xml:space="preserve"> in the first</w:t>
            </w:r>
            <w:r>
              <w:rPr>
                <w:rFonts w:cs="Arial"/>
                <w:sz w:val="14"/>
                <w:szCs w:val="14"/>
                <w:lang w:val="en-GB"/>
              </w:rPr>
              <w:t xml:space="preserve"> </w:t>
            </w:r>
            <w:r w:rsidRPr="000E27AC">
              <w:rPr>
                <w:rFonts w:cs="Arial"/>
                <w:sz w:val="14"/>
                <w:szCs w:val="14"/>
                <w:lang w:val="en-GB"/>
              </w:rPr>
              <w:t xml:space="preserve">month of the given quarter. Businesses could have stated more main barriers simultaneously. </w:t>
            </w:r>
          </w:p>
          <w:p w14:paraId="328D24B5" w14:textId="77777777" w:rsidR="009732DF" w:rsidRDefault="009732DF" w:rsidP="001144FB">
            <w:pPr>
              <w:spacing w:after="0"/>
              <w:rPr>
                <w:rFonts w:cs="Arial"/>
                <w:sz w:val="14"/>
                <w:szCs w:val="14"/>
              </w:rPr>
            </w:pPr>
            <w:r>
              <w:rPr>
                <w:rFonts w:cs="Arial"/>
                <w:sz w:val="14"/>
                <w:szCs w:val="14"/>
              </w:rPr>
              <w:t>Source</w:t>
            </w:r>
            <w:r w:rsidRPr="00883202">
              <w:rPr>
                <w:rFonts w:cs="Arial"/>
                <w:sz w:val="14"/>
                <w:szCs w:val="14"/>
              </w:rPr>
              <w:t xml:space="preserve">: </w:t>
            </w:r>
            <w:r>
              <w:rPr>
                <w:rFonts w:cs="Arial"/>
                <w:sz w:val="14"/>
                <w:szCs w:val="14"/>
              </w:rPr>
              <w:t>CZSO, Eurostat</w:t>
            </w:r>
          </w:p>
          <w:p w14:paraId="6BC5FFE1" w14:textId="77777777" w:rsidR="009732DF" w:rsidRPr="008C5037" w:rsidRDefault="009732DF" w:rsidP="001144FB">
            <w:pPr>
              <w:spacing w:after="0"/>
              <w:rPr>
                <w:rFonts w:cs="Arial"/>
                <w:sz w:val="14"/>
                <w:szCs w:val="14"/>
              </w:rPr>
            </w:pPr>
          </w:p>
        </w:tc>
      </w:tr>
      <w:tr w:rsidR="009732DF" w:rsidRPr="00191C35" w14:paraId="10D7BAE9" w14:textId="77777777" w:rsidTr="001144FB">
        <w:trPr>
          <w:trHeight w:val="145"/>
        </w:trPr>
        <w:tc>
          <w:tcPr>
            <w:tcW w:w="1728" w:type="dxa"/>
            <w:shd w:val="clear" w:color="auto" w:fill="auto"/>
            <w:tcMar>
              <w:left w:w="0" w:type="dxa"/>
            </w:tcMar>
          </w:tcPr>
          <w:p w14:paraId="7470BF4C" w14:textId="77777777" w:rsidR="009732DF" w:rsidRPr="00D90B4B" w:rsidRDefault="009732DF" w:rsidP="001144FB">
            <w:pPr>
              <w:pStyle w:val="Marginlie"/>
              <w:rPr>
                <w:lang w:val="en-GB"/>
              </w:rPr>
            </w:pPr>
            <w:r>
              <w:rPr>
                <w:lang w:val="en-GB"/>
              </w:rPr>
              <w:t xml:space="preserve">Dynamics of growth of the construction output was to a large extent dampened so far this year. </w:t>
            </w:r>
          </w:p>
          <w:p w14:paraId="2467CA56" w14:textId="77777777" w:rsidR="009732DF" w:rsidRPr="00D90B4B" w:rsidRDefault="009732DF" w:rsidP="001144FB">
            <w:pPr>
              <w:pStyle w:val="Marginlie"/>
              <w:rPr>
                <w:lang w:val="en-GB"/>
              </w:rPr>
            </w:pPr>
          </w:p>
          <w:p w14:paraId="3CCA054E" w14:textId="77777777" w:rsidR="009732DF" w:rsidRPr="00D90B4B" w:rsidRDefault="009732DF" w:rsidP="001144FB">
            <w:pPr>
              <w:pStyle w:val="Marginlie"/>
              <w:rPr>
                <w:lang w:val="en-GB"/>
              </w:rPr>
            </w:pPr>
          </w:p>
          <w:p w14:paraId="2D3A66CA" w14:textId="77777777" w:rsidR="009732DF" w:rsidRPr="00D90B4B" w:rsidRDefault="009732DF" w:rsidP="001144FB">
            <w:pPr>
              <w:pStyle w:val="Marginlie"/>
              <w:rPr>
                <w:lang w:val="en-GB"/>
              </w:rPr>
            </w:pPr>
            <w:r>
              <w:rPr>
                <w:lang w:val="en-GB"/>
              </w:rPr>
              <w:t xml:space="preserve">It was related to the administrative influences as well as varying development in both main construction segments. </w:t>
            </w:r>
          </w:p>
        </w:tc>
        <w:tc>
          <w:tcPr>
            <w:tcW w:w="206" w:type="dxa"/>
            <w:shd w:val="clear" w:color="auto" w:fill="auto"/>
            <w:tcMar>
              <w:left w:w="0" w:type="dxa"/>
            </w:tcMar>
          </w:tcPr>
          <w:p w14:paraId="34862AFA" w14:textId="77777777" w:rsidR="009732DF" w:rsidRPr="00D90B4B" w:rsidRDefault="009732DF" w:rsidP="001144FB">
            <w:pPr>
              <w:pStyle w:val="Textpoznpodarou"/>
              <w:jc w:val="both"/>
              <w:rPr>
                <w:spacing w:val="-4"/>
                <w:lang w:val="en-GB"/>
              </w:rPr>
            </w:pPr>
          </w:p>
        </w:tc>
        <w:tc>
          <w:tcPr>
            <w:tcW w:w="7730" w:type="dxa"/>
            <w:shd w:val="clear" w:color="auto" w:fill="auto"/>
            <w:tcMar>
              <w:left w:w="0" w:type="dxa"/>
            </w:tcMar>
          </w:tcPr>
          <w:p w14:paraId="1A2B7943" w14:textId="77777777" w:rsidR="009732DF" w:rsidRPr="00D90B4B" w:rsidRDefault="009732DF" w:rsidP="001144FB">
            <w:pPr>
              <w:spacing w:after="160"/>
              <w:rPr>
                <w:rFonts w:cs="Arial"/>
                <w:color w:val="0D0D0D"/>
                <w:spacing w:val="-4"/>
                <w:lang w:val="en-GB"/>
              </w:rPr>
            </w:pPr>
            <w:r>
              <w:rPr>
                <w:spacing w:val="-4"/>
                <w:lang w:val="en-GB"/>
              </w:rPr>
              <w:t xml:space="preserve">Construction belongs </w:t>
            </w:r>
            <w:r w:rsidRPr="00D90B4B">
              <w:rPr>
                <w:spacing w:val="-4"/>
                <w:lang w:val="en-GB"/>
              </w:rPr>
              <w:t>(</w:t>
            </w:r>
            <w:r>
              <w:rPr>
                <w:spacing w:val="-4"/>
                <w:lang w:val="en-GB"/>
              </w:rPr>
              <w:t>together with industry</w:t>
            </w:r>
            <w:r w:rsidRPr="00D90B4B">
              <w:rPr>
                <w:spacing w:val="-4"/>
                <w:lang w:val="en-GB"/>
              </w:rPr>
              <w:t>)</w:t>
            </w:r>
            <w:r>
              <w:rPr>
                <w:spacing w:val="-4"/>
                <w:lang w:val="en-GB"/>
              </w:rPr>
              <w:t xml:space="preserve"> to branches</w:t>
            </w:r>
            <w:r w:rsidRPr="00D90B4B">
              <w:rPr>
                <w:spacing w:val="-4"/>
                <w:lang w:val="en-GB"/>
              </w:rPr>
              <w:t>,</w:t>
            </w:r>
            <w:r>
              <w:rPr>
                <w:spacing w:val="-4"/>
                <w:lang w:val="en-GB"/>
              </w:rPr>
              <w:t xml:space="preserve"> which were not impacted by the measures against the spread of coronavirus to any large extent anymore this year. In spite of that, the recovery was relatively slow here so far and the growth trend is not  fully apparent, </w:t>
            </w:r>
            <w:r w:rsidRPr="00A67CB4">
              <w:rPr>
                <w:spacing w:val="-4"/>
                <w:lang w:val="en-GB"/>
              </w:rPr>
              <w:lastRenderedPageBreak/>
              <w:t xml:space="preserve">especially in the building construction </w:t>
            </w:r>
            <w:r w:rsidRPr="00A67CB4">
              <w:rPr>
                <w:rFonts w:cs="Arial"/>
                <w:color w:val="0D0D0D"/>
                <w:spacing w:val="-4"/>
                <w:lang w:val="en-GB"/>
              </w:rPr>
              <w:t>this year. Total construction output</w:t>
            </w:r>
            <w:r w:rsidRPr="00A67CB4">
              <w:rPr>
                <w:rStyle w:val="Znakapoznpodarou"/>
                <w:spacing w:val="-2"/>
                <w:lang w:val="en-GB"/>
              </w:rPr>
              <w:footnoteReference w:id="22"/>
            </w:r>
            <w:r w:rsidRPr="00A67CB4">
              <w:rPr>
                <w:rFonts w:cs="Arial"/>
                <w:color w:val="0D0D0D"/>
                <w:spacing w:val="-4"/>
                <w:lang w:val="en-GB"/>
              </w:rPr>
              <w:t xml:space="preserve"> fell behind by 5.5% in real terms year-on-year in Q1, compared to Q4 2020 it increased by 2.4%. </w:t>
            </w:r>
            <w:r>
              <w:rPr>
                <w:rFonts w:cs="Arial"/>
                <w:color w:val="0D0D0D"/>
                <w:spacing w:val="-4"/>
                <w:lang w:val="en-GB"/>
              </w:rPr>
              <w:t xml:space="preserve">In Q2 the output of this branch already overtook the level from the same period of the last year by </w:t>
            </w:r>
            <w:r w:rsidRPr="00A67CB4">
              <w:rPr>
                <w:rFonts w:cs="Arial"/>
                <w:bCs/>
                <w:color w:val="0D0D0D"/>
                <w:spacing w:val="-4"/>
                <w:lang w:val="en-GB"/>
              </w:rPr>
              <w:t>2</w:t>
            </w:r>
            <w:r>
              <w:rPr>
                <w:rFonts w:cs="Arial"/>
                <w:bCs/>
                <w:color w:val="0D0D0D"/>
                <w:spacing w:val="-4"/>
                <w:lang w:val="en-GB"/>
              </w:rPr>
              <w:t>.</w:t>
            </w:r>
            <w:r w:rsidRPr="00A67CB4">
              <w:rPr>
                <w:rFonts w:cs="Arial"/>
                <w:bCs/>
                <w:color w:val="0D0D0D"/>
                <w:spacing w:val="-4"/>
                <w:lang w:val="en-GB"/>
              </w:rPr>
              <w:t xml:space="preserve">4%, </w:t>
            </w:r>
            <w:r>
              <w:rPr>
                <w:rFonts w:cs="Arial"/>
                <w:bCs/>
                <w:color w:val="0D0D0D"/>
                <w:spacing w:val="-4"/>
                <w:lang w:val="en-GB"/>
              </w:rPr>
              <w:t xml:space="preserve">quarter-on-quarter it however strengthened only by negligible </w:t>
            </w:r>
            <w:r w:rsidRPr="00A67CB4">
              <w:rPr>
                <w:rFonts w:cs="Arial"/>
                <w:bCs/>
                <w:color w:val="0D0D0D"/>
                <w:spacing w:val="-4"/>
                <w:lang w:val="en-GB"/>
              </w:rPr>
              <w:t>0</w:t>
            </w:r>
            <w:r>
              <w:rPr>
                <w:rFonts w:cs="Arial"/>
                <w:bCs/>
                <w:color w:val="0D0D0D"/>
                <w:spacing w:val="-4"/>
                <w:lang w:val="en-GB"/>
              </w:rPr>
              <w:t>.</w:t>
            </w:r>
            <w:r w:rsidRPr="00A67CB4">
              <w:rPr>
                <w:rFonts w:cs="Arial"/>
                <w:bCs/>
                <w:color w:val="0D0D0D"/>
                <w:spacing w:val="-4"/>
                <w:lang w:val="en-GB"/>
              </w:rPr>
              <w:t>9%</w:t>
            </w:r>
            <w:r w:rsidRPr="00A67CB4">
              <w:rPr>
                <w:rStyle w:val="Znakapoznpodarou"/>
                <w:bCs/>
                <w:color w:val="0D0D0D"/>
                <w:spacing w:val="-4"/>
                <w:lang w:val="en-GB"/>
              </w:rPr>
              <w:footnoteReference w:id="23"/>
            </w:r>
            <w:r w:rsidRPr="00A67CB4">
              <w:rPr>
                <w:rFonts w:cs="Arial"/>
                <w:bCs/>
                <w:color w:val="0D0D0D"/>
                <w:spacing w:val="-4"/>
                <w:lang w:val="en-GB"/>
              </w:rPr>
              <w:t xml:space="preserve">. </w:t>
            </w:r>
            <w:r>
              <w:rPr>
                <w:rFonts w:cs="Arial"/>
                <w:bCs/>
                <w:color w:val="0D0D0D"/>
                <w:spacing w:val="-4"/>
                <w:lang w:val="en-GB"/>
              </w:rPr>
              <w:t xml:space="preserve">Slow revival of construction can be also connected for a large part to the administrative influences. </w:t>
            </w:r>
            <w:r w:rsidRPr="00A67CB4">
              <w:rPr>
                <w:spacing w:val="-4"/>
                <w:lang w:val="en-GB"/>
              </w:rPr>
              <w:t>Last year’s restrictive measures limited the current cooperation of all participants of the construction proceedings and further complicated the already demanding administrative process of construction preparation. Some competitive tender</w:t>
            </w:r>
            <w:r>
              <w:rPr>
                <w:spacing w:val="-4"/>
                <w:lang w:val="en-GB"/>
              </w:rPr>
              <w:t xml:space="preserve">s </w:t>
            </w:r>
            <w:r w:rsidRPr="00A67CB4">
              <w:rPr>
                <w:spacing w:val="-4"/>
                <w:lang w:val="en-GB"/>
              </w:rPr>
              <w:t xml:space="preserve">were halted, which disrupted the continuity of construction. </w:t>
            </w:r>
            <w:r>
              <w:rPr>
                <w:spacing w:val="-4"/>
                <w:lang w:val="en-GB"/>
              </w:rPr>
              <w:t xml:space="preserve">Despite improvement of the epidemic situation during this </w:t>
            </w:r>
            <w:r w:rsidRPr="004378A0">
              <w:rPr>
                <w:spacing w:val="-4"/>
                <w:lang w:val="en-GB"/>
              </w:rPr>
              <w:t>year’s Spring, the mobility of foreign labour still remains difficult, which</w:t>
            </w:r>
            <w:r>
              <w:rPr>
                <w:spacing w:val="-4"/>
                <w:lang w:val="en-GB"/>
              </w:rPr>
              <w:t xml:space="preserve"> presumably impacts more small and medium construction firms</w:t>
            </w:r>
            <w:r w:rsidRPr="004378A0">
              <w:rPr>
                <w:spacing w:val="-4"/>
                <w:lang w:val="en-GB"/>
              </w:rPr>
              <w:t xml:space="preserve">, </w:t>
            </w:r>
            <w:r>
              <w:rPr>
                <w:spacing w:val="-4"/>
                <w:lang w:val="en-GB"/>
              </w:rPr>
              <w:t xml:space="preserve">more often operating in the building construction segment. </w:t>
            </w:r>
          </w:p>
        </w:tc>
      </w:tr>
      <w:tr w:rsidR="009732DF" w:rsidRPr="00191C35" w14:paraId="4FDA3E2D" w14:textId="77777777" w:rsidTr="001144FB">
        <w:trPr>
          <w:trHeight w:val="145"/>
        </w:trPr>
        <w:tc>
          <w:tcPr>
            <w:tcW w:w="1728" w:type="dxa"/>
            <w:shd w:val="clear" w:color="auto" w:fill="auto"/>
            <w:tcMar>
              <w:left w:w="0" w:type="dxa"/>
            </w:tcMar>
          </w:tcPr>
          <w:p w14:paraId="3F2A3FA1" w14:textId="77777777" w:rsidR="009732DF" w:rsidRPr="0095299F" w:rsidRDefault="009732DF" w:rsidP="001144FB">
            <w:pPr>
              <w:pStyle w:val="Marginlie"/>
              <w:rPr>
                <w:lang w:val="en-GB"/>
              </w:rPr>
            </w:pPr>
            <w:r>
              <w:rPr>
                <w:lang w:val="en-GB"/>
              </w:rPr>
              <w:lastRenderedPageBreak/>
              <w:t xml:space="preserve">Civil engineering construction benefited from public structural investment. </w:t>
            </w:r>
          </w:p>
        </w:tc>
        <w:tc>
          <w:tcPr>
            <w:tcW w:w="206" w:type="dxa"/>
            <w:shd w:val="clear" w:color="auto" w:fill="auto"/>
            <w:tcMar>
              <w:left w:w="0" w:type="dxa"/>
            </w:tcMar>
          </w:tcPr>
          <w:p w14:paraId="52D7EC2A" w14:textId="77777777" w:rsidR="009732DF" w:rsidRPr="0095299F" w:rsidRDefault="009732DF" w:rsidP="001144FB">
            <w:pPr>
              <w:pStyle w:val="Textpoznpodarou"/>
              <w:jc w:val="both"/>
              <w:rPr>
                <w:spacing w:val="-4"/>
                <w:lang w:val="en-GB"/>
              </w:rPr>
            </w:pPr>
          </w:p>
        </w:tc>
        <w:tc>
          <w:tcPr>
            <w:tcW w:w="7730" w:type="dxa"/>
            <w:shd w:val="clear" w:color="auto" w:fill="auto"/>
            <w:tcMar>
              <w:left w:w="0" w:type="dxa"/>
            </w:tcMar>
          </w:tcPr>
          <w:p w14:paraId="408BD795" w14:textId="77777777" w:rsidR="009732DF" w:rsidRPr="0095299F" w:rsidRDefault="009732DF" w:rsidP="001144FB">
            <w:pPr>
              <w:spacing w:after="160"/>
              <w:rPr>
                <w:spacing w:val="-4"/>
                <w:lang w:val="en-GB"/>
              </w:rPr>
            </w:pPr>
            <w:r>
              <w:rPr>
                <w:spacing w:val="-4"/>
                <w:lang w:val="en-GB"/>
              </w:rPr>
              <w:t>Civil engineering construction, whose output increased by 3.4% year-on-year in H</w:t>
            </w:r>
            <w:r w:rsidRPr="0095299F">
              <w:rPr>
                <w:spacing w:val="-4"/>
                <w:lang w:val="en-GB"/>
              </w:rPr>
              <w:t>1</w:t>
            </w:r>
            <w:r>
              <w:rPr>
                <w:spacing w:val="-4"/>
                <w:lang w:val="en-GB"/>
              </w:rPr>
              <w:t xml:space="preserve"> </w:t>
            </w:r>
            <w:r w:rsidRPr="0095299F">
              <w:rPr>
                <w:spacing w:val="-4"/>
                <w:lang w:val="en-GB"/>
              </w:rPr>
              <w:t>2021</w:t>
            </w:r>
            <w:r>
              <w:rPr>
                <w:spacing w:val="-4"/>
                <w:lang w:val="en-GB"/>
              </w:rPr>
              <w:t xml:space="preserve"> </w:t>
            </w:r>
            <w:r w:rsidRPr="0095299F">
              <w:rPr>
                <w:spacing w:val="-4"/>
                <w:lang w:val="en-GB"/>
              </w:rPr>
              <w:t>(</w:t>
            </w:r>
            <w:r>
              <w:rPr>
                <w:spacing w:val="-4"/>
                <w:lang w:val="en-GB"/>
              </w:rPr>
              <w:t xml:space="preserve">even by </w:t>
            </w:r>
            <w:r w:rsidRPr="0095299F">
              <w:rPr>
                <w:spacing w:val="-4"/>
                <w:lang w:val="en-GB"/>
              </w:rPr>
              <w:t>12</w:t>
            </w:r>
            <w:r>
              <w:rPr>
                <w:spacing w:val="-4"/>
                <w:lang w:val="en-GB"/>
              </w:rPr>
              <w:t>.</w:t>
            </w:r>
            <w:r w:rsidRPr="0095299F">
              <w:rPr>
                <w:spacing w:val="-4"/>
                <w:lang w:val="en-GB"/>
              </w:rPr>
              <w:t>1%</w:t>
            </w:r>
            <w:r>
              <w:rPr>
                <w:spacing w:val="-4"/>
                <w:lang w:val="en-GB"/>
              </w:rPr>
              <w:t xml:space="preserve"> for the two years</w:t>
            </w:r>
            <w:r w:rsidRPr="0095299F">
              <w:rPr>
                <w:spacing w:val="-4"/>
                <w:lang w:val="en-GB"/>
              </w:rPr>
              <w:t>)</w:t>
            </w:r>
            <w:r>
              <w:rPr>
                <w:spacing w:val="-4"/>
                <w:lang w:val="en-GB"/>
              </w:rPr>
              <w:t>, fared much better</w:t>
            </w:r>
            <w:r w:rsidRPr="0095299F">
              <w:rPr>
                <w:spacing w:val="-4"/>
                <w:lang w:val="en-GB"/>
              </w:rPr>
              <w:t>.</w:t>
            </w:r>
            <w:r>
              <w:rPr>
                <w:spacing w:val="-4"/>
                <w:lang w:val="en-GB"/>
              </w:rPr>
              <w:t xml:space="preserve"> </w:t>
            </w:r>
            <w:r w:rsidRPr="0095299F">
              <w:rPr>
                <w:spacing w:val="-4"/>
                <w:lang w:val="en-GB"/>
              </w:rPr>
              <w:t xml:space="preserve"> </w:t>
            </w:r>
            <w:r>
              <w:rPr>
                <w:spacing w:val="-4"/>
                <w:lang w:val="en-GB"/>
              </w:rPr>
              <w:t xml:space="preserve">It is assisted by the ongoing construction as well as modernization of the transport network supported especially by the funds from the EU budget </w:t>
            </w:r>
            <w:r>
              <w:rPr>
                <w:spacing w:val="-3"/>
                <w:lang w:val="en-GB"/>
              </w:rPr>
              <w:t>in the long term</w:t>
            </w:r>
            <w:r w:rsidRPr="0095299F">
              <w:rPr>
                <w:spacing w:val="-3"/>
                <w:lang w:val="en-GB"/>
              </w:rPr>
              <w:t>.</w:t>
            </w:r>
            <w:r>
              <w:rPr>
                <w:spacing w:val="-3"/>
                <w:lang w:val="en-GB"/>
              </w:rPr>
              <w:t xml:space="preserve"> Even though the  total capital expenditures of the state budget, as well as the investment transfers to the </w:t>
            </w:r>
            <w:r w:rsidRPr="001F4A40">
              <w:rPr>
                <w:spacing w:val="-3"/>
                <w:lang w:val="en-GB"/>
              </w:rPr>
              <w:t>State Fund for Transport Infrastructure</w:t>
            </w:r>
            <w:r>
              <w:rPr>
                <w:spacing w:val="-3"/>
                <w:lang w:val="en-GB"/>
              </w:rPr>
              <w:t xml:space="preserve"> were by more than one tenth lower for the first eight months of this year year-on-year, total stock of work in the area of engineering structures remains high. </w:t>
            </w:r>
          </w:p>
        </w:tc>
      </w:tr>
      <w:tr w:rsidR="009732DF" w:rsidRPr="00191C35" w14:paraId="456C9B1C" w14:textId="77777777" w:rsidTr="001144FB">
        <w:trPr>
          <w:trHeight w:val="145"/>
        </w:trPr>
        <w:tc>
          <w:tcPr>
            <w:tcW w:w="1728" w:type="dxa"/>
            <w:shd w:val="clear" w:color="auto" w:fill="auto"/>
            <w:tcMar>
              <w:left w:w="0" w:type="dxa"/>
            </w:tcMar>
          </w:tcPr>
          <w:p w14:paraId="02903665" w14:textId="77777777" w:rsidR="009732DF" w:rsidRDefault="009732DF" w:rsidP="001144FB">
            <w:pPr>
              <w:pStyle w:val="Marginlie"/>
            </w:pPr>
          </w:p>
        </w:tc>
        <w:tc>
          <w:tcPr>
            <w:tcW w:w="206" w:type="dxa"/>
            <w:shd w:val="clear" w:color="auto" w:fill="auto"/>
            <w:tcMar>
              <w:left w:w="0" w:type="dxa"/>
            </w:tcMar>
          </w:tcPr>
          <w:p w14:paraId="71835F56" w14:textId="77777777" w:rsidR="009732DF" w:rsidRPr="00B43216" w:rsidRDefault="009732DF" w:rsidP="001144FB">
            <w:pPr>
              <w:pStyle w:val="Textpoznpodarou"/>
              <w:jc w:val="both"/>
              <w:rPr>
                <w:spacing w:val="-4"/>
              </w:rPr>
            </w:pPr>
          </w:p>
        </w:tc>
        <w:tc>
          <w:tcPr>
            <w:tcW w:w="7730" w:type="dxa"/>
            <w:shd w:val="clear" w:color="auto" w:fill="auto"/>
            <w:tcMar>
              <w:left w:w="0" w:type="dxa"/>
            </w:tcMar>
          </w:tcPr>
          <w:p w14:paraId="57ED4B3F" w14:textId="77777777" w:rsidR="009732DF" w:rsidRPr="00FE5237" w:rsidRDefault="009732DF" w:rsidP="001144FB">
            <w:pPr>
              <w:spacing w:after="0"/>
              <w:rPr>
                <w:spacing w:val="-4"/>
              </w:rPr>
            </w:pPr>
            <w:r>
              <w:rPr>
                <w:b/>
              </w:rPr>
              <w:t xml:space="preserve">Chart </w:t>
            </w:r>
            <w:r w:rsidRPr="00883202">
              <w:rPr>
                <w:b/>
              </w:rPr>
              <w:t>6</w:t>
            </w:r>
            <w:r>
              <w:rPr>
                <w:b/>
              </w:rPr>
              <w:t xml:space="preserve"> </w:t>
            </w:r>
            <w:r w:rsidRPr="00883202">
              <w:rPr>
                <w:b/>
              </w:rPr>
              <w:t xml:space="preserve"> </w:t>
            </w:r>
            <w:r w:rsidRPr="00C32500">
              <w:rPr>
                <w:b/>
                <w:lang w:val="en-GB"/>
              </w:rPr>
              <w:t xml:space="preserve">Contributions of branches to year-on-year change of construction output </w:t>
            </w:r>
            <w:r w:rsidRPr="00C32500">
              <w:rPr>
                <w:lang w:val="en-GB"/>
              </w:rPr>
              <w:t>(in p.p.)</w:t>
            </w:r>
            <w:r w:rsidRPr="00C32500">
              <w:rPr>
                <w:b/>
                <w:bCs/>
                <w:lang w:val="en-GB"/>
              </w:rPr>
              <w:t xml:space="preserve">, </w:t>
            </w:r>
            <w:r>
              <w:rPr>
                <w:b/>
                <w:bCs/>
                <w:lang w:val="en-GB"/>
              </w:rPr>
              <w:t>new construction orders</w:t>
            </w:r>
            <w:r w:rsidRPr="00C32500">
              <w:rPr>
                <w:b/>
                <w:lang w:val="en-GB"/>
              </w:rPr>
              <w:t xml:space="preserve"> </w:t>
            </w:r>
            <w:r w:rsidRPr="00C32500">
              <w:rPr>
                <w:bCs/>
                <w:lang w:val="en-GB"/>
              </w:rPr>
              <w:t>(</w:t>
            </w:r>
            <w:r>
              <w:rPr>
                <w:bCs/>
                <w:lang w:val="en-GB"/>
              </w:rPr>
              <w:t xml:space="preserve">year-on-year in </w:t>
            </w:r>
            <w:r w:rsidRPr="00C32500">
              <w:rPr>
                <w:bCs/>
                <w:lang w:val="en-GB"/>
              </w:rPr>
              <w:t>%</w:t>
            </w:r>
            <w:r w:rsidRPr="00C32500">
              <w:rPr>
                <w:lang w:val="en-GB"/>
              </w:rPr>
              <w:t xml:space="preserve">, </w:t>
            </w:r>
            <w:r>
              <w:rPr>
                <w:lang w:val="en-GB"/>
              </w:rPr>
              <w:t>right axis</w:t>
            </w:r>
            <w:r w:rsidRPr="00C32500">
              <w:rPr>
                <w:bCs/>
                <w:lang w:val="en-GB"/>
              </w:rPr>
              <w:t>)</w:t>
            </w:r>
            <w:r w:rsidRPr="00C32500">
              <w:rPr>
                <w:b/>
                <w:lang w:val="en-GB"/>
              </w:rPr>
              <w:t xml:space="preserve">, </w:t>
            </w:r>
            <w:r>
              <w:rPr>
                <w:b/>
                <w:lang w:val="en-GB"/>
              </w:rPr>
              <w:t>balance of confidence indicator in construction</w:t>
            </w:r>
            <w:r w:rsidRPr="00C32500">
              <w:rPr>
                <w:b/>
                <w:lang w:val="en-GB"/>
              </w:rPr>
              <w:t>*</w:t>
            </w:r>
            <w:r w:rsidRPr="00C32500">
              <w:rPr>
                <w:lang w:val="en-GB"/>
              </w:rPr>
              <w:t xml:space="preserve"> (</w:t>
            </w:r>
            <w:r>
              <w:rPr>
                <w:lang w:val="en-GB"/>
              </w:rPr>
              <w:t>in</w:t>
            </w:r>
            <w:r w:rsidRPr="00C32500">
              <w:rPr>
                <w:lang w:val="en-GB"/>
              </w:rPr>
              <w:t> p.</w:t>
            </w:r>
            <w:r>
              <w:rPr>
                <w:lang w:val="en-GB"/>
              </w:rPr>
              <w:t>p</w:t>
            </w:r>
            <w:r w:rsidRPr="00C32500">
              <w:rPr>
                <w:lang w:val="en-GB"/>
              </w:rPr>
              <w:t xml:space="preserve">., </w:t>
            </w:r>
            <w:r>
              <w:rPr>
                <w:lang w:val="en-GB"/>
              </w:rPr>
              <w:t>right axis</w:t>
            </w:r>
            <w:r w:rsidRPr="00C32500">
              <w:rPr>
                <w:lang w:val="en-GB"/>
              </w:rPr>
              <w:t xml:space="preserve">) </w:t>
            </w:r>
            <w:r w:rsidRPr="00C32500">
              <w:rPr>
                <w:b/>
                <w:lang w:val="en-GB"/>
              </w:rPr>
              <w:t>a</w:t>
            </w:r>
            <w:r>
              <w:rPr>
                <w:b/>
                <w:lang w:val="en-GB"/>
              </w:rPr>
              <w:t>nd selected growth barriers</w:t>
            </w:r>
            <w:r w:rsidRPr="00C32500">
              <w:rPr>
                <w:lang w:val="en-GB"/>
              </w:rPr>
              <w:t>* (</w:t>
            </w:r>
            <w:r>
              <w:rPr>
                <w:lang w:val="en-GB"/>
              </w:rPr>
              <w:t>in</w:t>
            </w:r>
            <w:r w:rsidRPr="00C32500">
              <w:rPr>
                <w:lang w:val="en-GB"/>
              </w:rPr>
              <w:t xml:space="preserve"> %, </w:t>
            </w:r>
            <w:r>
              <w:rPr>
                <w:lang w:val="en-GB"/>
              </w:rPr>
              <w:t>right axis</w:t>
            </w:r>
            <w:r w:rsidRPr="00C32500">
              <w:rPr>
                <w:lang w:val="en-GB"/>
              </w:rPr>
              <w:t>)</w:t>
            </w:r>
          </w:p>
        </w:tc>
      </w:tr>
      <w:tr w:rsidR="009732DF" w:rsidRPr="00191C35" w14:paraId="7F60A306" w14:textId="77777777" w:rsidTr="001144FB">
        <w:tblPrEx>
          <w:tblCellMar>
            <w:left w:w="70" w:type="dxa"/>
            <w:right w:w="70" w:type="dxa"/>
          </w:tblCellMar>
        </w:tblPrEx>
        <w:trPr>
          <w:trHeight w:val="145"/>
        </w:trPr>
        <w:tc>
          <w:tcPr>
            <w:tcW w:w="1728" w:type="dxa"/>
            <w:shd w:val="clear" w:color="auto" w:fill="auto"/>
          </w:tcPr>
          <w:p w14:paraId="7287583C" w14:textId="77777777" w:rsidR="009732DF" w:rsidRDefault="009732DF" w:rsidP="001144FB">
            <w:pPr>
              <w:pStyle w:val="Marginlie"/>
            </w:pPr>
          </w:p>
        </w:tc>
        <w:tc>
          <w:tcPr>
            <w:tcW w:w="206" w:type="dxa"/>
            <w:shd w:val="clear" w:color="auto" w:fill="auto"/>
          </w:tcPr>
          <w:p w14:paraId="4D50F88C" w14:textId="77777777" w:rsidR="009732DF" w:rsidRPr="00B43216" w:rsidRDefault="009732DF" w:rsidP="001144FB">
            <w:pPr>
              <w:pStyle w:val="Textpoznpodarou"/>
              <w:jc w:val="both"/>
              <w:rPr>
                <w:spacing w:val="-4"/>
              </w:rPr>
            </w:pPr>
          </w:p>
        </w:tc>
        <w:tc>
          <w:tcPr>
            <w:tcW w:w="7730" w:type="dxa"/>
            <w:shd w:val="clear" w:color="auto" w:fill="auto"/>
          </w:tcPr>
          <w:p w14:paraId="365BEB5A" w14:textId="77777777" w:rsidR="009732DF" w:rsidRPr="003E01D3" w:rsidRDefault="009732DF" w:rsidP="001144FB">
            <w:pPr>
              <w:spacing w:after="0"/>
              <w:rPr>
                <w:b/>
                <w:spacing w:val="-4"/>
              </w:rPr>
            </w:pPr>
            <w:r>
              <w:rPr>
                <w:noProof/>
              </w:rPr>
              <w:drawing>
                <wp:inline distT="0" distB="0" distL="0" distR="0" wp14:anchorId="456A6090" wp14:editId="1D074F81">
                  <wp:extent cx="4749121" cy="3623323"/>
                  <wp:effectExtent l="0" t="0" r="0" b="0"/>
                  <wp:docPr id="7" name="Graf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r>
      <w:tr w:rsidR="009732DF" w:rsidRPr="00191C35" w14:paraId="4E1957A0" w14:textId="77777777" w:rsidTr="001144FB">
        <w:trPr>
          <w:trHeight w:val="145"/>
        </w:trPr>
        <w:tc>
          <w:tcPr>
            <w:tcW w:w="1728" w:type="dxa"/>
            <w:shd w:val="clear" w:color="auto" w:fill="auto"/>
            <w:tcMar>
              <w:left w:w="0" w:type="dxa"/>
            </w:tcMar>
          </w:tcPr>
          <w:p w14:paraId="395B1A63" w14:textId="77777777" w:rsidR="009732DF" w:rsidRDefault="009732DF" w:rsidP="001144FB">
            <w:pPr>
              <w:pStyle w:val="Marginlie"/>
            </w:pPr>
          </w:p>
        </w:tc>
        <w:tc>
          <w:tcPr>
            <w:tcW w:w="206" w:type="dxa"/>
            <w:shd w:val="clear" w:color="auto" w:fill="auto"/>
            <w:tcMar>
              <w:left w:w="0" w:type="dxa"/>
            </w:tcMar>
          </w:tcPr>
          <w:p w14:paraId="77100F85" w14:textId="77777777" w:rsidR="009732DF" w:rsidRPr="00B43216" w:rsidRDefault="009732DF" w:rsidP="001144FB">
            <w:pPr>
              <w:pStyle w:val="Textpoznpodarou"/>
              <w:jc w:val="both"/>
              <w:rPr>
                <w:spacing w:val="-4"/>
              </w:rPr>
            </w:pPr>
          </w:p>
        </w:tc>
        <w:tc>
          <w:tcPr>
            <w:tcW w:w="7730" w:type="dxa"/>
            <w:shd w:val="clear" w:color="auto" w:fill="auto"/>
            <w:tcMar>
              <w:left w:w="0" w:type="dxa"/>
            </w:tcMar>
          </w:tcPr>
          <w:p w14:paraId="3E304D10" w14:textId="77777777" w:rsidR="009732DF" w:rsidRPr="00883202" w:rsidRDefault="009732DF" w:rsidP="001144FB">
            <w:pPr>
              <w:spacing w:after="0"/>
              <w:rPr>
                <w:rFonts w:cs="Arial"/>
                <w:sz w:val="14"/>
                <w:szCs w:val="14"/>
              </w:rPr>
            </w:pPr>
            <w:r w:rsidRPr="00902757">
              <w:rPr>
                <w:rFonts w:cs="Arial"/>
                <w:spacing w:val="-7"/>
                <w:sz w:val="14"/>
                <w:szCs w:val="14"/>
                <w:lang w:val="en-GB"/>
              </w:rPr>
              <w:t xml:space="preserve">Data </w:t>
            </w:r>
            <w:r>
              <w:rPr>
                <w:rFonts w:cs="Arial"/>
                <w:spacing w:val="-7"/>
                <w:sz w:val="14"/>
                <w:szCs w:val="14"/>
                <w:lang w:val="en-GB"/>
              </w:rPr>
              <w:t>r</w:t>
            </w:r>
            <w:r w:rsidRPr="00902757">
              <w:rPr>
                <w:rFonts w:cs="Arial"/>
                <w:spacing w:val="-7"/>
                <w:sz w:val="14"/>
                <w:szCs w:val="14"/>
                <w:lang w:val="en-GB"/>
              </w:rPr>
              <w:t>elated to construction output are adjusted for calendar effects</w:t>
            </w:r>
            <w:r w:rsidRPr="00883202">
              <w:rPr>
                <w:rFonts w:cs="Arial"/>
                <w:sz w:val="14"/>
                <w:szCs w:val="14"/>
              </w:rPr>
              <w:t xml:space="preserve"> </w:t>
            </w:r>
          </w:p>
          <w:p w14:paraId="5E094071" w14:textId="77777777" w:rsidR="009732DF" w:rsidRDefault="009732DF" w:rsidP="001144FB">
            <w:pPr>
              <w:tabs>
                <w:tab w:val="right" w:pos="7711"/>
              </w:tabs>
              <w:spacing w:after="0"/>
              <w:rPr>
                <w:rFonts w:cs="Arial"/>
                <w:sz w:val="14"/>
                <w:szCs w:val="14"/>
              </w:rPr>
            </w:pPr>
            <w:r w:rsidRPr="00883202">
              <w:rPr>
                <w:rFonts w:cs="Arial"/>
                <w:sz w:val="14"/>
                <w:szCs w:val="14"/>
              </w:rPr>
              <w:t>*</w:t>
            </w:r>
            <w:r>
              <w:rPr>
                <w:rFonts w:cs="Arial"/>
                <w:sz w:val="14"/>
                <w:szCs w:val="14"/>
                <w:lang w:val="en-GB"/>
              </w:rPr>
              <w:t xml:space="preserve"> Balance of confidence as well as barriers to growth are seasonally adjusted and express the level in the second month of the given quarter. Businesses could have state more main barriers simultaneously. </w:t>
            </w:r>
          </w:p>
          <w:p w14:paraId="23FA22E4" w14:textId="77777777" w:rsidR="009732DF" w:rsidRPr="00FC6785" w:rsidRDefault="009732DF" w:rsidP="001144FB">
            <w:pPr>
              <w:tabs>
                <w:tab w:val="right" w:pos="7711"/>
              </w:tabs>
              <w:spacing w:after="200"/>
              <w:rPr>
                <w:rFonts w:cs="Arial"/>
                <w:sz w:val="14"/>
                <w:szCs w:val="14"/>
              </w:rPr>
            </w:pPr>
            <w:r>
              <w:rPr>
                <w:rFonts w:cs="Arial"/>
                <w:sz w:val="14"/>
                <w:szCs w:val="14"/>
              </w:rPr>
              <w:t>Source</w:t>
            </w:r>
            <w:r w:rsidRPr="00883202">
              <w:rPr>
                <w:rFonts w:cs="Arial"/>
                <w:sz w:val="14"/>
                <w:szCs w:val="14"/>
              </w:rPr>
              <w:t xml:space="preserve">: </w:t>
            </w:r>
            <w:r>
              <w:rPr>
                <w:rFonts w:cs="Arial"/>
                <w:sz w:val="14"/>
                <w:szCs w:val="14"/>
              </w:rPr>
              <w:t>CZSO, Eurostat</w:t>
            </w:r>
          </w:p>
        </w:tc>
      </w:tr>
      <w:tr w:rsidR="009732DF" w:rsidRPr="00191C35" w14:paraId="5BF2509E" w14:textId="77777777" w:rsidTr="001144FB">
        <w:trPr>
          <w:trHeight w:val="145"/>
        </w:trPr>
        <w:tc>
          <w:tcPr>
            <w:tcW w:w="1728" w:type="dxa"/>
            <w:shd w:val="clear" w:color="auto" w:fill="auto"/>
            <w:tcMar>
              <w:left w:w="0" w:type="dxa"/>
            </w:tcMar>
          </w:tcPr>
          <w:p w14:paraId="3D4363F3" w14:textId="77777777" w:rsidR="009732DF" w:rsidRPr="00AB293A" w:rsidRDefault="009732DF" w:rsidP="001144FB">
            <w:pPr>
              <w:pStyle w:val="Marginlie"/>
              <w:rPr>
                <w:lang w:val="en-GB"/>
              </w:rPr>
            </w:pPr>
            <w:r>
              <w:rPr>
                <w:lang w:val="en-GB"/>
              </w:rPr>
              <w:lastRenderedPageBreak/>
              <w:t xml:space="preserve">Construction of residential buildings assisted in moderating the weaker outputs of building construction. </w:t>
            </w:r>
          </w:p>
        </w:tc>
        <w:tc>
          <w:tcPr>
            <w:tcW w:w="206" w:type="dxa"/>
            <w:shd w:val="clear" w:color="auto" w:fill="auto"/>
            <w:tcMar>
              <w:left w:w="0" w:type="dxa"/>
            </w:tcMar>
          </w:tcPr>
          <w:p w14:paraId="5D5E3E69" w14:textId="77777777" w:rsidR="009732DF" w:rsidRPr="00AB293A" w:rsidRDefault="009732DF" w:rsidP="001144FB">
            <w:pPr>
              <w:pStyle w:val="Textpoznpodarou"/>
              <w:jc w:val="both"/>
              <w:rPr>
                <w:spacing w:val="-4"/>
                <w:lang w:val="en-GB"/>
              </w:rPr>
            </w:pPr>
          </w:p>
        </w:tc>
        <w:tc>
          <w:tcPr>
            <w:tcW w:w="7730" w:type="dxa"/>
            <w:shd w:val="clear" w:color="auto" w:fill="auto"/>
            <w:tcMar>
              <w:left w:w="0" w:type="dxa"/>
            </w:tcMar>
          </w:tcPr>
          <w:p w14:paraId="038D39E2" w14:textId="77777777" w:rsidR="009732DF" w:rsidRPr="00D92277" w:rsidRDefault="009732DF" w:rsidP="001144FB">
            <w:pPr>
              <w:spacing w:after="160"/>
              <w:rPr>
                <w:spacing w:val="-2"/>
                <w:lang w:val="en-GB"/>
              </w:rPr>
            </w:pPr>
            <w:r>
              <w:rPr>
                <w:spacing w:val="-4"/>
                <w:lang w:val="en-GB"/>
              </w:rPr>
              <w:t xml:space="preserve">Half yearly output in the weight dominant segment of the building construction was by </w:t>
            </w:r>
            <w:r w:rsidRPr="006E37A9">
              <w:rPr>
                <w:spacing w:val="-4"/>
                <w:lang w:val="en-GB"/>
              </w:rPr>
              <w:t>2</w:t>
            </w:r>
            <w:r>
              <w:rPr>
                <w:spacing w:val="-4"/>
                <w:lang w:val="en-GB"/>
              </w:rPr>
              <w:t>.</w:t>
            </w:r>
            <w:r w:rsidRPr="006E37A9">
              <w:rPr>
                <w:spacing w:val="-4"/>
                <w:lang w:val="en-GB"/>
              </w:rPr>
              <w:t xml:space="preserve">3% </w:t>
            </w:r>
            <w:r>
              <w:rPr>
                <w:spacing w:val="-4"/>
                <w:lang w:val="en-GB"/>
              </w:rPr>
              <w:t xml:space="preserve">lower year-on-year this year </w:t>
            </w:r>
            <w:r w:rsidRPr="006E37A9">
              <w:rPr>
                <w:spacing w:val="-4"/>
                <w:lang w:val="en-GB"/>
              </w:rPr>
              <w:t>(</w:t>
            </w:r>
            <w:r>
              <w:rPr>
                <w:spacing w:val="-4"/>
                <w:lang w:val="en-GB"/>
              </w:rPr>
              <w:t xml:space="preserve">even by </w:t>
            </w:r>
            <w:r w:rsidRPr="006E37A9">
              <w:rPr>
                <w:spacing w:val="-4"/>
                <w:lang w:val="en-GB"/>
              </w:rPr>
              <w:t>8</w:t>
            </w:r>
            <w:r>
              <w:rPr>
                <w:spacing w:val="-4"/>
                <w:lang w:val="en-GB"/>
              </w:rPr>
              <w:t>.</w:t>
            </w:r>
            <w:r w:rsidRPr="006E37A9">
              <w:rPr>
                <w:spacing w:val="-4"/>
                <w:lang w:val="en-GB"/>
              </w:rPr>
              <w:t>2%</w:t>
            </w:r>
            <w:r>
              <w:rPr>
                <w:spacing w:val="-4"/>
                <w:lang w:val="en-GB"/>
              </w:rPr>
              <w:t xml:space="preserve"> for the two years</w:t>
            </w:r>
            <w:r w:rsidRPr="006E37A9">
              <w:rPr>
                <w:spacing w:val="-4"/>
                <w:lang w:val="en-GB"/>
              </w:rPr>
              <w:t xml:space="preserve">). </w:t>
            </w:r>
            <w:r>
              <w:rPr>
                <w:spacing w:val="-4"/>
                <w:lang w:val="en-GB"/>
              </w:rPr>
              <w:t xml:space="preserve">The residential constructions partially help to subdue the difficulties here. There were nearly 20 thousand flats completed from January till July of this year, i.e. slightly more than in the same period of the until recently record year </w:t>
            </w:r>
            <w:r w:rsidRPr="00BF4C7A">
              <w:rPr>
                <w:spacing w:val="-4"/>
                <w:lang w:val="en-GB"/>
              </w:rPr>
              <w:t>2</w:t>
            </w:r>
            <w:r w:rsidRPr="00BF4C7A">
              <w:rPr>
                <w:spacing w:val="-2"/>
                <w:lang w:val="en-GB"/>
              </w:rPr>
              <w:t xml:space="preserve">009. </w:t>
            </w:r>
            <w:r>
              <w:rPr>
                <w:spacing w:val="-2"/>
                <w:lang w:val="en-GB"/>
              </w:rPr>
              <w:t xml:space="preserve">Mostly the construction of family houses, continually strengthening in the last years, contributed. </w:t>
            </w:r>
            <w:r w:rsidRPr="00BF4C7A">
              <w:rPr>
                <w:spacing w:val="-2"/>
                <w:lang w:val="en-GB"/>
              </w:rPr>
              <w:t xml:space="preserve">Number of commenced flats reached by analogy 23.9 thousand and exceeded last year’s level roughly by one eighth. </w:t>
            </w:r>
            <w:r>
              <w:rPr>
                <w:spacing w:val="-2"/>
                <w:lang w:val="en-GB"/>
              </w:rPr>
              <w:t xml:space="preserve">It however lagged behind the same period of the boom year </w:t>
            </w:r>
            <w:r w:rsidRPr="00BF4C7A">
              <w:rPr>
                <w:spacing w:val="-2"/>
                <w:lang w:val="en-GB"/>
              </w:rPr>
              <w:t>2008</w:t>
            </w:r>
            <w:r>
              <w:rPr>
                <w:spacing w:val="-2"/>
                <w:lang w:val="en-GB"/>
              </w:rPr>
              <w:t xml:space="preserve"> by nearly one tenth</w:t>
            </w:r>
            <w:r w:rsidRPr="00BF4C7A">
              <w:rPr>
                <w:spacing w:val="-2"/>
                <w:lang w:val="en-GB"/>
              </w:rPr>
              <w:t xml:space="preserve">. Higher construction in Prague contributed the most to the year-on-year rise of the number of commenced </w:t>
            </w:r>
            <w:r w:rsidRPr="00BF4C7A">
              <w:rPr>
                <w:spacing w:val="-4"/>
                <w:lang w:val="en-GB"/>
              </w:rPr>
              <w:t>(12%) as well as finished flats (11%) this year.</w:t>
            </w:r>
            <w:r>
              <w:rPr>
                <w:spacing w:val="-4"/>
                <w:lang w:val="en-GB"/>
              </w:rPr>
              <w:t xml:space="preserve"> </w:t>
            </w:r>
          </w:p>
        </w:tc>
      </w:tr>
      <w:tr w:rsidR="009732DF" w:rsidRPr="00191C35" w14:paraId="2B709352" w14:textId="77777777" w:rsidTr="001144FB">
        <w:trPr>
          <w:trHeight w:val="145"/>
        </w:trPr>
        <w:tc>
          <w:tcPr>
            <w:tcW w:w="1728" w:type="dxa"/>
            <w:shd w:val="clear" w:color="auto" w:fill="auto"/>
            <w:tcMar>
              <w:left w:w="0" w:type="dxa"/>
            </w:tcMar>
          </w:tcPr>
          <w:p w14:paraId="7A0B9C1B" w14:textId="77777777" w:rsidR="009732DF" w:rsidRPr="00AB293A" w:rsidRDefault="009732DF" w:rsidP="001144FB">
            <w:pPr>
              <w:pStyle w:val="Marginlie"/>
              <w:rPr>
                <w:lang w:val="en-GB"/>
              </w:rPr>
            </w:pPr>
            <w:r w:rsidRPr="00AB293A">
              <w:rPr>
                <w:lang w:val="en-GB"/>
              </w:rPr>
              <w:t xml:space="preserve">The approximate value of building permits briskly grew even without the effect of large structures. </w:t>
            </w:r>
          </w:p>
          <w:p w14:paraId="2A70A86D" w14:textId="77777777" w:rsidR="009732DF" w:rsidRPr="00AB293A" w:rsidRDefault="009732DF" w:rsidP="001144FB">
            <w:pPr>
              <w:pStyle w:val="Marginlie"/>
              <w:rPr>
                <w:lang w:val="en-GB"/>
              </w:rPr>
            </w:pPr>
          </w:p>
          <w:p w14:paraId="3EFA37BD" w14:textId="77777777" w:rsidR="009732DF" w:rsidRPr="00AB293A" w:rsidRDefault="009732DF" w:rsidP="001144FB">
            <w:pPr>
              <w:pStyle w:val="Marginlie"/>
              <w:rPr>
                <w:lang w:val="en-GB"/>
              </w:rPr>
            </w:pPr>
          </w:p>
          <w:p w14:paraId="203914D8" w14:textId="77777777" w:rsidR="009732DF" w:rsidRPr="00AB293A" w:rsidRDefault="009732DF" w:rsidP="001144FB">
            <w:pPr>
              <w:pStyle w:val="Marginlie"/>
              <w:rPr>
                <w:lang w:val="en-GB"/>
              </w:rPr>
            </w:pPr>
          </w:p>
          <w:p w14:paraId="48E16B60" w14:textId="77777777" w:rsidR="009732DF" w:rsidRPr="00AB293A" w:rsidRDefault="009732DF" w:rsidP="001144FB">
            <w:pPr>
              <w:pStyle w:val="Marginlie"/>
              <w:rPr>
                <w:lang w:val="en-GB"/>
              </w:rPr>
            </w:pPr>
            <w:r>
              <w:rPr>
                <w:lang w:val="en-GB"/>
              </w:rPr>
              <w:t>Total stock of work increased mainly thanks to domestic private orders this year</w:t>
            </w:r>
            <w:r w:rsidRPr="00AB293A">
              <w:rPr>
                <w:lang w:val="en-GB"/>
              </w:rPr>
              <w:t>.</w:t>
            </w:r>
          </w:p>
        </w:tc>
        <w:tc>
          <w:tcPr>
            <w:tcW w:w="206" w:type="dxa"/>
            <w:shd w:val="clear" w:color="auto" w:fill="auto"/>
            <w:tcMar>
              <w:left w:w="0" w:type="dxa"/>
            </w:tcMar>
          </w:tcPr>
          <w:p w14:paraId="0AE1119A" w14:textId="77777777" w:rsidR="009732DF" w:rsidRPr="00AB293A" w:rsidRDefault="009732DF" w:rsidP="001144FB">
            <w:pPr>
              <w:pStyle w:val="Textpoznpodarou"/>
              <w:jc w:val="both"/>
              <w:rPr>
                <w:spacing w:val="-4"/>
                <w:lang w:val="en-GB"/>
              </w:rPr>
            </w:pPr>
          </w:p>
        </w:tc>
        <w:tc>
          <w:tcPr>
            <w:tcW w:w="7730" w:type="dxa"/>
            <w:shd w:val="clear" w:color="auto" w:fill="auto"/>
            <w:tcMar>
              <w:left w:w="0" w:type="dxa"/>
            </w:tcMar>
          </w:tcPr>
          <w:p w14:paraId="776CFE9C" w14:textId="77777777" w:rsidR="009732DF" w:rsidRPr="00D92277" w:rsidRDefault="009732DF" w:rsidP="001144FB">
            <w:pPr>
              <w:spacing w:after="160"/>
              <w:rPr>
                <w:spacing w:val="-2"/>
                <w:lang w:val="en-GB"/>
              </w:rPr>
            </w:pPr>
            <w:r w:rsidRPr="00D92277">
              <w:rPr>
                <w:spacing w:val="-2"/>
                <w:lang w:val="en-GB"/>
              </w:rPr>
              <w:t xml:space="preserve">Short term expectations of construction remain largely positive. </w:t>
            </w:r>
            <w:r w:rsidRPr="00D92277">
              <w:rPr>
                <w:rFonts w:cstheme="minorHAnsi"/>
                <w:spacing w:val="-4"/>
                <w:lang w:val="en-GB"/>
              </w:rPr>
              <w:t xml:space="preserve">The approximate value of issued building permits was in total for the seven this year’s months roughly by one third higher – both in year-on-year and two-year comparison. The value briskly grew even after deduction of the large structures </w:t>
            </w:r>
            <w:r w:rsidRPr="00D92277">
              <w:rPr>
                <w:spacing w:val="-2"/>
                <w:lang w:val="en-GB"/>
              </w:rPr>
              <w:t>(</w:t>
            </w:r>
            <w:r w:rsidRPr="00533023">
              <w:rPr>
                <w:spacing w:val="-2"/>
                <w:lang w:val="en-GB"/>
              </w:rPr>
              <w:t>above 1 CZK bn</w:t>
            </w:r>
            <w:r w:rsidRPr="00D92277">
              <w:rPr>
                <w:spacing w:val="-2"/>
                <w:lang w:val="en-GB"/>
              </w:rPr>
              <w:t xml:space="preserve">), which can be a good signal even for smaller construction firms. The volume of newly concluded construction orders </w:t>
            </w:r>
            <w:r w:rsidRPr="00D92277">
              <w:rPr>
                <w:lang w:val="en-GB"/>
              </w:rPr>
              <w:t>(in businesses with more than 50 employees) grows already fifth year in a row and  it was nearly by one fifth higher year-on-year for the first this year’s half year (in that by nearly one third in civil engineering construction</w:t>
            </w:r>
            <w:r w:rsidRPr="00D92277">
              <w:rPr>
                <w:color w:val="0D0D0D" w:themeColor="text1" w:themeTint="F2"/>
                <w:lang w:val="en-GB"/>
              </w:rPr>
              <w:t xml:space="preserve">). All not yet realised orders provided work to businesses on average for the next nine months </w:t>
            </w:r>
            <w:r w:rsidRPr="00D92277">
              <w:rPr>
                <w:color w:val="0D0D0D" w:themeColor="text1" w:themeTint="F2"/>
                <w:spacing w:val="-4"/>
                <w:szCs w:val="20"/>
                <w:lang w:val="en-GB"/>
              </w:rPr>
              <w:t xml:space="preserve">at the beginning of Q3. Total order stock was towards the end of this year’s half-year by one fifth higher year-on-year. </w:t>
            </w:r>
            <w:r>
              <w:rPr>
                <w:color w:val="0D0D0D" w:themeColor="text1" w:themeTint="F2"/>
                <w:spacing w:val="-4"/>
                <w:szCs w:val="20"/>
                <w:lang w:val="en-GB"/>
              </w:rPr>
              <w:t xml:space="preserve">If in years </w:t>
            </w:r>
            <w:r w:rsidRPr="00D92277">
              <w:rPr>
                <w:color w:val="0D0D0D" w:themeColor="text1" w:themeTint="F2"/>
                <w:spacing w:val="-4"/>
                <w:szCs w:val="20"/>
                <w:lang w:val="en-GB"/>
              </w:rPr>
              <w:t>2018</w:t>
            </w:r>
            <w:r>
              <w:rPr>
                <w:color w:val="0D0D0D" w:themeColor="text1" w:themeTint="F2"/>
                <w:spacing w:val="-4"/>
                <w:szCs w:val="20"/>
                <w:lang w:val="en-GB"/>
              </w:rPr>
              <w:t xml:space="preserve"> to </w:t>
            </w:r>
            <w:r w:rsidRPr="00D92277">
              <w:rPr>
                <w:color w:val="0D0D0D" w:themeColor="text1" w:themeTint="F2"/>
                <w:spacing w:val="-4"/>
                <w:szCs w:val="20"/>
                <w:lang w:val="en-GB"/>
              </w:rPr>
              <w:t>2020</w:t>
            </w:r>
            <w:r>
              <w:rPr>
                <w:color w:val="0D0D0D" w:themeColor="text1" w:themeTint="F2"/>
                <w:spacing w:val="-4"/>
                <w:szCs w:val="20"/>
                <w:lang w:val="en-GB"/>
              </w:rPr>
              <w:t xml:space="preserve"> the growth of stock of work was driven primarily by the public orders</w:t>
            </w:r>
            <w:r w:rsidRPr="00D92277">
              <w:rPr>
                <w:color w:val="0D0D0D" w:themeColor="text1" w:themeTint="F2"/>
                <w:spacing w:val="-4"/>
                <w:szCs w:val="20"/>
                <w:lang w:val="en-GB"/>
              </w:rPr>
              <w:t>,</w:t>
            </w:r>
            <w:r>
              <w:rPr>
                <w:color w:val="0D0D0D" w:themeColor="text1" w:themeTint="F2"/>
                <w:spacing w:val="-4"/>
                <w:szCs w:val="20"/>
                <w:lang w:val="en-GB"/>
              </w:rPr>
              <w:t xml:space="preserve"> the private domestic orders took over this role this year. </w:t>
            </w:r>
          </w:p>
        </w:tc>
      </w:tr>
      <w:tr w:rsidR="009732DF" w:rsidRPr="00191C35" w14:paraId="7B0DB8AB" w14:textId="77777777" w:rsidTr="001144FB">
        <w:trPr>
          <w:trHeight w:val="145"/>
        </w:trPr>
        <w:tc>
          <w:tcPr>
            <w:tcW w:w="1728" w:type="dxa"/>
            <w:shd w:val="clear" w:color="auto" w:fill="auto"/>
            <w:tcMar>
              <w:left w:w="0" w:type="dxa"/>
            </w:tcMar>
          </w:tcPr>
          <w:p w14:paraId="18D072F4" w14:textId="77777777" w:rsidR="009732DF" w:rsidRPr="000E3D9C" w:rsidRDefault="009732DF" w:rsidP="001144FB">
            <w:pPr>
              <w:pStyle w:val="Marginlie"/>
              <w:rPr>
                <w:lang w:val="en-GB"/>
              </w:rPr>
            </w:pPr>
            <w:r w:rsidRPr="000E3D9C">
              <w:rPr>
                <w:lang w:val="en-GB"/>
              </w:rPr>
              <w:t xml:space="preserve">Confidence of entrepreneurs in construction remained in the slightly negative band. The branch faced a variety of growth barriers. </w:t>
            </w:r>
          </w:p>
        </w:tc>
        <w:tc>
          <w:tcPr>
            <w:tcW w:w="206" w:type="dxa"/>
            <w:shd w:val="clear" w:color="auto" w:fill="auto"/>
            <w:tcMar>
              <w:left w:w="0" w:type="dxa"/>
            </w:tcMar>
          </w:tcPr>
          <w:p w14:paraId="0FD6BD08" w14:textId="77777777" w:rsidR="009732DF" w:rsidRPr="00B43216" w:rsidRDefault="009732DF" w:rsidP="001144FB">
            <w:pPr>
              <w:pStyle w:val="Textpoznpodarou"/>
              <w:jc w:val="both"/>
              <w:rPr>
                <w:spacing w:val="-4"/>
              </w:rPr>
            </w:pPr>
          </w:p>
        </w:tc>
        <w:tc>
          <w:tcPr>
            <w:tcW w:w="7730" w:type="dxa"/>
            <w:shd w:val="clear" w:color="auto" w:fill="auto"/>
            <w:tcMar>
              <w:left w:w="0" w:type="dxa"/>
            </w:tcMar>
          </w:tcPr>
          <w:p w14:paraId="3C1E8CD6" w14:textId="77777777" w:rsidR="009732DF" w:rsidRPr="00D92277" w:rsidRDefault="009732DF" w:rsidP="001144FB">
            <w:pPr>
              <w:spacing w:after="200"/>
              <w:rPr>
                <w:spacing w:val="-4"/>
                <w:lang w:val="en-GB"/>
              </w:rPr>
            </w:pPr>
            <w:r>
              <w:rPr>
                <w:spacing w:val="-4"/>
                <w:szCs w:val="20"/>
                <w:lang w:val="en-GB"/>
              </w:rPr>
              <w:t xml:space="preserve">Balance of entrepreneur confidence in construction mildly fluctuated this year and still remained in the negative band slightly below the level from the period immediately before the start of the pandemics. Short term expectations of both production activity and employment stayed moderately positive. The fewest number of businesses in the last two years experienced the weak demand as a growth barrier. </w:t>
            </w:r>
            <w:r>
              <w:rPr>
                <w:spacing w:val="-4"/>
                <w:lang w:val="en-GB"/>
              </w:rPr>
              <w:t xml:space="preserve">In contrast, the shortage of employees steadily  afflicted approximately 40% of businesses since the half of last year. </w:t>
            </w:r>
            <w:r w:rsidRPr="00AA182D">
              <w:rPr>
                <w:spacing w:val="-4"/>
                <w:lang w:val="en-GB"/>
              </w:rPr>
              <w:t>The firms were more and more limited by the shortage of material since the end of this year’s Spring, which</w:t>
            </w:r>
            <w:r>
              <w:rPr>
                <w:spacing w:val="-4"/>
                <w:lang w:val="en-GB"/>
              </w:rPr>
              <w:t xml:space="preserve"> exacerbated the price pressures in the whole industry. More than 40% of businesses expected growth of construction works in the nearest three months, similarly to the boom period in </w:t>
            </w:r>
            <w:r w:rsidRPr="00D92277">
              <w:rPr>
                <w:spacing w:val="-4"/>
                <w:lang w:val="en-GB"/>
              </w:rPr>
              <w:t>2008.</w:t>
            </w:r>
          </w:p>
        </w:tc>
      </w:tr>
      <w:tr w:rsidR="009732DF" w:rsidRPr="00191C35" w14:paraId="6E126FB8" w14:textId="77777777" w:rsidTr="001144FB">
        <w:trPr>
          <w:trHeight w:val="145"/>
        </w:trPr>
        <w:tc>
          <w:tcPr>
            <w:tcW w:w="1728" w:type="dxa"/>
            <w:shd w:val="clear" w:color="auto" w:fill="auto"/>
            <w:tcMar>
              <w:left w:w="0" w:type="dxa"/>
            </w:tcMar>
          </w:tcPr>
          <w:p w14:paraId="58726A89" w14:textId="77777777" w:rsidR="009732DF" w:rsidRPr="00763815" w:rsidRDefault="009732DF" w:rsidP="001144FB">
            <w:pPr>
              <w:pStyle w:val="Marginlie"/>
              <w:rPr>
                <w:lang w:val="en-GB"/>
              </w:rPr>
            </w:pPr>
            <w:r w:rsidRPr="00763815">
              <w:rPr>
                <w:lang w:val="en-GB"/>
              </w:rPr>
              <w:t xml:space="preserve">Gradual loosening of the counter pandemic restrictions was reflected in the acceleration of the quarter-on-quarter growth of sales in services. </w:t>
            </w:r>
          </w:p>
          <w:p w14:paraId="386DF1B2" w14:textId="77777777" w:rsidR="009732DF" w:rsidRDefault="009732DF" w:rsidP="001144FB">
            <w:pPr>
              <w:pStyle w:val="Marginlie"/>
            </w:pPr>
          </w:p>
          <w:p w14:paraId="6CDE1107" w14:textId="77777777" w:rsidR="009732DF" w:rsidRDefault="009732DF" w:rsidP="001144FB">
            <w:pPr>
              <w:pStyle w:val="Marginlie"/>
            </w:pPr>
          </w:p>
          <w:p w14:paraId="1E4031CE" w14:textId="77777777" w:rsidR="009732DF" w:rsidRDefault="009732DF" w:rsidP="001144FB">
            <w:pPr>
              <w:pStyle w:val="Marginlie"/>
            </w:pPr>
          </w:p>
          <w:p w14:paraId="1FC373D8" w14:textId="77777777" w:rsidR="009732DF" w:rsidRPr="00145E6D" w:rsidRDefault="009732DF" w:rsidP="001144FB">
            <w:pPr>
              <w:pStyle w:val="Marginlie"/>
              <w:rPr>
                <w:lang w:val="en-GB"/>
              </w:rPr>
            </w:pPr>
            <w:r w:rsidRPr="00145E6D">
              <w:rPr>
                <w:lang w:val="en-GB"/>
              </w:rPr>
              <w:t>Year-on-year comparison was fundamentally affected by the last year’s slump of sales in Q2.</w:t>
            </w:r>
          </w:p>
        </w:tc>
        <w:tc>
          <w:tcPr>
            <w:tcW w:w="206" w:type="dxa"/>
            <w:shd w:val="clear" w:color="auto" w:fill="auto"/>
            <w:tcMar>
              <w:left w:w="0" w:type="dxa"/>
            </w:tcMar>
          </w:tcPr>
          <w:p w14:paraId="283FEE4D" w14:textId="77777777" w:rsidR="009732DF" w:rsidRPr="00B43216" w:rsidRDefault="009732DF" w:rsidP="001144FB">
            <w:pPr>
              <w:pStyle w:val="Textpoznpodarou"/>
              <w:jc w:val="both"/>
              <w:rPr>
                <w:spacing w:val="-4"/>
              </w:rPr>
            </w:pPr>
          </w:p>
        </w:tc>
        <w:tc>
          <w:tcPr>
            <w:tcW w:w="7730" w:type="dxa"/>
            <w:shd w:val="clear" w:color="auto" w:fill="auto"/>
            <w:tcMar>
              <w:left w:w="0" w:type="dxa"/>
            </w:tcMar>
          </w:tcPr>
          <w:p w14:paraId="37A5C8BB" w14:textId="77777777" w:rsidR="009732DF" w:rsidRPr="007F2C49" w:rsidRDefault="009732DF" w:rsidP="001144FB">
            <w:pPr>
              <w:spacing w:after="200"/>
              <w:rPr>
                <w:spacing w:val="-4"/>
                <w:szCs w:val="20"/>
                <w:lang w:val="en-GB"/>
              </w:rPr>
            </w:pPr>
            <w:r w:rsidRPr="007F2C49">
              <w:rPr>
                <w:color w:val="0D0D0D" w:themeColor="text1" w:themeTint="F2"/>
                <w:spacing w:val="-4"/>
                <w:szCs w:val="20"/>
                <w:lang w:val="en-GB"/>
              </w:rPr>
              <w:t xml:space="preserve">Even though the </w:t>
            </w:r>
            <w:r>
              <w:rPr>
                <w:color w:val="0D0D0D" w:themeColor="text1" w:themeTint="F2"/>
                <w:spacing w:val="-4"/>
                <w:szCs w:val="20"/>
                <w:lang w:val="en-GB"/>
              </w:rPr>
              <w:t>strong impact of counter pandemic measures into part of services prevailed for the whole Q</w:t>
            </w:r>
            <w:r w:rsidRPr="007F2C49">
              <w:rPr>
                <w:color w:val="0D0D0D" w:themeColor="text1" w:themeTint="F2"/>
                <w:spacing w:val="-4"/>
                <w:szCs w:val="20"/>
                <w:lang w:val="en-GB"/>
              </w:rPr>
              <w:t>1</w:t>
            </w:r>
            <w:r>
              <w:rPr>
                <w:color w:val="0D0D0D" w:themeColor="text1" w:themeTint="F2"/>
                <w:spacing w:val="-4"/>
                <w:szCs w:val="20"/>
                <w:lang w:val="en-GB"/>
              </w:rPr>
              <w:t xml:space="preserve"> </w:t>
            </w:r>
            <w:r w:rsidRPr="007F2C49">
              <w:rPr>
                <w:color w:val="0D0D0D" w:themeColor="text1" w:themeTint="F2"/>
                <w:spacing w:val="-4"/>
                <w:szCs w:val="20"/>
                <w:lang w:val="en-GB"/>
              </w:rPr>
              <w:t>2021, sales in selected services</w:t>
            </w:r>
            <w:r w:rsidRPr="007F2C49">
              <w:rPr>
                <w:color w:val="0D0D0D" w:themeColor="text1" w:themeTint="F2"/>
                <w:spacing w:val="-4"/>
                <w:vertAlign w:val="superscript"/>
                <w:lang w:val="en-GB"/>
              </w:rPr>
              <w:footnoteReference w:id="24"/>
            </w:r>
            <w:r w:rsidRPr="007F2C49">
              <w:rPr>
                <w:color w:val="0D0D0D" w:themeColor="text1" w:themeTint="F2"/>
                <w:spacing w:val="-4"/>
                <w:lang w:val="en-GB"/>
              </w:rPr>
              <w:t xml:space="preserve"> </w:t>
            </w:r>
            <w:r>
              <w:rPr>
                <w:color w:val="0D0D0D" w:themeColor="text1" w:themeTint="F2"/>
                <w:spacing w:val="-4"/>
                <w:lang w:val="en-GB"/>
              </w:rPr>
              <w:t xml:space="preserve">moderately increased </w:t>
            </w:r>
            <w:r w:rsidRPr="007F2C49">
              <w:rPr>
                <w:color w:val="0D0D0D" w:themeColor="text1" w:themeTint="F2"/>
                <w:spacing w:val="-4"/>
                <w:lang w:val="en-GB"/>
              </w:rPr>
              <w:t>(+1</w:t>
            </w:r>
            <w:r>
              <w:rPr>
                <w:color w:val="0D0D0D" w:themeColor="text1" w:themeTint="F2"/>
                <w:spacing w:val="-4"/>
                <w:lang w:val="en-GB"/>
              </w:rPr>
              <w:t>.</w:t>
            </w:r>
            <w:r w:rsidRPr="007F2C49">
              <w:rPr>
                <w:color w:val="0D0D0D" w:themeColor="text1" w:themeTint="F2"/>
                <w:spacing w:val="-4"/>
                <w:lang w:val="en-GB"/>
              </w:rPr>
              <w:t>9%)</w:t>
            </w:r>
            <w:r>
              <w:rPr>
                <w:color w:val="0D0D0D" w:themeColor="text1" w:themeTint="F2"/>
                <w:spacing w:val="-4"/>
                <w:lang w:val="en-GB"/>
              </w:rPr>
              <w:t xml:space="preserve"> in comparison to the level of Q4 2020</w:t>
            </w:r>
            <w:r w:rsidRPr="007F2C49">
              <w:rPr>
                <w:color w:val="0D0D0D" w:themeColor="text1" w:themeTint="F2"/>
                <w:spacing w:val="-4"/>
                <w:lang w:val="en-GB"/>
              </w:rPr>
              <w:t xml:space="preserve">. </w:t>
            </w:r>
            <w:r>
              <w:rPr>
                <w:color w:val="0D0D0D" w:themeColor="text1" w:themeTint="F2"/>
                <w:spacing w:val="-4"/>
                <w:lang w:val="en-GB"/>
              </w:rPr>
              <w:t>Gradual loosening of restrictions in Q</w:t>
            </w:r>
            <w:r w:rsidRPr="007F2C49">
              <w:rPr>
                <w:color w:val="0D0D0D" w:themeColor="text1" w:themeTint="F2"/>
                <w:spacing w:val="-4"/>
                <w:lang w:val="en-GB"/>
              </w:rPr>
              <w:t>2</w:t>
            </w:r>
            <w:r>
              <w:rPr>
                <w:color w:val="0D0D0D" w:themeColor="text1" w:themeTint="F2"/>
                <w:spacing w:val="-4"/>
                <w:lang w:val="en-GB"/>
              </w:rPr>
              <w:t xml:space="preserve"> was as anticipated associated with a considerable revival of wide spectrum of services. Sales in services strengthened by even </w:t>
            </w:r>
            <w:r w:rsidRPr="007F2C49">
              <w:rPr>
                <w:color w:val="0D0D0D" w:themeColor="text1" w:themeTint="F2"/>
                <w:spacing w:val="-4"/>
                <w:lang w:val="en-GB"/>
              </w:rPr>
              <w:t>4%</w:t>
            </w:r>
            <w:r>
              <w:rPr>
                <w:color w:val="0D0D0D" w:themeColor="text1" w:themeTint="F2"/>
                <w:spacing w:val="-4"/>
                <w:lang w:val="en-GB"/>
              </w:rPr>
              <w:t xml:space="preserve"> quarter-on-quarter</w:t>
            </w:r>
            <w:r w:rsidRPr="007F2C49">
              <w:rPr>
                <w:color w:val="0D0D0D" w:themeColor="text1" w:themeTint="F2"/>
                <w:spacing w:val="-4"/>
                <w:lang w:val="en-GB"/>
              </w:rPr>
              <w:t>,</w:t>
            </w:r>
            <w:r>
              <w:rPr>
                <w:color w:val="0D0D0D" w:themeColor="text1" w:themeTint="F2"/>
                <w:spacing w:val="-4"/>
                <w:lang w:val="en-GB"/>
              </w:rPr>
              <w:t xml:space="preserve"> </w:t>
            </w:r>
            <w:r w:rsidRPr="007F2C49">
              <w:rPr>
                <w:color w:val="0D0D0D" w:themeColor="text1" w:themeTint="F2"/>
                <w:spacing w:val="-4"/>
                <w:lang w:val="en-GB"/>
              </w:rPr>
              <w:t xml:space="preserve"> </w:t>
            </w:r>
            <w:r>
              <w:rPr>
                <w:color w:val="0D0D0D" w:themeColor="text1" w:themeTint="F2"/>
                <w:spacing w:val="-4"/>
                <w:lang w:val="en-GB"/>
              </w:rPr>
              <w:t xml:space="preserve">from more than one third thanks to </w:t>
            </w:r>
            <w:r w:rsidRPr="007F2C49">
              <w:rPr>
                <w:color w:val="0D0D0D" w:themeColor="text1" w:themeTint="F2"/>
                <w:spacing w:val="-4"/>
                <w:lang w:val="en-GB"/>
              </w:rPr>
              <w:t>„</w:t>
            </w:r>
            <w:r>
              <w:rPr>
                <w:color w:val="0D0D0D" w:themeColor="text1" w:themeTint="F2"/>
                <w:spacing w:val="-4"/>
                <w:lang w:val="en-GB"/>
              </w:rPr>
              <w:t>awakening</w:t>
            </w:r>
            <w:r w:rsidRPr="007F2C49">
              <w:rPr>
                <w:color w:val="0D0D0D" w:themeColor="text1" w:themeTint="F2"/>
                <w:spacing w:val="-4"/>
                <w:lang w:val="en-GB"/>
              </w:rPr>
              <w:t>“</w:t>
            </w:r>
            <w:r>
              <w:rPr>
                <w:color w:val="0D0D0D" w:themeColor="text1" w:themeTint="F2"/>
                <w:spacing w:val="-4"/>
                <w:lang w:val="en-GB"/>
              </w:rPr>
              <w:t xml:space="preserve"> of branch accommodation, food service and restaurants. Growth of sales was nevertheless apparent in all main industries. Sales in services grew year-on-year by </w:t>
            </w:r>
            <w:r w:rsidRPr="007F2C49">
              <w:rPr>
                <w:color w:val="0D0D0D" w:themeColor="text1" w:themeTint="F2"/>
                <w:spacing w:val="-4"/>
                <w:lang w:val="en-GB"/>
              </w:rPr>
              <w:t>3</w:t>
            </w:r>
            <w:r>
              <w:rPr>
                <w:color w:val="0D0D0D" w:themeColor="text1" w:themeTint="F2"/>
                <w:spacing w:val="-4"/>
                <w:lang w:val="en-GB"/>
              </w:rPr>
              <w:t>.</w:t>
            </w:r>
            <w:r w:rsidRPr="007F2C49">
              <w:rPr>
                <w:color w:val="0D0D0D" w:themeColor="text1" w:themeTint="F2"/>
                <w:spacing w:val="-4"/>
                <w:lang w:val="en-GB"/>
              </w:rPr>
              <w:t>0%</w:t>
            </w:r>
            <w:r>
              <w:rPr>
                <w:color w:val="0D0D0D" w:themeColor="text1" w:themeTint="F2"/>
                <w:spacing w:val="-4"/>
                <w:lang w:val="en-GB"/>
              </w:rPr>
              <w:t xml:space="preserve"> in H1 2021</w:t>
            </w:r>
            <w:r w:rsidRPr="007F2C49">
              <w:rPr>
                <w:color w:val="0D0D0D" w:themeColor="text1" w:themeTint="F2"/>
                <w:spacing w:val="-4"/>
                <w:lang w:val="en-GB"/>
              </w:rPr>
              <w:t xml:space="preserve">, </w:t>
            </w:r>
            <w:r>
              <w:rPr>
                <w:color w:val="0D0D0D" w:themeColor="text1" w:themeTint="F2"/>
                <w:spacing w:val="-4"/>
                <w:lang w:val="en-GB"/>
              </w:rPr>
              <w:t xml:space="preserve">by 14.2% then in Q2 itself mainly due to the very low comparative basis. Sales were approximately at the level of year </w:t>
            </w:r>
            <w:r w:rsidRPr="007F2C49">
              <w:rPr>
                <w:rFonts w:cs="Arial"/>
                <w:bCs/>
                <w:spacing w:val="-4"/>
                <w:szCs w:val="20"/>
                <w:lang w:val="en-GB"/>
              </w:rPr>
              <w:t>2016</w:t>
            </w:r>
            <w:r>
              <w:rPr>
                <w:rFonts w:cs="Arial"/>
                <w:bCs/>
                <w:spacing w:val="-4"/>
                <w:szCs w:val="20"/>
                <w:lang w:val="en-GB"/>
              </w:rPr>
              <w:t xml:space="preserve"> this year and still lagged notably behind the precrisis peak. Sales increased in all main industries year-on-year in Q</w:t>
            </w:r>
            <w:r w:rsidRPr="007F2C49">
              <w:rPr>
                <w:spacing w:val="-5"/>
                <w:lang w:val="en-GB"/>
              </w:rPr>
              <w:t>2</w:t>
            </w:r>
            <w:r>
              <w:rPr>
                <w:spacing w:val="-5"/>
                <w:lang w:val="en-GB"/>
              </w:rPr>
              <w:t xml:space="preserve">, the most in those, that were in effect paralyzed during the first pandemic wave last year – they increased by nearly one third in accommodation, food service and restaurants, by nearly one quarter in transportation and storage and by nearly one fifth in administrative and support service activities. </w:t>
            </w:r>
          </w:p>
        </w:tc>
      </w:tr>
      <w:tr w:rsidR="009732DF" w:rsidRPr="00191C35" w14:paraId="5C1F98FA" w14:textId="77777777" w:rsidTr="001144FB">
        <w:trPr>
          <w:trHeight w:val="145"/>
        </w:trPr>
        <w:tc>
          <w:tcPr>
            <w:tcW w:w="1728" w:type="dxa"/>
            <w:shd w:val="clear" w:color="auto" w:fill="auto"/>
            <w:tcMar>
              <w:left w:w="0" w:type="dxa"/>
            </w:tcMar>
          </w:tcPr>
          <w:p w14:paraId="5454D21D" w14:textId="77777777" w:rsidR="009732DF" w:rsidRPr="00D832B9" w:rsidRDefault="009732DF" w:rsidP="001144FB">
            <w:pPr>
              <w:pStyle w:val="Marginlie"/>
              <w:rPr>
                <w:lang w:val="en-GB"/>
              </w:rPr>
            </w:pPr>
            <w:r w:rsidRPr="00D832B9">
              <w:rPr>
                <w:lang w:val="en-GB"/>
              </w:rPr>
              <w:lastRenderedPageBreak/>
              <w:t>Sales in services fell by 8.3% compared to Q2 2019.</w:t>
            </w:r>
          </w:p>
          <w:p w14:paraId="550D8E82" w14:textId="77777777" w:rsidR="009732DF" w:rsidRDefault="009732DF" w:rsidP="001144FB">
            <w:pPr>
              <w:pStyle w:val="Marginlie"/>
            </w:pPr>
          </w:p>
          <w:p w14:paraId="0420E141" w14:textId="77777777" w:rsidR="009732DF" w:rsidRDefault="009732DF" w:rsidP="001144FB">
            <w:pPr>
              <w:pStyle w:val="Marginlie"/>
            </w:pPr>
          </w:p>
          <w:p w14:paraId="7C6E2DC9" w14:textId="77777777" w:rsidR="009732DF" w:rsidRPr="00E37FB6" w:rsidRDefault="009732DF" w:rsidP="001144FB">
            <w:pPr>
              <w:pStyle w:val="Marginlie"/>
              <w:rPr>
                <w:lang w:val="en-GB"/>
              </w:rPr>
            </w:pPr>
            <w:r w:rsidRPr="00E37FB6">
              <w:rPr>
                <w:lang w:val="en-GB"/>
              </w:rPr>
              <w:t>Pandem</w:t>
            </w:r>
            <w:r>
              <w:rPr>
                <w:lang w:val="en-GB"/>
              </w:rPr>
              <w:t xml:space="preserve">ic period strengthened the role of information and communication. Postal and courier services capitalised on  development of sails via internet. </w:t>
            </w:r>
          </w:p>
        </w:tc>
        <w:tc>
          <w:tcPr>
            <w:tcW w:w="206" w:type="dxa"/>
            <w:shd w:val="clear" w:color="auto" w:fill="auto"/>
            <w:tcMar>
              <w:left w:w="0" w:type="dxa"/>
            </w:tcMar>
          </w:tcPr>
          <w:p w14:paraId="29DF7A8C" w14:textId="77777777" w:rsidR="009732DF" w:rsidRPr="00B43216" w:rsidRDefault="009732DF" w:rsidP="001144FB">
            <w:pPr>
              <w:pStyle w:val="Textpoznpodarou"/>
              <w:jc w:val="both"/>
              <w:rPr>
                <w:spacing w:val="-4"/>
              </w:rPr>
            </w:pPr>
          </w:p>
        </w:tc>
        <w:tc>
          <w:tcPr>
            <w:tcW w:w="7730" w:type="dxa"/>
            <w:shd w:val="clear" w:color="auto" w:fill="auto"/>
            <w:tcMar>
              <w:left w:w="0" w:type="dxa"/>
            </w:tcMar>
          </w:tcPr>
          <w:p w14:paraId="7D6D1084" w14:textId="77777777" w:rsidR="009732DF" w:rsidRPr="00E37FB6" w:rsidRDefault="009732DF" w:rsidP="001144FB">
            <w:pPr>
              <w:spacing w:after="200"/>
              <w:rPr>
                <w:color w:val="0D0D0D" w:themeColor="text1" w:themeTint="F2"/>
                <w:spacing w:val="-4"/>
                <w:lang w:val="en-GB"/>
              </w:rPr>
            </w:pPr>
            <w:r>
              <w:rPr>
                <w:color w:val="0D0D0D" w:themeColor="text1" w:themeTint="F2"/>
                <w:spacing w:val="-4"/>
                <w:lang w:val="en-GB"/>
              </w:rPr>
              <w:t>Two-year comparison has a larger explanatory power, among other things  also because the total output of services was on its boom maximum in Q</w:t>
            </w:r>
            <w:r w:rsidRPr="00E37FB6">
              <w:rPr>
                <w:color w:val="0D0D0D" w:themeColor="text1" w:themeTint="F2"/>
                <w:spacing w:val="-4"/>
                <w:lang w:val="en-GB"/>
              </w:rPr>
              <w:t>2</w:t>
            </w:r>
            <w:r>
              <w:rPr>
                <w:color w:val="0D0D0D" w:themeColor="text1" w:themeTint="F2"/>
                <w:spacing w:val="-4"/>
                <w:lang w:val="en-GB"/>
              </w:rPr>
              <w:t xml:space="preserve"> </w:t>
            </w:r>
            <w:r w:rsidRPr="00E37FB6">
              <w:rPr>
                <w:color w:val="0D0D0D" w:themeColor="text1" w:themeTint="F2"/>
                <w:spacing w:val="-4"/>
                <w:lang w:val="en-GB"/>
              </w:rPr>
              <w:t>2019</w:t>
            </w:r>
            <w:r>
              <w:rPr>
                <w:color w:val="0D0D0D" w:themeColor="text1" w:themeTint="F2"/>
                <w:spacing w:val="-4"/>
                <w:lang w:val="en-GB"/>
              </w:rPr>
              <w:t>. S</w:t>
            </w:r>
            <w:r w:rsidRPr="00E37FB6">
              <w:rPr>
                <w:color w:val="0D0D0D" w:themeColor="text1" w:themeTint="F2"/>
                <w:spacing w:val="-4"/>
                <w:lang w:val="en-GB"/>
              </w:rPr>
              <w:t xml:space="preserve">ales in services dropped by 8.3% in this period. Information and communication were the only main branch, which grew in this time period (+6.1%). </w:t>
            </w:r>
            <w:r>
              <w:rPr>
                <w:color w:val="0D0D0D" w:themeColor="text1" w:themeTint="F2"/>
                <w:spacing w:val="-4"/>
                <w:lang w:val="en-GB"/>
              </w:rPr>
              <w:t xml:space="preserve">It was supported the most by the brisk growth in the weight significant telecommunication segment </w:t>
            </w:r>
            <w:r w:rsidRPr="00E37FB6">
              <w:rPr>
                <w:color w:val="0D0D0D" w:themeColor="text1" w:themeTint="F2"/>
                <w:spacing w:val="-4"/>
                <w:lang w:val="en-GB"/>
              </w:rPr>
              <w:t>(9</w:t>
            </w:r>
            <w:r>
              <w:rPr>
                <w:color w:val="0D0D0D" w:themeColor="text1" w:themeTint="F2"/>
                <w:spacing w:val="-4"/>
                <w:lang w:val="en-GB"/>
              </w:rPr>
              <w:t>.</w:t>
            </w:r>
            <w:r w:rsidRPr="00E37FB6">
              <w:rPr>
                <w:color w:val="0D0D0D" w:themeColor="text1" w:themeTint="F2"/>
                <w:spacing w:val="-4"/>
                <w:lang w:val="en-GB"/>
              </w:rPr>
              <w:t>1%),</w:t>
            </w:r>
            <w:r>
              <w:rPr>
                <w:color w:val="0D0D0D" w:themeColor="text1" w:themeTint="F2"/>
                <w:spacing w:val="-4"/>
                <w:lang w:val="en-GB"/>
              </w:rPr>
              <w:t xml:space="preserve"> nevertheless the demand for data processing, web portals and hosting was also gaining strength, similarly to the IT area </w:t>
            </w:r>
            <w:r w:rsidRPr="00E37FB6">
              <w:rPr>
                <w:rFonts w:cs="Arial"/>
                <w:bCs/>
                <w:color w:val="0D0D0D"/>
                <w:spacing w:val="-4"/>
                <w:lang w:val="en-GB"/>
              </w:rPr>
              <w:t>(</w:t>
            </w:r>
            <w:r>
              <w:rPr>
                <w:rFonts w:cs="Arial"/>
                <w:bCs/>
                <w:color w:val="0D0D0D"/>
                <w:spacing w:val="-4"/>
                <w:lang w:val="en-GB"/>
              </w:rPr>
              <w:t>data processing, consultancy activities, computer facilities management services</w:t>
            </w:r>
            <w:r w:rsidRPr="00E37FB6">
              <w:rPr>
                <w:rFonts w:cs="Arial"/>
                <w:bCs/>
                <w:color w:val="0D0D0D"/>
                <w:spacing w:val="-4"/>
                <w:lang w:val="en-GB"/>
              </w:rPr>
              <w:t xml:space="preserve">). </w:t>
            </w:r>
            <w:r>
              <w:rPr>
                <w:rFonts w:cs="Arial"/>
                <w:bCs/>
                <w:color w:val="0D0D0D"/>
                <w:spacing w:val="-4"/>
                <w:lang w:val="en-GB"/>
              </w:rPr>
              <w:t xml:space="preserve">Growth in the publishing activities </w:t>
            </w:r>
            <w:r w:rsidRPr="00E37FB6">
              <w:rPr>
                <w:rFonts w:cs="Arial"/>
                <w:bCs/>
                <w:color w:val="0D0D0D"/>
                <w:spacing w:val="-4"/>
                <w:lang w:val="en-GB"/>
              </w:rPr>
              <w:t>(3</w:t>
            </w:r>
            <w:r>
              <w:rPr>
                <w:rFonts w:cs="Arial"/>
                <w:bCs/>
                <w:color w:val="0D0D0D"/>
                <w:spacing w:val="-4"/>
                <w:lang w:val="en-GB"/>
              </w:rPr>
              <w:t>.</w:t>
            </w:r>
            <w:r w:rsidRPr="00E37FB6">
              <w:rPr>
                <w:rFonts w:cs="Arial"/>
                <w:bCs/>
                <w:color w:val="0D0D0D"/>
                <w:spacing w:val="-4"/>
                <w:lang w:val="en-GB"/>
              </w:rPr>
              <w:t>4%)</w:t>
            </w:r>
            <w:r>
              <w:rPr>
                <w:rFonts w:cs="Arial"/>
                <w:bCs/>
                <w:color w:val="0D0D0D"/>
                <w:spacing w:val="-4"/>
                <w:lang w:val="en-GB"/>
              </w:rPr>
              <w:t xml:space="preserve"> is also connected to the IT area</w:t>
            </w:r>
            <w:r w:rsidRPr="00E37FB6">
              <w:rPr>
                <w:rFonts w:cs="Arial"/>
                <w:bCs/>
                <w:color w:val="0D0D0D"/>
                <w:spacing w:val="-4"/>
                <w:lang w:val="en-GB"/>
              </w:rPr>
              <w:t>,</w:t>
            </w:r>
            <w:r>
              <w:rPr>
                <w:rFonts w:cs="Arial"/>
                <w:bCs/>
                <w:color w:val="0D0D0D"/>
                <w:spacing w:val="-4"/>
                <w:lang w:val="en-GB"/>
              </w:rPr>
              <w:t xml:space="preserve"> significantly supported by software publishing activities. Postal and courier activities profited from the reduced purchasing opportunities of population during the individual pandemic waves</w:t>
            </w:r>
            <w:r w:rsidRPr="00E37FB6">
              <w:rPr>
                <w:rFonts w:cs="Arial"/>
                <w:bCs/>
                <w:color w:val="0D0D0D"/>
                <w:spacing w:val="-4"/>
                <w:lang w:val="en-GB"/>
              </w:rPr>
              <w:t xml:space="preserve">, </w:t>
            </w:r>
            <w:r>
              <w:rPr>
                <w:rFonts w:cs="Arial"/>
                <w:bCs/>
                <w:color w:val="0D0D0D"/>
                <w:spacing w:val="-4"/>
                <w:lang w:val="en-GB"/>
              </w:rPr>
              <w:t xml:space="preserve">where the sales grew the most out of all services subbranches </w:t>
            </w:r>
            <w:r w:rsidRPr="00E37FB6">
              <w:rPr>
                <w:rFonts w:cs="Arial"/>
                <w:bCs/>
                <w:color w:val="0D0D0D"/>
                <w:spacing w:val="-4"/>
                <w:lang w:val="en-GB"/>
              </w:rPr>
              <w:t>(30</w:t>
            </w:r>
            <w:r>
              <w:rPr>
                <w:rFonts w:cs="Arial"/>
                <w:bCs/>
                <w:color w:val="0D0D0D"/>
                <w:spacing w:val="-4"/>
                <w:lang w:val="en-GB"/>
              </w:rPr>
              <w:t>.</w:t>
            </w:r>
            <w:r w:rsidRPr="00E37FB6">
              <w:rPr>
                <w:rFonts w:cs="Arial"/>
                <w:bCs/>
                <w:color w:val="0D0D0D"/>
                <w:spacing w:val="-4"/>
                <w:lang w:val="en-GB"/>
              </w:rPr>
              <w:t>9%)</w:t>
            </w:r>
            <w:r>
              <w:rPr>
                <w:rFonts w:cs="Arial"/>
                <w:bCs/>
                <w:color w:val="0D0D0D"/>
                <w:spacing w:val="-4"/>
                <w:lang w:val="en-GB"/>
              </w:rPr>
              <w:t xml:space="preserve"> for the two years</w:t>
            </w:r>
            <w:r w:rsidRPr="00E37FB6">
              <w:rPr>
                <w:rFonts w:cs="Arial"/>
                <w:bCs/>
                <w:color w:val="0D0D0D"/>
                <w:spacing w:val="-4"/>
                <w:lang w:val="en-GB"/>
              </w:rPr>
              <w:t xml:space="preserve">. </w:t>
            </w:r>
            <w:r>
              <w:rPr>
                <w:rFonts w:cs="Arial"/>
                <w:bCs/>
                <w:color w:val="0D0D0D"/>
                <w:spacing w:val="-4"/>
                <w:lang w:val="en-GB"/>
              </w:rPr>
              <w:t xml:space="preserve">Storage activities also fared well </w:t>
            </w:r>
            <w:r w:rsidRPr="00E37FB6">
              <w:rPr>
                <w:rFonts w:cs="Arial"/>
                <w:bCs/>
                <w:color w:val="0D0D0D"/>
                <w:spacing w:val="-4"/>
                <w:lang w:val="en-GB"/>
              </w:rPr>
              <w:t>(+4</w:t>
            </w:r>
            <w:r>
              <w:rPr>
                <w:rFonts w:cs="Arial"/>
                <w:bCs/>
                <w:color w:val="0D0D0D"/>
                <w:spacing w:val="-4"/>
                <w:lang w:val="en-GB"/>
              </w:rPr>
              <w:t>.</w:t>
            </w:r>
            <w:r w:rsidRPr="00E37FB6">
              <w:rPr>
                <w:rFonts w:cs="Arial"/>
                <w:bCs/>
                <w:color w:val="0D0D0D"/>
                <w:spacing w:val="-4"/>
                <w:lang w:val="en-GB"/>
              </w:rPr>
              <w:t xml:space="preserve">4%), </w:t>
            </w:r>
            <w:r>
              <w:rPr>
                <w:rFonts w:cs="Arial"/>
                <w:bCs/>
                <w:color w:val="0D0D0D"/>
                <w:spacing w:val="-4"/>
                <w:lang w:val="en-GB"/>
              </w:rPr>
              <w:t xml:space="preserve">assisted also by the fast recovery of industry in the second half of the last year. Demand for legal and accounting activities expanded within the services for business. </w:t>
            </w:r>
          </w:p>
        </w:tc>
      </w:tr>
      <w:tr w:rsidR="009732DF" w:rsidRPr="00191C35" w14:paraId="34D980D2" w14:textId="77777777" w:rsidTr="001144FB">
        <w:trPr>
          <w:trHeight w:val="145"/>
        </w:trPr>
        <w:tc>
          <w:tcPr>
            <w:tcW w:w="1728" w:type="dxa"/>
            <w:shd w:val="clear" w:color="auto" w:fill="auto"/>
            <w:tcMar>
              <w:left w:w="0" w:type="dxa"/>
            </w:tcMar>
          </w:tcPr>
          <w:p w14:paraId="433CA6EE" w14:textId="77777777" w:rsidR="009732DF" w:rsidRDefault="009732DF" w:rsidP="001144FB">
            <w:pPr>
              <w:pStyle w:val="Marginlie"/>
            </w:pPr>
          </w:p>
        </w:tc>
        <w:tc>
          <w:tcPr>
            <w:tcW w:w="206" w:type="dxa"/>
            <w:shd w:val="clear" w:color="auto" w:fill="auto"/>
            <w:tcMar>
              <w:left w:w="0" w:type="dxa"/>
            </w:tcMar>
          </w:tcPr>
          <w:p w14:paraId="08DCD8D3" w14:textId="77777777" w:rsidR="009732DF" w:rsidRPr="00B43216" w:rsidRDefault="009732DF" w:rsidP="001144FB">
            <w:pPr>
              <w:pStyle w:val="Textpoznpodarou"/>
              <w:jc w:val="both"/>
              <w:rPr>
                <w:spacing w:val="-4"/>
              </w:rPr>
            </w:pPr>
          </w:p>
        </w:tc>
        <w:tc>
          <w:tcPr>
            <w:tcW w:w="7730" w:type="dxa"/>
            <w:shd w:val="clear" w:color="auto" w:fill="auto"/>
            <w:tcMar>
              <w:left w:w="0" w:type="dxa"/>
            </w:tcMar>
          </w:tcPr>
          <w:p w14:paraId="1B76BA65" w14:textId="77777777" w:rsidR="009732DF" w:rsidRPr="00307BAB" w:rsidRDefault="009732DF" w:rsidP="001144FB">
            <w:pPr>
              <w:spacing w:after="0"/>
              <w:rPr>
                <w:spacing w:val="2"/>
                <w:szCs w:val="20"/>
              </w:rPr>
            </w:pPr>
            <w:r>
              <w:rPr>
                <w:b/>
                <w:spacing w:val="2"/>
              </w:rPr>
              <w:t xml:space="preserve">Chart </w:t>
            </w:r>
            <w:r w:rsidRPr="00307BAB">
              <w:rPr>
                <w:b/>
                <w:spacing w:val="2"/>
              </w:rPr>
              <w:t>7</w:t>
            </w:r>
            <w:r>
              <w:rPr>
                <w:b/>
                <w:spacing w:val="2"/>
              </w:rPr>
              <w:t xml:space="preserve"> </w:t>
            </w:r>
            <w:r w:rsidRPr="00307BAB">
              <w:rPr>
                <w:b/>
                <w:spacing w:val="2"/>
              </w:rPr>
              <w:t xml:space="preserve"> </w:t>
            </w:r>
            <w:r w:rsidRPr="00FC1CE9">
              <w:rPr>
                <w:b/>
                <w:lang w:val="en-GB"/>
              </w:rPr>
              <w:t>Contributions of branches to year-on-ye</w:t>
            </w:r>
            <w:r>
              <w:rPr>
                <w:b/>
                <w:lang w:val="en-GB"/>
              </w:rPr>
              <w:t>a</w:t>
            </w:r>
            <w:r w:rsidRPr="00FC1CE9">
              <w:rPr>
                <w:b/>
                <w:lang w:val="en-GB"/>
              </w:rPr>
              <w:t xml:space="preserve">r change of sales in services* </w:t>
            </w:r>
            <w:r w:rsidRPr="00FC1CE9">
              <w:rPr>
                <w:lang w:val="en-GB"/>
              </w:rPr>
              <w:t xml:space="preserve">(in p.p., adjusted for calendar effects), </w:t>
            </w:r>
            <w:r w:rsidRPr="00FC1CE9">
              <w:rPr>
                <w:b/>
                <w:lang w:val="en-GB"/>
              </w:rPr>
              <w:t xml:space="preserve">balance of confidence indicator in services** </w:t>
            </w:r>
            <w:r w:rsidRPr="00FC1CE9">
              <w:rPr>
                <w:lang w:val="en-GB"/>
              </w:rPr>
              <w:t>(in p.p., right axis)</w:t>
            </w:r>
            <w:r w:rsidRPr="00FC1CE9">
              <w:rPr>
                <w:b/>
                <w:lang w:val="en-GB"/>
              </w:rPr>
              <w:t xml:space="preserve"> and selected growth barriers*</w:t>
            </w:r>
            <w:r w:rsidRPr="00FC1CE9">
              <w:rPr>
                <w:lang w:val="en-GB"/>
              </w:rPr>
              <w:t xml:space="preserve">* </w:t>
            </w:r>
            <w:r w:rsidRPr="00307BAB">
              <w:rPr>
                <w:spacing w:val="2"/>
              </w:rPr>
              <w:t>(</w:t>
            </w:r>
            <w:r w:rsidRPr="000229E0">
              <w:rPr>
                <w:spacing w:val="2"/>
                <w:lang w:val="en-GB"/>
              </w:rPr>
              <w:t>in %, right axis)</w:t>
            </w:r>
          </w:p>
        </w:tc>
      </w:tr>
      <w:tr w:rsidR="009732DF" w:rsidRPr="00191C35" w14:paraId="66506F33" w14:textId="77777777" w:rsidTr="001144FB">
        <w:tblPrEx>
          <w:tblCellMar>
            <w:left w:w="70" w:type="dxa"/>
            <w:right w:w="70" w:type="dxa"/>
          </w:tblCellMar>
        </w:tblPrEx>
        <w:trPr>
          <w:trHeight w:val="145"/>
        </w:trPr>
        <w:tc>
          <w:tcPr>
            <w:tcW w:w="1728" w:type="dxa"/>
            <w:shd w:val="clear" w:color="auto" w:fill="auto"/>
          </w:tcPr>
          <w:p w14:paraId="172FC0BF" w14:textId="77777777" w:rsidR="009732DF" w:rsidRDefault="009732DF" w:rsidP="001144FB">
            <w:pPr>
              <w:pStyle w:val="Marginlie"/>
            </w:pPr>
          </w:p>
        </w:tc>
        <w:tc>
          <w:tcPr>
            <w:tcW w:w="206" w:type="dxa"/>
            <w:shd w:val="clear" w:color="auto" w:fill="auto"/>
          </w:tcPr>
          <w:p w14:paraId="1E022BAB" w14:textId="77777777" w:rsidR="009732DF" w:rsidRPr="00B43216" w:rsidRDefault="009732DF" w:rsidP="001144FB">
            <w:pPr>
              <w:pStyle w:val="Textpoznpodarou"/>
              <w:jc w:val="both"/>
              <w:rPr>
                <w:spacing w:val="-4"/>
              </w:rPr>
            </w:pPr>
          </w:p>
        </w:tc>
        <w:tc>
          <w:tcPr>
            <w:tcW w:w="7730" w:type="dxa"/>
            <w:shd w:val="clear" w:color="auto" w:fill="auto"/>
          </w:tcPr>
          <w:p w14:paraId="5451EF26" w14:textId="77777777" w:rsidR="009732DF" w:rsidRPr="004D53D9" w:rsidRDefault="009732DF" w:rsidP="001144FB">
            <w:pPr>
              <w:spacing w:after="0"/>
              <w:rPr>
                <w:spacing w:val="-4"/>
                <w:szCs w:val="20"/>
              </w:rPr>
            </w:pPr>
            <w:r>
              <w:rPr>
                <w:noProof/>
              </w:rPr>
              <w:drawing>
                <wp:inline distT="0" distB="0" distL="0" distR="0" wp14:anchorId="3C81BD83" wp14:editId="58502687">
                  <wp:extent cx="4777153" cy="3590193"/>
                  <wp:effectExtent l="0" t="0" r="4445" b="0"/>
                  <wp:docPr id="8" name="Graf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c>
      </w:tr>
      <w:tr w:rsidR="009732DF" w:rsidRPr="00191C35" w14:paraId="5F35387E" w14:textId="77777777" w:rsidTr="001144FB">
        <w:trPr>
          <w:trHeight w:val="145"/>
        </w:trPr>
        <w:tc>
          <w:tcPr>
            <w:tcW w:w="1728" w:type="dxa"/>
            <w:shd w:val="clear" w:color="auto" w:fill="auto"/>
            <w:tcMar>
              <w:left w:w="0" w:type="dxa"/>
            </w:tcMar>
          </w:tcPr>
          <w:p w14:paraId="36C6F508" w14:textId="77777777" w:rsidR="009732DF" w:rsidRDefault="009732DF" w:rsidP="001144FB">
            <w:pPr>
              <w:pStyle w:val="Marginlie"/>
            </w:pPr>
          </w:p>
        </w:tc>
        <w:tc>
          <w:tcPr>
            <w:tcW w:w="206" w:type="dxa"/>
            <w:shd w:val="clear" w:color="auto" w:fill="auto"/>
            <w:tcMar>
              <w:left w:w="0" w:type="dxa"/>
            </w:tcMar>
          </w:tcPr>
          <w:p w14:paraId="09B31744" w14:textId="77777777" w:rsidR="009732DF" w:rsidRPr="00B43216" w:rsidRDefault="009732DF" w:rsidP="001144FB">
            <w:pPr>
              <w:pStyle w:val="Textpoznpodarou"/>
              <w:jc w:val="both"/>
              <w:rPr>
                <w:spacing w:val="-4"/>
              </w:rPr>
            </w:pPr>
          </w:p>
        </w:tc>
        <w:tc>
          <w:tcPr>
            <w:tcW w:w="7730" w:type="dxa"/>
            <w:shd w:val="clear" w:color="auto" w:fill="auto"/>
            <w:tcMar>
              <w:left w:w="0" w:type="dxa"/>
            </w:tcMar>
          </w:tcPr>
          <w:p w14:paraId="369039A3" w14:textId="77777777" w:rsidR="009732DF" w:rsidRPr="00883202" w:rsidRDefault="009732DF" w:rsidP="001144FB">
            <w:pPr>
              <w:spacing w:after="0"/>
              <w:rPr>
                <w:rFonts w:cs="Arial"/>
                <w:sz w:val="14"/>
                <w:szCs w:val="14"/>
              </w:rPr>
            </w:pPr>
            <w:r w:rsidRPr="00883202">
              <w:rPr>
                <w:rFonts w:cs="Arial"/>
                <w:sz w:val="14"/>
                <w:szCs w:val="14"/>
              </w:rPr>
              <w:t>*</w:t>
            </w:r>
            <w:r w:rsidRPr="007A51D9">
              <w:rPr>
                <w:color w:val="0D0D0D" w:themeColor="text1" w:themeTint="F2"/>
                <w:sz w:val="14"/>
                <w:szCs w:val="14"/>
                <w:lang w:val="en-GB"/>
              </w:rPr>
              <w:t xml:space="preserve"> Without branches trade, financial activities, insurance activities, science, research and public services.</w:t>
            </w:r>
          </w:p>
          <w:p w14:paraId="55FFE2F4" w14:textId="77777777" w:rsidR="009732DF" w:rsidRDefault="009732DF" w:rsidP="001144FB">
            <w:pPr>
              <w:tabs>
                <w:tab w:val="right" w:pos="7711"/>
              </w:tabs>
              <w:spacing w:after="0"/>
              <w:rPr>
                <w:rFonts w:cs="Arial"/>
                <w:sz w:val="14"/>
                <w:szCs w:val="14"/>
              </w:rPr>
            </w:pPr>
            <w:r w:rsidRPr="00883202">
              <w:rPr>
                <w:rFonts w:cs="Arial"/>
                <w:sz w:val="14"/>
                <w:szCs w:val="14"/>
              </w:rPr>
              <w:t>**</w:t>
            </w:r>
            <w:r w:rsidRPr="007A51D9">
              <w:rPr>
                <w:rFonts w:cs="Arial"/>
                <w:sz w:val="14"/>
                <w:szCs w:val="14"/>
                <w:lang w:val="en-GB"/>
              </w:rPr>
              <w:t xml:space="preserve">Also includes the financial sector. Balance of confidence as well as the barriers to growth are seasonally adjusted and express the </w:t>
            </w:r>
            <w:r>
              <w:rPr>
                <w:rFonts w:cs="Arial"/>
                <w:sz w:val="14"/>
                <w:szCs w:val="14"/>
                <w:lang w:val="en-GB"/>
              </w:rPr>
              <w:t xml:space="preserve">level </w:t>
            </w:r>
            <w:r w:rsidRPr="007A51D9">
              <w:rPr>
                <w:rFonts w:cs="Arial"/>
                <w:sz w:val="14"/>
                <w:szCs w:val="14"/>
                <w:lang w:val="en-GB"/>
              </w:rPr>
              <w:t xml:space="preserve">in the first (growth barriers) </w:t>
            </w:r>
            <w:r>
              <w:rPr>
                <w:rFonts w:cs="Arial"/>
                <w:sz w:val="14"/>
                <w:szCs w:val="14"/>
                <w:lang w:val="en-GB"/>
              </w:rPr>
              <w:t>or</w:t>
            </w:r>
            <w:r w:rsidRPr="007A51D9">
              <w:rPr>
                <w:rFonts w:cs="Arial"/>
                <w:sz w:val="14"/>
                <w:szCs w:val="14"/>
                <w:lang w:val="en-GB"/>
              </w:rPr>
              <w:t xml:space="preserve"> second month of the given quarter </w:t>
            </w:r>
            <w:r w:rsidRPr="007A51D9">
              <w:rPr>
                <w:rFonts w:cs="Arial"/>
                <w:spacing w:val="-2"/>
                <w:sz w:val="14"/>
                <w:szCs w:val="14"/>
                <w:lang w:val="en-GB"/>
              </w:rPr>
              <w:t>(balance of confidence). Businesses could have stated more main barriers simultaneously</w:t>
            </w:r>
          </w:p>
          <w:p w14:paraId="54B28215" w14:textId="77777777" w:rsidR="009732DF" w:rsidRPr="00F57052" w:rsidRDefault="009732DF" w:rsidP="001144FB">
            <w:pPr>
              <w:tabs>
                <w:tab w:val="right" w:pos="7711"/>
              </w:tabs>
              <w:spacing w:after="200"/>
              <w:rPr>
                <w:rFonts w:cs="Arial"/>
                <w:sz w:val="14"/>
                <w:szCs w:val="14"/>
              </w:rPr>
            </w:pPr>
            <w:r>
              <w:rPr>
                <w:rFonts w:cs="Arial"/>
                <w:sz w:val="14"/>
                <w:szCs w:val="14"/>
              </w:rPr>
              <w:t>Source</w:t>
            </w:r>
            <w:r w:rsidRPr="00883202">
              <w:rPr>
                <w:rFonts w:cs="Arial"/>
                <w:sz w:val="14"/>
                <w:szCs w:val="14"/>
              </w:rPr>
              <w:t xml:space="preserve">: </w:t>
            </w:r>
            <w:r>
              <w:rPr>
                <w:rFonts w:cs="Arial"/>
                <w:sz w:val="14"/>
                <w:szCs w:val="14"/>
              </w:rPr>
              <w:t>CZSO, Eurostat</w:t>
            </w:r>
          </w:p>
        </w:tc>
      </w:tr>
      <w:tr w:rsidR="009732DF" w:rsidRPr="008932CD" w14:paraId="5976A281" w14:textId="77777777" w:rsidTr="001144FB">
        <w:trPr>
          <w:trHeight w:val="145"/>
        </w:trPr>
        <w:tc>
          <w:tcPr>
            <w:tcW w:w="1728" w:type="dxa"/>
            <w:shd w:val="clear" w:color="auto" w:fill="auto"/>
            <w:tcMar>
              <w:left w:w="0" w:type="dxa"/>
            </w:tcMar>
          </w:tcPr>
          <w:p w14:paraId="17C523F3" w14:textId="77777777" w:rsidR="009732DF" w:rsidRPr="002A7342" w:rsidRDefault="009732DF" w:rsidP="001144FB">
            <w:pPr>
              <w:pStyle w:val="Marginlie"/>
              <w:rPr>
                <w:lang w:val="en-GB"/>
              </w:rPr>
            </w:pPr>
            <w:r>
              <w:rPr>
                <w:lang w:val="en-GB"/>
              </w:rPr>
              <w:t xml:space="preserve">Sales slumped the most in the subbranches tied to tourism for the two years. </w:t>
            </w:r>
          </w:p>
          <w:p w14:paraId="0100E385" w14:textId="77777777" w:rsidR="009732DF" w:rsidRPr="002A7342" w:rsidRDefault="009732DF" w:rsidP="001144FB">
            <w:pPr>
              <w:pStyle w:val="Marginlie"/>
              <w:rPr>
                <w:lang w:val="en-GB"/>
              </w:rPr>
            </w:pPr>
          </w:p>
          <w:p w14:paraId="1A250850" w14:textId="77777777" w:rsidR="009732DF" w:rsidRPr="002A7342" w:rsidRDefault="009732DF" w:rsidP="001144FB">
            <w:pPr>
              <w:pStyle w:val="Marginlie"/>
              <w:rPr>
                <w:lang w:val="en-GB"/>
              </w:rPr>
            </w:pPr>
          </w:p>
          <w:p w14:paraId="19BC91E0" w14:textId="77777777" w:rsidR="009732DF" w:rsidRDefault="009732DF" w:rsidP="001144FB">
            <w:pPr>
              <w:pStyle w:val="Marginlie"/>
              <w:rPr>
                <w:lang w:val="en-GB"/>
              </w:rPr>
            </w:pPr>
            <w:r>
              <w:rPr>
                <w:lang w:val="en-GB"/>
              </w:rPr>
              <w:t xml:space="preserve">Impact of restrictions at some leisure time activities or cyclical </w:t>
            </w:r>
            <w:r>
              <w:rPr>
                <w:lang w:val="en-GB"/>
              </w:rPr>
              <w:lastRenderedPageBreak/>
              <w:t>decrease of demand at other specialised office support activities also manifested</w:t>
            </w:r>
            <w:r w:rsidRPr="002A7342">
              <w:rPr>
                <w:lang w:val="en-GB"/>
              </w:rPr>
              <w:t>.</w:t>
            </w:r>
          </w:p>
        </w:tc>
        <w:tc>
          <w:tcPr>
            <w:tcW w:w="206" w:type="dxa"/>
            <w:shd w:val="clear" w:color="auto" w:fill="auto"/>
            <w:tcMar>
              <w:left w:w="0" w:type="dxa"/>
            </w:tcMar>
          </w:tcPr>
          <w:p w14:paraId="7234EED0" w14:textId="77777777" w:rsidR="009732DF" w:rsidRPr="002B595E" w:rsidRDefault="009732DF" w:rsidP="001144FB">
            <w:pPr>
              <w:pStyle w:val="Textpoznpodarou"/>
              <w:jc w:val="both"/>
              <w:rPr>
                <w:color w:val="0D0D0D" w:themeColor="text1" w:themeTint="F2"/>
                <w:spacing w:val="-4"/>
                <w:lang w:val="en-GB"/>
              </w:rPr>
            </w:pPr>
          </w:p>
        </w:tc>
        <w:tc>
          <w:tcPr>
            <w:tcW w:w="7730" w:type="dxa"/>
            <w:shd w:val="clear" w:color="auto" w:fill="auto"/>
            <w:tcMar>
              <w:left w:w="0" w:type="dxa"/>
            </w:tcMar>
          </w:tcPr>
          <w:p w14:paraId="73BA9F1A" w14:textId="77777777" w:rsidR="009732DF" w:rsidRDefault="009732DF" w:rsidP="001144FB">
            <w:pPr>
              <w:spacing w:after="200"/>
              <w:rPr>
                <w:color w:val="0D0D0D" w:themeColor="text1" w:themeTint="F2"/>
                <w:spacing w:val="-4"/>
                <w:lang w:val="en-GB"/>
              </w:rPr>
            </w:pPr>
            <w:r>
              <w:rPr>
                <w:color w:val="0D0D0D" w:themeColor="text1" w:themeTint="F2"/>
                <w:spacing w:val="-4"/>
                <w:lang w:val="en-GB"/>
              </w:rPr>
              <w:t>It is evident, that the situation in the subbranches of services with a strong link to tourism remained very serious even despite the current revival. In travel agencies, air transport as well as accommodation</w:t>
            </w:r>
            <w:r w:rsidRPr="002A7342">
              <w:rPr>
                <w:rStyle w:val="Znakapoznpodarou"/>
                <w:color w:val="0D0D0D" w:themeColor="text1" w:themeTint="F2"/>
                <w:spacing w:val="-4"/>
                <w:lang w:val="en-GB"/>
              </w:rPr>
              <w:footnoteReference w:id="25"/>
            </w:r>
            <w:r>
              <w:rPr>
                <w:color w:val="0D0D0D" w:themeColor="text1" w:themeTint="F2"/>
                <w:spacing w:val="-4"/>
                <w:lang w:val="en-GB"/>
              </w:rPr>
              <w:t xml:space="preserve"> sales slumped similarly by roughly 70%, in food service and restaurants by </w:t>
            </w:r>
            <w:r w:rsidRPr="002A7342">
              <w:rPr>
                <w:color w:val="0D0D0D" w:themeColor="text1" w:themeTint="F2"/>
                <w:spacing w:val="-4"/>
                <w:lang w:val="en-GB"/>
              </w:rPr>
              <w:t>34</w:t>
            </w:r>
            <w:r>
              <w:rPr>
                <w:color w:val="0D0D0D" w:themeColor="text1" w:themeTint="F2"/>
                <w:spacing w:val="-4"/>
                <w:lang w:val="en-GB"/>
              </w:rPr>
              <w:t>.</w:t>
            </w:r>
            <w:r w:rsidRPr="002A7342">
              <w:rPr>
                <w:color w:val="0D0D0D" w:themeColor="text1" w:themeTint="F2"/>
                <w:spacing w:val="-4"/>
                <w:lang w:val="en-GB"/>
              </w:rPr>
              <w:t xml:space="preserve">3%. </w:t>
            </w:r>
            <w:r>
              <w:rPr>
                <w:color w:val="0D0D0D" w:themeColor="text1" w:themeTint="F2"/>
                <w:spacing w:val="-4"/>
                <w:lang w:val="en-GB"/>
              </w:rPr>
              <w:t>Other services</w:t>
            </w:r>
            <w:r w:rsidRPr="002A7342">
              <w:rPr>
                <w:rStyle w:val="Znakapoznpodarou"/>
                <w:color w:val="0D0D0D" w:themeColor="text1" w:themeTint="F2"/>
                <w:spacing w:val="-4"/>
                <w:lang w:val="en-GB"/>
              </w:rPr>
              <w:footnoteReference w:id="26"/>
            </w:r>
            <w:r w:rsidRPr="002A7342">
              <w:rPr>
                <w:color w:val="0D0D0D" w:themeColor="text1" w:themeTint="F2"/>
                <w:spacing w:val="-4"/>
                <w:lang w:val="en-GB"/>
              </w:rPr>
              <w:t xml:space="preserve"> (</w:t>
            </w:r>
            <w:r>
              <w:rPr>
                <w:color w:val="0D0D0D" w:themeColor="text1" w:themeTint="F2"/>
                <w:spacing w:val="-4"/>
                <w:lang w:val="en-GB"/>
              </w:rPr>
              <w:t>e.g. hairdressing and other beauty treatments</w:t>
            </w:r>
            <w:r w:rsidRPr="002A7342">
              <w:rPr>
                <w:color w:val="0D0D0D" w:themeColor="text1" w:themeTint="F2"/>
                <w:spacing w:val="-4"/>
                <w:lang w:val="en-GB"/>
              </w:rPr>
              <w:t>)</w:t>
            </w:r>
            <w:r>
              <w:rPr>
                <w:color w:val="0D0D0D" w:themeColor="text1" w:themeTint="F2"/>
                <w:spacing w:val="-4"/>
                <w:lang w:val="en-GB"/>
              </w:rPr>
              <w:t xml:space="preserve"> earned one half less for the two years</w:t>
            </w:r>
            <w:r w:rsidRPr="002A7342">
              <w:rPr>
                <w:color w:val="0D0D0D" w:themeColor="text1" w:themeTint="F2"/>
                <w:spacing w:val="-4"/>
                <w:lang w:val="en-GB"/>
              </w:rPr>
              <w:t xml:space="preserve">. </w:t>
            </w:r>
            <w:r>
              <w:rPr>
                <w:color w:val="0D0D0D" w:themeColor="text1" w:themeTint="F2"/>
                <w:spacing w:val="-4"/>
                <w:lang w:val="en-GB"/>
              </w:rPr>
              <w:t xml:space="preserve">Self-employed persons prevail among workers in this area. They also have strong representation in other professional, scientific and technical activities </w:t>
            </w:r>
            <w:r w:rsidRPr="002A7342">
              <w:rPr>
                <w:color w:val="0D0D0D" w:themeColor="text1" w:themeTint="F2"/>
                <w:spacing w:val="-4"/>
                <w:lang w:val="en-GB"/>
              </w:rPr>
              <w:t>(</w:t>
            </w:r>
            <w:r>
              <w:rPr>
                <w:color w:val="0D0D0D" w:themeColor="text1" w:themeTint="F2"/>
                <w:spacing w:val="-4"/>
                <w:lang w:val="en-GB"/>
              </w:rPr>
              <w:t>including e.g. photographic, specialised design or translation activities</w:t>
            </w:r>
            <w:r w:rsidRPr="002A7342">
              <w:rPr>
                <w:color w:val="0D0D0D" w:themeColor="text1" w:themeTint="F2"/>
                <w:spacing w:val="-4"/>
                <w:lang w:val="en-GB"/>
              </w:rPr>
              <w:t xml:space="preserve">), </w:t>
            </w:r>
            <w:r>
              <w:rPr>
                <w:color w:val="0D0D0D" w:themeColor="text1" w:themeTint="F2"/>
                <w:spacing w:val="-4"/>
                <w:lang w:val="en-GB"/>
              </w:rPr>
              <w:t xml:space="preserve">where </w:t>
            </w:r>
            <w:r>
              <w:rPr>
                <w:color w:val="0D0D0D" w:themeColor="text1" w:themeTint="F2"/>
                <w:spacing w:val="-4"/>
                <w:lang w:val="en-GB"/>
              </w:rPr>
              <w:lastRenderedPageBreak/>
              <w:t xml:space="preserve">sales dropped by nearly one quarter. The economic recession together with the outflow of part of foreign workers left its mark on the sales of job agencies </w:t>
            </w:r>
            <w:r w:rsidRPr="002A7342">
              <w:rPr>
                <w:color w:val="0D0D0D" w:themeColor="text1" w:themeTint="F2"/>
                <w:spacing w:val="-4"/>
                <w:lang w:val="en-GB"/>
              </w:rPr>
              <w:t>(</w:t>
            </w:r>
            <w:r w:rsidRPr="002A7342">
              <w:rPr>
                <w:spacing w:val="-4"/>
                <w:lang w:val="en-GB"/>
              </w:rPr>
              <w:t>–</w:t>
            </w:r>
            <w:r w:rsidRPr="002A7342">
              <w:rPr>
                <w:color w:val="0D0D0D" w:themeColor="text1" w:themeTint="F2"/>
                <w:spacing w:val="-4"/>
                <w:lang w:val="en-GB"/>
              </w:rPr>
              <w:t>18</w:t>
            </w:r>
            <w:r>
              <w:rPr>
                <w:color w:val="0D0D0D" w:themeColor="text1" w:themeTint="F2"/>
                <w:spacing w:val="-4"/>
                <w:lang w:val="en-GB"/>
              </w:rPr>
              <w:t>.</w:t>
            </w:r>
            <w:r w:rsidRPr="002A7342">
              <w:rPr>
                <w:color w:val="0D0D0D" w:themeColor="text1" w:themeTint="F2"/>
                <w:spacing w:val="-4"/>
                <w:lang w:val="en-GB"/>
              </w:rPr>
              <w:t>3%) a</w:t>
            </w:r>
            <w:r>
              <w:rPr>
                <w:color w:val="0D0D0D" w:themeColor="text1" w:themeTint="F2"/>
                <w:spacing w:val="-4"/>
                <w:lang w:val="en-GB"/>
              </w:rPr>
              <w:t xml:space="preserve">nd also impacted the weight significant branch of land transportation </w:t>
            </w:r>
            <w:r w:rsidRPr="002A7342">
              <w:rPr>
                <w:color w:val="0D0D0D" w:themeColor="text1" w:themeTint="F2"/>
                <w:spacing w:val="-4"/>
                <w:lang w:val="en-GB"/>
              </w:rPr>
              <w:t>(</w:t>
            </w:r>
            <w:r w:rsidRPr="002A7342">
              <w:rPr>
                <w:spacing w:val="-4"/>
                <w:lang w:val="en-GB"/>
              </w:rPr>
              <w:t>–</w:t>
            </w:r>
            <w:r w:rsidRPr="002A7342">
              <w:rPr>
                <w:color w:val="0D0D0D" w:themeColor="text1" w:themeTint="F2"/>
                <w:spacing w:val="-4"/>
                <w:lang w:val="en-GB"/>
              </w:rPr>
              <w:t>9</w:t>
            </w:r>
            <w:r>
              <w:rPr>
                <w:color w:val="0D0D0D" w:themeColor="text1" w:themeTint="F2"/>
                <w:spacing w:val="-4"/>
                <w:lang w:val="en-GB"/>
              </w:rPr>
              <w:t>.</w:t>
            </w:r>
            <w:r w:rsidRPr="002A7342">
              <w:rPr>
                <w:color w:val="0D0D0D" w:themeColor="text1" w:themeTint="F2"/>
                <w:spacing w:val="-4"/>
                <w:lang w:val="en-GB"/>
              </w:rPr>
              <w:t>0%).</w:t>
            </w:r>
            <w:r>
              <w:rPr>
                <w:color w:val="0D0D0D" w:themeColor="text1" w:themeTint="F2"/>
                <w:spacing w:val="-4"/>
                <w:lang w:val="en-GB"/>
              </w:rPr>
              <w:t xml:space="preserve"> Majority of specialised office support activities, e.g. activities of head offices</w:t>
            </w:r>
            <w:r w:rsidRPr="002A7342">
              <w:rPr>
                <w:color w:val="0D0D0D" w:themeColor="text1" w:themeTint="F2"/>
                <w:spacing w:val="-4"/>
                <w:szCs w:val="20"/>
                <w:lang w:val="en-GB"/>
              </w:rPr>
              <w:t xml:space="preserve">, </w:t>
            </w:r>
            <w:r>
              <w:rPr>
                <w:color w:val="0D0D0D" w:themeColor="text1" w:themeTint="F2"/>
                <w:spacing w:val="-4"/>
                <w:szCs w:val="20"/>
                <w:lang w:val="en-GB"/>
              </w:rPr>
              <w:t xml:space="preserve">management consultancy activities </w:t>
            </w:r>
            <w:r w:rsidRPr="002A7342">
              <w:rPr>
                <w:color w:val="0D0D0D" w:themeColor="text1" w:themeTint="F2"/>
                <w:spacing w:val="-4"/>
                <w:lang w:val="en-GB"/>
              </w:rPr>
              <w:t>(</w:t>
            </w:r>
            <w:r w:rsidRPr="002A7342">
              <w:rPr>
                <w:spacing w:val="-4"/>
                <w:lang w:val="en-GB"/>
              </w:rPr>
              <w:t>–</w:t>
            </w:r>
            <w:r w:rsidRPr="002A7342">
              <w:rPr>
                <w:color w:val="0D0D0D" w:themeColor="text1" w:themeTint="F2"/>
                <w:spacing w:val="-4"/>
                <w:lang w:val="en-GB"/>
              </w:rPr>
              <w:t>7</w:t>
            </w:r>
            <w:r>
              <w:rPr>
                <w:color w:val="0D0D0D" w:themeColor="text1" w:themeTint="F2"/>
                <w:spacing w:val="-4"/>
                <w:lang w:val="en-GB"/>
              </w:rPr>
              <w:t>.</w:t>
            </w:r>
            <w:r w:rsidRPr="002A7342">
              <w:rPr>
                <w:color w:val="0D0D0D" w:themeColor="text1" w:themeTint="F2"/>
                <w:spacing w:val="-4"/>
                <w:lang w:val="en-GB"/>
              </w:rPr>
              <w:t xml:space="preserve">4%), </w:t>
            </w:r>
            <w:r>
              <w:rPr>
                <w:color w:val="0D0D0D" w:themeColor="text1" w:themeTint="F2"/>
                <w:spacing w:val="-4"/>
                <w:lang w:val="en-GB"/>
              </w:rPr>
              <w:t xml:space="preserve">advertising and market research </w:t>
            </w:r>
            <w:r w:rsidRPr="002A7342">
              <w:rPr>
                <w:color w:val="0D0D0D" w:themeColor="text1" w:themeTint="F2"/>
                <w:spacing w:val="-4"/>
                <w:lang w:val="en-GB"/>
              </w:rPr>
              <w:t>(</w:t>
            </w:r>
            <w:r w:rsidRPr="002A7342">
              <w:rPr>
                <w:spacing w:val="-4"/>
                <w:lang w:val="en-GB"/>
              </w:rPr>
              <w:t>–</w:t>
            </w:r>
            <w:r w:rsidRPr="002A7342">
              <w:rPr>
                <w:color w:val="0D0D0D" w:themeColor="text1" w:themeTint="F2"/>
                <w:spacing w:val="-4"/>
                <w:lang w:val="en-GB"/>
              </w:rPr>
              <w:t>6</w:t>
            </w:r>
            <w:r>
              <w:rPr>
                <w:color w:val="0D0D0D" w:themeColor="text1" w:themeTint="F2"/>
                <w:spacing w:val="-4"/>
                <w:lang w:val="en-GB"/>
              </w:rPr>
              <w:t>.</w:t>
            </w:r>
            <w:r w:rsidRPr="002A7342">
              <w:rPr>
                <w:color w:val="0D0D0D" w:themeColor="text1" w:themeTint="F2"/>
                <w:spacing w:val="-4"/>
                <w:lang w:val="en-GB"/>
              </w:rPr>
              <w:t>5%)</w:t>
            </w:r>
            <w:r>
              <w:rPr>
                <w:color w:val="0D0D0D" w:themeColor="text1" w:themeTint="F2"/>
                <w:spacing w:val="-4"/>
                <w:lang w:val="en-GB"/>
              </w:rPr>
              <w:t xml:space="preserve"> also reacted to the business cycle fluctuations. So called motion picture and music industry </w:t>
            </w:r>
            <w:r w:rsidRPr="002A7342">
              <w:rPr>
                <w:color w:val="0D0D0D" w:themeColor="text1" w:themeTint="F2"/>
                <w:spacing w:val="-4"/>
                <w:lang w:val="en-GB"/>
              </w:rPr>
              <w:t>(</w:t>
            </w:r>
            <w:r w:rsidRPr="002A7342">
              <w:rPr>
                <w:spacing w:val="-4"/>
                <w:lang w:val="en-GB"/>
              </w:rPr>
              <w:t>–</w:t>
            </w:r>
            <w:r w:rsidRPr="002A7342">
              <w:rPr>
                <w:color w:val="0D0D0D" w:themeColor="text1" w:themeTint="F2"/>
                <w:spacing w:val="-4"/>
                <w:lang w:val="en-GB"/>
              </w:rPr>
              <w:t>13</w:t>
            </w:r>
            <w:r>
              <w:rPr>
                <w:color w:val="0D0D0D" w:themeColor="text1" w:themeTint="F2"/>
                <w:spacing w:val="-4"/>
                <w:lang w:val="en-GB"/>
              </w:rPr>
              <w:t>.</w:t>
            </w:r>
            <w:r w:rsidRPr="002A7342">
              <w:rPr>
                <w:color w:val="0D0D0D" w:themeColor="text1" w:themeTint="F2"/>
                <w:spacing w:val="-4"/>
                <w:lang w:val="en-GB"/>
              </w:rPr>
              <w:t>3%)</w:t>
            </w:r>
            <w:r w:rsidRPr="002A7342">
              <w:rPr>
                <w:rStyle w:val="Znakapoznpodarou"/>
                <w:color w:val="0D0D0D" w:themeColor="text1" w:themeTint="F2"/>
                <w:spacing w:val="-4"/>
                <w:lang w:val="en-GB"/>
              </w:rPr>
              <w:footnoteReference w:id="27"/>
            </w:r>
            <w:r>
              <w:rPr>
                <w:color w:val="0D0D0D" w:themeColor="text1" w:themeTint="F2"/>
                <w:spacing w:val="-4"/>
                <w:lang w:val="en-GB"/>
              </w:rPr>
              <w:t xml:space="preserve"> was strongly hit among the leisure time activities</w:t>
            </w:r>
            <w:r w:rsidRPr="002A7342">
              <w:rPr>
                <w:color w:val="0D0D0D" w:themeColor="text1" w:themeTint="F2"/>
                <w:spacing w:val="-4"/>
                <w:lang w:val="en-GB"/>
              </w:rPr>
              <w:t>.</w:t>
            </w:r>
          </w:p>
        </w:tc>
      </w:tr>
      <w:tr w:rsidR="009732DF" w:rsidRPr="008932CD" w14:paraId="195953BB" w14:textId="77777777" w:rsidTr="001144FB">
        <w:trPr>
          <w:trHeight w:val="145"/>
        </w:trPr>
        <w:tc>
          <w:tcPr>
            <w:tcW w:w="1728" w:type="dxa"/>
            <w:shd w:val="clear" w:color="auto" w:fill="auto"/>
            <w:tcMar>
              <w:left w:w="0" w:type="dxa"/>
            </w:tcMar>
          </w:tcPr>
          <w:p w14:paraId="374504A8" w14:textId="77777777" w:rsidR="009732DF" w:rsidRDefault="009732DF" w:rsidP="001144FB">
            <w:pPr>
              <w:pStyle w:val="Marginlie"/>
              <w:rPr>
                <w:lang w:val="en-GB"/>
              </w:rPr>
            </w:pPr>
            <w:r>
              <w:rPr>
                <w:lang w:val="en-GB"/>
              </w:rPr>
              <w:lastRenderedPageBreak/>
              <w:t>Entrepreneur confidence in services was rising during Q</w:t>
            </w:r>
            <w:r w:rsidRPr="00BF3D31">
              <w:rPr>
                <w:lang w:val="en-GB"/>
              </w:rPr>
              <w:t>2</w:t>
            </w:r>
            <w:r>
              <w:rPr>
                <w:lang w:val="en-GB"/>
              </w:rPr>
              <w:t xml:space="preserve">, however did not catch up the pre-pandemic level yet. </w:t>
            </w:r>
          </w:p>
          <w:p w14:paraId="6DD07A0B" w14:textId="77777777" w:rsidR="009732DF" w:rsidRDefault="009732DF" w:rsidP="001144FB">
            <w:pPr>
              <w:pStyle w:val="Marginlie"/>
              <w:rPr>
                <w:lang w:val="en-GB"/>
              </w:rPr>
            </w:pPr>
          </w:p>
          <w:p w14:paraId="71E6F01A" w14:textId="77777777" w:rsidR="009732DF" w:rsidRPr="00BF3D31" w:rsidRDefault="009732DF" w:rsidP="001144FB">
            <w:pPr>
              <w:pStyle w:val="Marginlie"/>
              <w:rPr>
                <w:lang w:val="en-GB"/>
              </w:rPr>
            </w:pPr>
          </w:p>
          <w:p w14:paraId="43961C3E" w14:textId="77777777" w:rsidR="009732DF" w:rsidRDefault="009732DF" w:rsidP="001144FB">
            <w:pPr>
              <w:pStyle w:val="Marginlie"/>
              <w:rPr>
                <w:lang w:val="en-GB"/>
              </w:rPr>
            </w:pPr>
            <w:r w:rsidRPr="00BF3D31">
              <w:rPr>
                <w:lang w:val="en-GB"/>
              </w:rPr>
              <w:t>Situa</w:t>
            </w:r>
            <w:r>
              <w:rPr>
                <w:lang w:val="en-GB"/>
              </w:rPr>
              <w:t xml:space="preserve">tion in services subbranches was very diverse. </w:t>
            </w:r>
          </w:p>
        </w:tc>
        <w:tc>
          <w:tcPr>
            <w:tcW w:w="206" w:type="dxa"/>
            <w:shd w:val="clear" w:color="auto" w:fill="auto"/>
            <w:tcMar>
              <w:left w:w="0" w:type="dxa"/>
            </w:tcMar>
          </w:tcPr>
          <w:p w14:paraId="70C647AB" w14:textId="77777777" w:rsidR="009732DF" w:rsidRPr="002B595E" w:rsidRDefault="009732DF" w:rsidP="001144FB">
            <w:pPr>
              <w:pStyle w:val="Textpoznpodarou"/>
              <w:jc w:val="both"/>
              <w:rPr>
                <w:color w:val="0D0D0D" w:themeColor="text1" w:themeTint="F2"/>
                <w:spacing w:val="-4"/>
                <w:lang w:val="en-GB"/>
              </w:rPr>
            </w:pPr>
          </w:p>
        </w:tc>
        <w:tc>
          <w:tcPr>
            <w:tcW w:w="7730" w:type="dxa"/>
            <w:shd w:val="clear" w:color="auto" w:fill="auto"/>
            <w:tcMar>
              <w:left w:w="0" w:type="dxa"/>
            </w:tcMar>
          </w:tcPr>
          <w:p w14:paraId="01B86077" w14:textId="77777777" w:rsidR="009732DF" w:rsidRDefault="009732DF" w:rsidP="001144FB">
            <w:pPr>
              <w:spacing w:after="200"/>
              <w:rPr>
                <w:rFonts w:cs="Arial"/>
                <w:color w:val="0D0D0D" w:themeColor="text1" w:themeTint="F2"/>
                <w:spacing w:val="-4"/>
                <w:szCs w:val="20"/>
                <w:lang w:val="en-GB"/>
              </w:rPr>
            </w:pPr>
            <w:r>
              <w:rPr>
                <w:color w:val="0D0D0D" w:themeColor="text1" w:themeTint="F2"/>
                <w:spacing w:val="-4"/>
                <w:lang w:val="en-GB"/>
              </w:rPr>
              <w:t>Total entrepreneur confidence in selected services was improving during summer</w:t>
            </w:r>
            <w:r w:rsidRPr="00BF3D31">
              <w:rPr>
                <w:color w:val="0D0D0D" w:themeColor="text1" w:themeTint="F2"/>
                <w:spacing w:val="-4"/>
                <w:lang w:val="en-GB"/>
              </w:rPr>
              <w:t xml:space="preserve">, </w:t>
            </w:r>
            <w:r>
              <w:rPr>
                <w:color w:val="0D0D0D" w:themeColor="text1" w:themeTint="F2"/>
                <w:spacing w:val="-4"/>
                <w:lang w:val="en-GB"/>
              </w:rPr>
              <w:t xml:space="preserve">which culminated in June and July </w:t>
            </w:r>
            <w:r w:rsidRPr="00BF3D31">
              <w:rPr>
                <w:color w:val="0D0D0D" w:themeColor="text1" w:themeTint="F2"/>
                <w:spacing w:val="-4"/>
                <w:lang w:val="en-GB"/>
              </w:rPr>
              <w:t>(</w:t>
            </w:r>
            <w:r>
              <w:rPr>
                <w:color w:val="0D0D0D" w:themeColor="text1" w:themeTint="F2"/>
                <w:spacing w:val="-4"/>
                <w:lang w:val="en-GB"/>
              </w:rPr>
              <w:t xml:space="preserve">however it did not reach the high levels from the turn of years </w:t>
            </w:r>
            <w:r w:rsidRPr="00BF3D31">
              <w:rPr>
                <w:color w:val="0D0D0D" w:themeColor="text1" w:themeTint="F2"/>
                <w:spacing w:val="-4"/>
                <w:szCs w:val="20"/>
                <w:lang w:val="en-GB"/>
              </w:rPr>
              <w:t>2019 a</w:t>
            </w:r>
            <w:r>
              <w:rPr>
                <w:color w:val="0D0D0D" w:themeColor="text1" w:themeTint="F2"/>
                <w:spacing w:val="-4"/>
                <w:szCs w:val="20"/>
                <w:lang w:val="en-GB"/>
              </w:rPr>
              <w:t>nd</w:t>
            </w:r>
            <w:r w:rsidRPr="00BF3D31">
              <w:rPr>
                <w:color w:val="0D0D0D" w:themeColor="text1" w:themeTint="F2"/>
                <w:spacing w:val="-4"/>
                <w:szCs w:val="20"/>
                <w:lang w:val="en-GB"/>
              </w:rPr>
              <w:t> 2020</w:t>
            </w:r>
            <w:r w:rsidRPr="00BF3D31">
              <w:rPr>
                <w:color w:val="0D0D0D" w:themeColor="text1" w:themeTint="F2"/>
                <w:spacing w:val="-4"/>
                <w:lang w:val="en-GB"/>
              </w:rPr>
              <w:t xml:space="preserve">). </w:t>
            </w:r>
            <w:r>
              <w:rPr>
                <w:color w:val="0D0D0D" w:themeColor="text1" w:themeTint="F2"/>
                <w:spacing w:val="-4"/>
                <w:lang w:val="en-GB"/>
              </w:rPr>
              <w:t xml:space="preserve">August brought, similarly to traders, a moderate downward correction, which was mainly connected to the downgrade of evaluation of the current economic situation as well as total demand. Outlooks to growth of business activity at the beginning of this </w:t>
            </w:r>
            <w:r w:rsidRPr="00F36930">
              <w:rPr>
                <w:color w:val="0D0D0D" w:themeColor="text1" w:themeTint="F2"/>
                <w:spacing w:val="-4"/>
                <w:lang w:val="en-GB"/>
              </w:rPr>
              <w:t xml:space="preserve">year’s Autumn worsened. More than one quarter of businesses still contemplated the reduction of the number of employees. </w:t>
            </w:r>
            <w:r>
              <w:rPr>
                <w:color w:val="0D0D0D" w:themeColor="text1" w:themeTint="F2"/>
                <w:spacing w:val="-4"/>
                <w:lang w:val="en-GB"/>
              </w:rPr>
              <w:t xml:space="preserve">State in subbranches of services from the view of total confidence, demand as well as employment was very varied. Difficulties persisted in activities interwoven with tourism </w:t>
            </w:r>
            <w:r w:rsidRPr="00F36930">
              <w:rPr>
                <w:color w:val="0D0D0D" w:themeColor="text1" w:themeTint="F2"/>
                <w:spacing w:val="-4"/>
                <w:lang w:val="en-GB"/>
              </w:rPr>
              <w:t>a</w:t>
            </w:r>
            <w:r>
              <w:rPr>
                <w:color w:val="0D0D0D" w:themeColor="text1" w:themeTint="F2"/>
                <w:spacing w:val="-4"/>
                <w:lang w:val="en-GB"/>
              </w:rPr>
              <w:t>nd also in those tied to industry in the last months</w:t>
            </w:r>
            <w:r w:rsidRPr="00F36930">
              <w:rPr>
                <w:color w:val="0D0D0D" w:themeColor="text1" w:themeTint="F2"/>
                <w:spacing w:val="-4"/>
                <w:lang w:val="en-GB"/>
              </w:rPr>
              <w:t xml:space="preserve">. </w:t>
            </w:r>
            <w:r>
              <w:rPr>
                <w:color w:val="0D0D0D" w:themeColor="text1" w:themeTint="F2"/>
                <w:spacing w:val="-4"/>
                <w:lang w:val="en-GB"/>
              </w:rPr>
              <w:t xml:space="preserve">Inadequate demand limited nearly one third of businesses in services. </w:t>
            </w:r>
          </w:p>
        </w:tc>
      </w:tr>
      <w:tr w:rsidR="009732DF" w:rsidRPr="008932CD" w14:paraId="33190A95" w14:textId="77777777" w:rsidTr="001144FB">
        <w:trPr>
          <w:trHeight w:val="145"/>
        </w:trPr>
        <w:tc>
          <w:tcPr>
            <w:tcW w:w="1728" w:type="dxa"/>
            <w:shd w:val="clear" w:color="auto" w:fill="auto"/>
            <w:tcMar>
              <w:left w:w="0" w:type="dxa"/>
            </w:tcMar>
          </w:tcPr>
          <w:p w14:paraId="12EDDDA4" w14:textId="77777777" w:rsidR="009732DF" w:rsidRPr="002B595E" w:rsidRDefault="009732DF" w:rsidP="001144FB">
            <w:pPr>
              <w:pStyle w:val="Marginlie"/>
              <w:rPr>
                <w:color w:val="0D0D0D" w:themeColor="text1" w:themeTint="F2"/>
                <w:lang w:val="en-GB"/>
              </w:rPr>
            </w:pPr>
            <w:r>
              <w:rPr>
                <w:lang w:val="en-GB"/>
              </w:rPr>
              <w:t>Development of retail sales was determined not only by the mode of easing during the pandemics decline</w:t>
            </w:r>
            <w:r w:rsidRPr="002B595E">
              <w:rPr>
                <w:lang w:val="en-GB"/>
              </w:rPr>
              <w:t xml:space="preserve">, </w:t>
            </w:r>
            <w:r>
              <w:rPr>
                <w:lang w:val="en-GB"/>
              </w:rPr>
              <w:t xml:space="preserve">but also the more general macroeconomic factors. </w:t>
            </w:r>
          </w:p>
        </w:tc>
        <w:tc>
          <w:tcPr>
            <w:tcW w:w="206" w:type="dxa"/>
            <w:shd w:val="clear" w:color="auto" w:fill="auto"/>
            <w:tcMar>
              <w:left w:w="0" w:type="dxa"/>
            </w:tcMar>
          </w:tcPr>
          <w:p w14:paraId="4A5CA99B" w14:textId="77777777" w:rsidR="009732DF" w:rsidRPr="002B595E" w:rsidRDefault="009732DF" w:rsidP="001144FB">
            <w:pPr>
              <w:pStyle w:val="Textpoznpodarou"/>
              <w:jc w:val="both"/>
              <w:rPr>
                <w:color w:val="0D0D0D" w:themeColor="text1" w:themeTint="F2"/>
                <w:spacing w:val="-4"/>
                <w:lang w:val="en-GB"/>
              </w:rPr>
            </w:pPr>
          </w:p>
        </w:tc>
        <w:tc>
          <w:tcPr>
            <w:tcW w:w="7730" w:type="dxa"/>
            <w:shd w:val="clear" w:color="auto" w:fill="auto"/>
            <w:tcMar>
              <w:left w:w="0" w:type="dxa"/>
            </w:tcMar>
          </w:tcPr>
          <w:p w14:paraId="5FE36EA8" w14:textId="77777777" w:rsidR="009732DF" w:rsidRPr="002B595E" w:rsidRDefault="009732DF" w:rsidP="001144FB">
            <w:pPr>
              <w:spacing w:after="200"/>
              <w:rPr>
                <w:color w:val="0D0D0D" w:themeColor="text1" w:themeTint="F2"/>
                <w:spacing w:val="-4"/>
                <w:szCs w:val="20"/>
                <w:lang w:val="en-GB"/>
              </w:rPr>
            </w:pPr>
            <w:r>
              <w:rPr>
                <w:rFonts w:cs="Arial"/>
                <w:color w:val="0D0D0D" w:themeColor="text1" w:themeTint="F2"/>
                <w:spacing w:val="-4"/>
                <w:szCs w:val="20"/>
                <w:lang w:val="en-GB"/>
              </w:rPr>
              <w:t>Retail sales were affected by the closure of portion of businesses throughout the whole Q2 this year</w:t>
            </w:r>
            <w:r w:rsidRPr="002B595E">
              <w:rPr>
                <w:rFonts w:cs="Arial"/>
                <w:color w:val="0D0D0D" w:themeColor="text1" w:themeTint="F2"/>
                <w:spacing w:val="-4"/>
                <w:szCs w:val="20"/>
                <w:lang w:val="en-GB"/>
              </w:rPr>
              <w:t>,</w:t>
            </w:r>
            <w:r>
              <w:rPr>
                <w:rFonts w:cs="Arial"/>
                <w:color w:val="0D0D0D" w:themeColor="text1" w:themeTint="F2"/>
                <w:spacing w:val="-4"/>
                <w:szCs w:val="20"/>
                <w:lang w:val="en-GB"/>
              </w:rPr>
              <w:t xml:space="preserve"> which affected mainly the specialised shops with non-food goods. In March, when the coronavirus pandemics was culminating in the CR</w:t>
            </w:r>
            <w:r w:rsidRPr="002B595E">
              <w:rPr>
                <w:spacing w:val="-4"/>
                <w:lang w:val="en-GB"/>
              </w:rPr>
              <w:t>,</w:t>
            </w:r>
            <w:r>
              <w:rPr>
                <w:spacing w:val="-4"/>
                <w:lang w:val="en-GB"/>
              </w:rPr>
              <w:t xml:space="preserve"> further government restrictions in the area of population mobility were put in place, which strongly stifled the demand for fuels. </w:t>
            </w:r>
            <w:r>
              <w:rPr>
                <w:rFonts w:cs="Arial"/>
                <w:color w:val="0D0D0D" w:themeColor="text1" w:themeTint="F2"/>
                <w:spacing w:val="-4"/>
                <w:szCs w:val="20"/>
                <w:lang w:val="en-GB"/>
              </w:rPr>
              <w:t xml:space="preserve">Gradual easing of restrictions caused the retail operating practically without restrictions in the second half of May. Spring mode of loosening was from the time point of view to a considerable extent similar to year </w:t>
            </w:r>
            <w:r w:rsidRPr="002B595E">
              <w:rPr>
                <w:rFonts w:cs="Arial"/>
                <w:color w:val="0D0D0D" w:themeColor="text1" w:themeTint="F2"/>
                <w:spacing w:val="-4"/>
                <w:szCs w:val="20"/>
                <w:lang w:val="en-GB"/>
              </w:rPr>
              <w:t>2020</w:t>
            </w:r>
            <w:r w:rsidRPr="002B595E">
              <w:rPr>
                <w:rStyle w:val="Znakapoznpodarou"/>
                <w:color w:val="0D0D0D" w:themeColor="text1" w:themeTint="F2"/>
                <w:spacing w:val="-4"/>
                <w:szCs w:val="20"/>
                <w:lang w:val="en-GB"/>
              </w:rPr>
              <w:footnoteReference w:id="28"/>
            </w:r>
            <w:r w:rsidRPr="002B595E">
              <w:rPr>
                <w:rFonts w:cs="Arial"/>
                <w:color w:val="0D0D0D" w:themeColor="text1" w:themeTint="F2"/>
                <w:spacing w:val="-4"/>
                <w:szCs w:val="20"/>
                <w:lang w:val="en-GB"/>
              </w:rPr>
              <w:t>.</w:t>
            </w:r>
          </w:p>
        </w:tc>
      </w:tr>
      <w:tr w:rsidR="009732DF" w:rsidRPr="008932CD" w14:paraId="15D26E49" w14:textId="77777777" w:rsidTr="001144FB">
        <w:trPr>
          <w:trHeight w:val="145"/>
        </w:trPr>
        <w:tc>
          <w:tcPr>
            <w:tcW w:w="1728" w:type="dxa"/>
            <w:shd w:val="clear" w:color="auto" w:fill="auto"/>
            <w:tcMar>
              <w:left w:w="0" w:type="dxa"/>
            </w:tcMar>
          </w:tcPr>
          <w:p w14:paraId="62B7D104" w14:textId="77777777" w:rsidR="009732DF" w:rsidRPr="003D062A" w:rsidRDefault="009732DF" w:rsidP="001144FB">
            <w:pPr>
              <w:pStyle w:val="Marginlie"/>
              <w:rPr>
                <w:color w:val="0D0D0D" w:themeColor="text1" w:themeTint="F2"/>
                <w:lang w:val="en-GB"/>
              </w:rPr>
            </w:pPr>
            <w:r w:rsidRPr="003D062A">
              <w:rPr>
                <w:color w:val="0D0D0D" w:themeColor="text1" w:themeTint="F2"/>
                <w:lang w:val="en-GB"/>
              </w:rPr>
              <w:t>Year-on-year growth of retail sales was driven especially by higher selling of non-food goods and fuels in Q2.</w:t>
            </w:r>
          </w:p>
        </w:tc>
        <w:tc>
          <w:tcPr>
            <w:tcW w:w="206" w:type="dxa"/>
            <w:shd w:val="clear" w:color="auto" w:fill="auto"/>
            <w:tcMar>
              <w:left w:w="0" w:type="dxa"/>
            </w:tcMar>
          </w:tcPr>
          <w:p w14:paraId="40DA6CF5" w14:textId="77777777" w:rsidR="009732DF" w:rsidRPr="008932CD" w:rsidRDefault="009732DF" w:rsidP="001144FB">
            <w:pPr>
              <w:pStyle w:val="Textpoznpodarou"/>
              <w:jc w:val="both"/>
              <w:rPr>
                <w:color w:val="0D0D0D" w:themeColor="text1" w:themeTint="F2"/>
                <w:spacing w:val="-4"/>
              </w:rPr>
            </w:pPr>
          </w:p>
        </w:tc>
        <w:tc>
          <w:tcPr>
            <w:tcW w:w="7730" w:type="dxa"/>
            <w:shd w:val="clear" w:color="auto" w:fill="auto"/>
            <w:tcMar>
              <w:left w:w="0" w:type="dxa"/>
            </w:tcMar>
          </w:tcPr>
          <w:p w14:paraId="1692B911" w14:textId="77777777" w:rsidR="009732DF" w:rsidRPr="00BE4DA9" w:rsidRDefault="009732DF" w:rsidP="001144FB">
            <w:pPr>
              <w:spacing w:after="0"/>
              <w:rPr>
                <w:spacing w:val="-4"/>
              </w:rPr>
            </w:pPr>
            <w:r w:rsidRPr="005941B5">
              <w:rPr>
                <w:rFonts w:cs="Arial"/>
                <w:color w:val="0D0D0D" w:themeColor="text1" w:themeTint="F2"/>
                <w:spacing w:val="-4"/>
                <w:szCs w:val="20"/>
                <w:lang w:val="en-GB"/>
              </w:rPr>
              <w:t>Retail sales</w:t>
            </w:r>
            <w:r w:rsidRPr="005941B5">
              <w:rPr>
                <w:rStyle w:val="Znakapoznpodarou"/>
                <w:color w:val="0D0D0D" w:themeColor="text1" w:themeTint="F2"/>
                <w:spacing w:val="-4"/>
                <w:lang w:val="en-GB"/>
              </w:rPr>
              <w:footnoteReference w:id="29"/>
            </w:r>
            <w:r w:rsidRPr="005941B5">
              <w:rPr>
                <w:rFonts w:cs="Arial"/>
                <w:color w:val="0D0D0D" w:themeColor="text1" w:themeTint="F2"/>
                <w:spacing w:val="-4"/>
                <w:szCs w:val="20"/>
                <w:lang w:val="en-GB"/>
              </w:rPr>
              <w:t xml:space="preserve"> </w:t>
            </w:r>
            <w:r>
              <w:rPr>
                <w:rFonts w:cs="Arial"/>
                <w:color w:val="0D0D0D" w:themeColor="text1" w:themeTint="F2"/>
                <w:spacing w:val="-4"/>
                <w:szCs w:val="20"/>
                <w:lang w:val="en-GB"/>
              </w:rPr>
              <w:t xml:space="preserve">rose by </w:t>
            </w:r>
            <w:r w:rsidRPr="005941B5">
              <w:rPr>
                <w:rFonts w:cs="Arial"/>
                <w:color w:val="0D0D0D" w:themeColor="text1" w:themeTint="F2"/>
                <w:spacing w:val="-4"/>
                <w:szCs w:val="20"/>
                <w:lang w:val="en-GB"/>
              </w:rPr>
              <w:t>7</w:t>
            </w:r>
            <w:r>
              <w:rPr>
                <w:rFonts w:cs="Arial"/>
                <w:color w:val="0D0D0D" w:themeColor="text1" w:themeTint="F2"/>
                <w:spacing w:val="-4"/>
                <w:szCs w:val="20"/>
                <w:lang w:val="en-GB"/>
              </w:rPr>
              <w:t>.</w:t>
            </w:r>
            <w:r w:rsidRPr="005941B5">
              <w:rPr>
                <w:rFonts w:cs="Arial"/>
                <w:color w:val="0D0D0D" w:themeColor="text1" w:themeTint="F2"/>
                <w:spacing w:val="-4"/>
                <w:szCs w:val="20"/>
                <w:lang w:val="en-GB"/>
              </w:rPr>
              <w:t>8%</w:t>
            </w:r>
            <w:r>
              <w:rPr>
                <w:rFonts w:cs="Arial"/>
                <w:color w:val="0D0D0D" w:themeColor="text1" w:themeTint="F2"/>
                <w:spacing w:val="-4"/>
                <w:szCs w:val="20"/>
                <w:lang w:val="en-GB"/>
              </w:rPr>
              <w:t xml:space="preserve"> quarter-on-quarter in Q2 and thus offset the decrease from the previous two quarters. Especially the sales for non-food goods, where the effect of the delayed consumption also manifested, went strongly up. Retail strengthened by </w:t>
            </w:r>
            <w:r w:rsidRPr="005941B5">
              <w:rPr>
                <w:rFonts w:cs="Arial"/>
                <w:color w:val="0D0D0D" w:themeColor="text1" w:themeTint="F2"/>
                <w:spacing w:val="-4"/>
                <w:szCs w:val="20"/>
                <w:lang w:val="en-GB"/>
              </w:rPr>
              <w:t>7</w:t>
            </w:r>
            <w:r>
              <w:rPr>
                <w:rFonts w:cs="Arial"/>
                <w:color w:val="0D0D0D" w:themeColor="text1" w:themeTint="F2"/>
                <w:spacing w:val="-4"/>
                <w:szCs w:val="20"/>
                <w:lang w:val="en-GB"/>
              </w:rPr>
              <w:t>.</w:t>
            </w:r>
            <w:r w:rsidRPr="005941B5">
              <w:rPr>
                <w:rFonts w:cs="Arial"/>
                <w:color w:val="0D0D0D" w:themeColor="text1" w:themeTint="F2"/>
                <w:spacing w:val="-4"/>
                <w:szCs w:val="20"/>
                <w:lang w:val="en-GB"/>
              </w:rPr>
              <w:t>1%</w:t>
            </w:r>
            <w:r>
              <w:rPr>
                <w:rFonts w:cs="Arial"/>
                <w:color w:val="0D0D0D" w:themeColor="text1" w:themeTint="F2"/>
                <w:spacing w:val="-4"/>
                <w:szCs w:val="20"/>
                <w:lang w:val="en-GB"/>
              </w:rPr>
              <w:t xml:space="preserve"> year-on-year</w:t>
            </w:r>
            <w:r w:rsidRPr="005941B5">
              <w:rPr>
                <w:rFonts w:cs="Arial"/>
                <w:color w:val="0D0D0D" w:themeColor="text1" w:themeTint="F2"/>
                <w:spacing w:val="-4"/>
                <w:szCs w:val="20"/>
                <w:lang w:val="en-GB"/>
              </w:rPr>
              <w:t xml:space="preserve">, </w:t>
            </w:r>
            <w:r>
              <w:rPr>
                <w:rFonts w:cs="Arial"/>
                <w:color w:val="0D0D0D" w:themeColor="text1" w:themeTint="F2"/>
                <w:spacing w:val="-4"/>
                <w:szCs w:val="20"/>
                <w:lang w:val="en-GB"/>
              </w:rPr>
              <w:t>partially also due to the weaker last year</w:t>
            </w:r>
            <w:r>
              <w:rPr>
                <w:rFonts w:cs="Arial"/>
                <w:color w:val="0D0D0D" w:themeColor="text1" w:themeTint="F2"/>
                <w:spacing w:val="-4"/>
                <w:szCs w:val="20"/>
                <w:lang w:val="en-US"/>
              </w:rPr>
              <w:t>’</w:t>
            </w:r>
            <w:r>
              <w:rPr>
                <w:rFonts w:cs="Arial"/>
                <w:color w:val="0D0D0D" w:themeColor="text1" w:themeTint="F2"/>
                <w:spacing w:val="-4"/>
                <w:szCs w:val="20"/>
              </w:rPr>
              <w:t>s sales</w:t>
            </w:r>
            <w:r w:rsidRPr="005941B5">
              <w:rPr>
                <w:rStyle w:val="Znakapoznpodarou"/>
                <w:color w:val="0D0D0D" w:themeColor="text1" w:themeTint="F2"/>
                <w:spacing w:val="-4"/>
                <w:szCs w:val="20"/>
                <w:lang w:val="en-GB"/>
              </w:rPr>
              <w:footnoteReference w:id="30"/>
            </w:r>
            <w:r w:rsidRPr="005941B5">
              <w:rPr>
                <w:rFonts w:cs="Arial"/>
                <w:color w:val="0D0D0D" w:themeColor="text1" w:themeTint="F2"/>
                <w:spacing w:val="-4"/>
                <w:szCs w:val="20"/>
                <w:lang w:val="en-GB"/>
              </w:rPr>
              <w:t xml:space="preserve">. </w:t>
            </w:r>
            <w:r>
              <w:rPr>
                <w:rFonts w:cs="Arial"/>
                <w:color w:val="0D0D0D" w:themeColor="text1" w:themeTint="F2"/>
                <w:spacing w:val="-4"/>
                <w:szCs w:val="20"/>
                <w:lang w:val="en-GB"/>
              </w:rPr>
              <w:t xml:space="preserve">Mainly the sale of non-food goods prospered </w:t>
            </w:r>
            <w:r w:rsidRPr="005941B5">
              <w:rPr>
                <w:rFonts w:cs="Arial"/>
                <w:color w:val="0D0D0D" w:themeColor="text1" w:themeTint="F2"/>
                <w:spacing w:val="-4"/>
                <w:szCs w:val="20"/>
                <w:lang w:val="en-GB"/>
              </w:rPr>
              <w:t>(+11%),</w:t>
            </w:r>
            <w:r>
              <w:rPr>
                <w:rFonts w:cs="Arial"/>
                <w:color w:val="0D0D0D" w:themeColor="text1" w:themeTint="F2"/>
                <w:spacing w:val="-4"/>
                <w:szCs w:val="20"/>
                <w:lang w:val="en-GB"/>
              </w:rPr>
              <w:t xml:space="preserve"> being assisted by still developing sale via internet </w:t>
            </w:r>
            <w:r w:rsidRPr="005941B5">
              <w:rPr>
                <w:rFonts w:cs="Arial"/>
                <w:color w:val="0D0D0D" w:themeColor="text1" w:themeTint="F2"/>
                <w:spacing w:val="-4"/>
                <w:szCs w:val="20"/>
                <w:lang w:val="en-GB"/>
              </w:rPr>
              <w:t>(+12</w:t>
            </w:r>
            <w:r>
              <w:rPr>
                <w:rFonts w:cs="Arial"/>
                <w:color w:val="0D0D0D" w:themeColor="text1" w:themeTint="F2"/>
                <w:spacing w:val="-4"/>
                <w:szCs w:val="20"/>
                <w:lang w:val="en-GB"/>
              </w:rPr>
              <w:t>.</w:t>
            </w:r>
            <w:r w:rsidRPr="005941B5">
              <w:rPr>
                <w:rFonts w:cs="Arial"/>
                <w:color w:val="0D0D0D" w:themeColor="text1" w:themeTint="F2"/>
                <w:spacing w:val="-4"/>
                <w:szCs w:val="20"/>
                <w:lang w:val="en-GB"/>
              </w:rPr>
              <w:t>3%, +56</w:t>
            </w:r>
            <w:r>
              <w:rPr>
                <w:rFonts w:cs="Arial"/>
                <w:color w:val="0D0D0D" w:themeColor="text1" w:themeTint="F2"/>
                <w:spacing w:val="-4"/>
                <w:szCs w:val="20"/>
                <w:lang w:val="en-GB"/>
              </w:rPr>
              <w:t>.</w:t>
            </w:r>
            <w:r w:rsidRPr="005941B5">
              <w:rPr>
                <w:rFonts w:cs="Arial"/>
                <w:color w:val="0D0D0D" w:themeColor="text1" w:themeTint="F2"/>
                <w:spacing w:val="-4"/>
                <w:szCs w:val="20"/>
                <w:lang w:val="en-GB"/>
              </w:rPr>
              <w:t>7%</w:t>
            </w:r>
            <w:r>
              <w:rPr>
                <w:rFonts w:cs="Arial"/>
                <w:color w:val="0D0D0D" w:themeColor="text1" w:themeTint="F2"/>
                <w:spacing w:val="-4"/>
                <w:szCs w:val="20"/>
                <w:lang w:val="en-GB"/>
              </w:rPr>
              <w:t xml:space="preserve"> for the two years</w:t>
            </w:r>
            <w:r w:rsidRPr="005941B5">
              <w:rPr>
                <w:rFonts w:cs="Arial"/>
                <w:color w:val="0D0D0D" w:themeColor="text1" w:themeTint="F2"/>
                <w:spacing w:val="-4"/>
                <w:szCs w:val="20"/>
                <w:lang w:val="en-GB"/>
              </w:rPr>
              <w:t>)</w:t>
            </w:r>
            <w:r>
              <w:rPr>
                <w:rFonts w:cs="Arial"/>
                <w:color w:val="0D0D0D" w:themeColor="text1" w:themeTint="F2"/>
                <w:spacing w:val="-4"/>
                <w:szCs w:val="20"/>
                <w:lang w:val="en-GB"/>
              </w:rPr>
              <w:t xml:space="preserve"> as well as higher sales in specialised shops </w:t>
            </w:r>
            <w:r w:rsidRPr="005941B5">
              <w:rPr>
                <w:rFonts w:cs="Arial"/>
                <w:color w:val="0D0D0D" w:themeColor="text1" w:themeTint="F2"/>
                <w:spacing w:val="-4"/>
                <w:szCs w:val="20"/>
                <w:lang w:val="en-GB"/>
              </w:rPr>
              <w:t xml:space="preserve">– </w:t>
            </w:r>
            <w:r>
              <w:rPr>
                <w:rFonts w:cs="Arial"/>
                <w:color w:val="0D0D0D" w:themeColor="text1" w:themeTint="F2"/>
                <w:spacing w:val="-4"/>
                <w:szCs w:val="20"/>
                <w:lang w:val="en-GB"/>
              </w:rPr>
              <w:t xml:space="preserve">mainly with wearing apparel, footwear and leather goods </w:t>
            </w:r>
            <w:r w:rsidRPr="00DF5472">
              <w:rPr>
                <w:rFonts w:cs="Arial"/>
                <w:color w:val="0D0D0D" w:themeColor="text1" w:themeTint="F2"/>
                <w:spacing w:val="-4"/>
                <w:szCs w:val="20"/>
                <w:lang w:val="en-GB"/>
              </w:rPr>
              <w:t>(+29</w:t>
            </w:r>
            <w:r>
              <w:rPr>
                <w:rFonts w:cs="Arial"/>
                <w:color w:val="0D0D0D" w:themeColor="text1" w:themeTint="F2"/>
                <w:spacing w:val="-4"/>
                <w:szCs w:val="20"/>
                <w:lang w:val="en-GB"/>
              </w:rPr>
              <w:t>.</w:t>
            </w:r>
            <w:r w:rsidRPr="00DF5472">
              <w:rPr>
                <w:rFonts w:cs="Arial"/>
                <w:color w:val="0D0D0D" w:themeColor="text1" w:themeTint="F2"/>
                <w:spacing w:val="-4"/>
                <w:szCs w:val="20"/>
                <w:lang w:val="en-GB"/>
              </w:rPr>
              <w:t>2%) a</w:t>
            </w:r>
            <w:r>
              <w:rPr>
                <w:rFonts w:cs="Arial"/>
                <w:color w:val="0D0D0D" w:themeColor="text1" w:themeTint="F2"/>
                <w:spacing w:val="-4"/>
                <w:szCs w:val="20"/>
                <w:lang w:val="en-GB"/>
              </w:rPr>
              <w:t xml:space="preserve">nd computer and communication appliances </w:t>
            </w:r>
            <w:r w:rsidRPr="00DF5472">
              <w:rPr>
                <w:rFonts w:cs="Arial"/>
                <w:color w:val="0D0D0D" w:themeColor="text1" w:themeTint="F2"/>
                <w:spacing w:val="-4"/>
                <w:szCs w:val="20"/>
                <w:lang w:val="en-GB"/>
              </w:rPr>
              <w:t>(+20</w:t>
            </w:r>
            <w:r>
              <w:rPr>
                <w:rFonts w:cs="Arial"/>
                <w:color w:val="0D0D0D" w:themeColor="text1" w:themeTint="F2"/>
                <w:spacing w:val="-4"/>
                <w:szCs w:val="20"/>
                <w:lang w:val="en-GB"/>
              </w:rPr>
              <w:t>.</w:t>
            </w:r>
            <w:r w:rsidRPr="00DF5472">
              <w:rPr>
                <w:rFonts w:cs="Arial"/>
                <w:color w:val="0D0D0D" w:themeColor="text1" w:themeTint="F2"/>
                <w:spacing w:val="-4"/>
                <w:szCs w:val="20"/>
                <w:lang w:val="en-GB"/>
              </w:rPr>
              <w:t xml:space="preserve">1%). </w:t>
            </w:r>
            <w:r>
              <w:rPr>
                <w:rFonts w:cs="Arial"/>
                <w:color w:val="0D0D0D" w:themeColor="text1" w:themeTint="F2"/>
                <w:spacing w:val="-4"/>
                <w:szCs w:val="20"/>
                <w:lang w:val="en-GB"/>
              </w:rPr>
              <w:t xml:space="preserve">Sales of food grew much more moderately, both in the usually large non-specialised shops </w:t>
            </w:r>
            <w:r w:rsidRPr="00DF5472">
              <w:rPr>
                <w:rFonts w:cs="Arial"/>
                <w:color w:val="0D0D0D" w:themeColor="text1" w:themeTint="F2"/>
                <w:spacing w:val="-4"/>
                <w:szCs w:val="20"/>
                <w:lang w:val="en-GB"/>
              </w:rPr>
              <w:t>(+1</w:t>
            </w:r>
            <w:r>
              <w:rPr>
                <w:rFonts w:cs="Arial"/>
                <w:color w:val="0D0D0D" w:themeColor="text1" w:themeTint="F2"/>
                <w:spacing w:val="-4"/>
                <w:szCs w:val="20"/>
                <w:lang w:val="en-GB"/>
              </w:rPr>
              <w:t>.</w:t>
            </w:r>
            <w:r w:rsidRPr="00DF5472">
              <w:rPr>
                <w:rFonts w:cs="Arial"/>
                <w:color w:val="0D0D0D" w:themeColor="text1" w:themeTint="F2"/>
                <w:spacing w:val="-4"/>
                <w:szCs w:val="20"/>
                <w:lang w:val="en-GB"/>
              </w:rPr>
              <w:t xml:space="preserve">0%), </w:t>
            </w:r>
            <w:r>
              <w:rPr>
                <w:rFonts w:cs="Arial"/>
                <w:color w:val="0D0D0D" w:themeColor="text1" w:themeTint="F2"/>
                <w:spacing w:val="-4"/>
                <w:szCs w:val="20"/>
                <w:lang w:val="en-GB"/>
              </w:rPr>
              <w:t xml:space="preserve">and specialised </w:t>
            </w:r>
            <w:r w:rsidRPr="00DF5472">
              <w:rPr>
                <w:rFonts w:cs="Arial"/>
                <w:color w:val="0D0D0D" w:themeColor="text1" w:themeTint="F2"/>
                <w:spacing w:val="-4"/>
                <w:szCs w:val="20"/>
                <w:lang w:val="en-GB"/>
              </w:rPr>
              <w:t>(+3</w:t>
            </w:r>
            <w:r>
              <w:rPr>
                <w:rFonts w:cs="Arial"/>
                <w:color w:val="0D0D0D" w:themeColor="text1" w:themeTint="F2"/>
                <w:spacing w:val="-4"/>
                <w:szCs w:val="20"/>
                <w:lang w:val="en-GB"/>
              </w:rPr>
              <w:t>.</w:t>
            </w:r>
            <w:r w:rsidRPr="00DF5472">
              <w:rPr>
                <w:rFonts w:cs="Arial"/>
                <w:color w:val="0D0D0D" w:themeColor="text1" w:themeTint="F2"/>
                <w:spacing w:val="-4"/>
                <w:szCs w:val="20"/>
                <w:lang w:val="en-GB"/>
              </w:rPr>
              <w:t xml:space="preserve">3%) – </w:t>
            </w:r>
            <w:r>
              <w:rPr>
                <w:rFonts w:cs="Arial"/>
                <w:color w:val="0D0D0D" w:themeColor="text1" w:themeTint="F2"/>
                <w:spacing w:val="-4"/>
                <w:szCs w:val="20"/>
                <w:lang w:val="en-GB"/>
              </w:rPr>
              <w:t xml:space="preserve">where the sale was last year in addition also strongly subdued. </w:t>
            </w:r>
            <w:r w:rsidRPr="00DF5472">
              <w:rPr>
                <w:rFonts w:cs="Arial"/>
                <w:color w:val="0D0D0D" w:themeColor="text1" w:themeTint="F2"/>
                <w:spacing w:val="-4"/>
                <w:szCs w:val="20"/>
                <w:lang w:val="en-GB"/>
              </w:rPr>
              <w:t>It was also valid regarding the sale of fuels, where this year’s growth (9.6%) was far from compensat</w:t>
            </w:r>
            <w:r>
              <w:rPr>
                <w:rFonts w:cs="Arial"/>
                <w:color w:val="0D0D0D" w:themeColor="text1" w:themeTint="F2"/>
                <w:spacing w:val="-4"/>
                <w:szCs w:val="20"/>
                <w:lang w:val="en-GB"/>
              </w:rPr>
              <w:t>ing</w:t>
            </w:r>
            <w:r w:rsidRPr="00DF5472">
              <w:rPr>
                <w:rFonts w:cs="Arial"/>
                <w:color w:val="0D0D0D" w:themeColor="text1" w:themeTint="F2"/>
                <w:spacing w:val="-4"/>
                <w:szCs w:val="20"/>
                <w:lang w:val="en-GB"/>
              </w:rPr>
              <w:t xml:space="preserve"> the slump from last year’s Spring. </w:t>
            </w:r>
            <w:r>
              <w:rPr>
                <w:rFonts w:cs="Arial"/>
                <w:color w:val="0D0D0D" w:themeColor="text1" w:themeTint="F2"/>
                <w:spacing w:val="-4"/>
                <w:szCs w:val="20"/>
                <w:lang w:val="en-GB"/>
              </w:rPr>
              <w:t>In the motorist segment of trade the situation was similar as well, with sales growing by 36.7% year-on-year this year in Q</w:t>
            </w:r>
            <w:r w:rsidRPr="00DF5472">
              <w:rPr>
                <w:rFonts w:cs="Arial"/>
                <w:color w:val="0D0D0D" w:themeColor="text1" w:themeTint="F2"/>
                <w:spacing w:val="-4"/>
                <w:szCs w:val="20"/>
                <w:lang w:val="en-GB"/>
              </w:rPr>
              <w:t>2</w:t>
            </w:r>
            <w:r>
              <w:rPr>
                <w:rFonts w:cs="Arial"/>
                <w:color w:val="0D0D0D" w:themeColor="text1" w:themeTint="F2"/>
                <w:spacing w:val="-4"/>
                <w:szCs w:val="20"/>
                <w:lang w:val="en-GB"/>
              </w:rPr>
              <w:t>,</w:t>
            </w:r>
            <w:r w:rsidRPr="00DF5472">
              <w:rPr>
                <w:rFonts w:cs="Arial"/>
                <w:color w:val="0D0D0D" w:themeColor="text1" w:themeTint="F2"/>
                <w:spacing w:val="-4"/>
                <w:szCs w:val="20"/>
                <w:lang w:val="en-GB"/>
              </w:rPr>
              <w:t xml:space="preserve"> </w:t>
            </w:r>
            <w:r>
              <w:rPr>
                <w:rFonts w:cs="Arial"/>
                <w:color w:val="0D0D0D" w:themeColor="text1" w:themeTint="F2"/>
                <w:spacing w:val="-4"/>
                <w:szCs w:val="20"/>
                <w:lang w:val="en-GB"/>
              </w:rPr>
              <w:t xml:space="preserve">in total for the two-year period were still however by </w:t>
            </w:r>
            <w:r w:rsidRPr="00DF5472">
              <w:rPr>
                <w:rFonts w:cs="Arial"/>
                <w:color w:val="0D0D0D" w:themeColor="text1" w:themeTint="F2"/>
                <w:spacing w:val="-4"/>
                <w:szCs w:val="20"/>
                <w:lang w:val="en-GB"/>
              </w:rPr>
              <w:t>4</w:t>
            </w:r>
            <w:r>
              <w:rPr>
                <w:rFonts w:cs="Arial"/>
                <w:color w:val="0D0D0D" w:themeColor="text1" w:themeTint="F2"/>
                <w:spacing w:val="-4"/>
                <w:szCs w:val="20"/>
                <w:lang w:val="en-GB"/>
              </w:rPr>
              <w:t>.</w:t>
            </w:r>
            <w:r w:rsidRPr="00DF5472">
              <w:rPr>
                <w:rFonts w:cs="Arial"/>
                <w:color w:val="0D0D0D" w:themeColor="text1" w:themeTint="F2"/>
                <w:spacing w:val="-4"/>
                <w:szCs w:val="20"/>
                <w:lang w:val="en-GB"/>
              </w:rPr>
              <w:t>0%</w:t>
            </w:r>
            <w:r>
              <w:rPr>
                <w:rFonts w:cs="Arial"/>
                <w:color w:val="0D0D0D" w:themeColor="text1" w:themeTint="F2"/>
                <w:spacing w:val="-4"/>
                <w:szCs w:val="20"/>
                <w:lang w:val="en-GB"/>
              </w:rPr>
              <w:t xml:space="preserve"> lower</w:t>
            </w:r>
            <w:r w:rsidRPr="00DF5472">
              <w:rPr>
                <w:rFonts w:cs="Arial"/>
                <w:color w:val="0D0D0D" w:themeColor="text1" w:themeTint="F2"/>
                <w:spacing w:val="-4"/>
                <w:szCs w:val="20"/>
                <w:lang w:val="en-GB"/>
              </w:rPr>
              <w:t>.</w:t>
            </w:r>
          </w:p>
        </w:tc>
      </w:tr>
    </w:tbl>
    <w:p w14:paraId="3DD20BB1" w14:textId="77777777" w:rsidR="009732DF" w:rsidRDefault="009732DF" w:rsidP="009732DF">
      <w:pPr>
        <w:spacing w:after="0" w:line="240" w:lineRule="auto"/>
        <w:jc w:val="left"/>
      </w:pPr>
    </w:p>
    <w:p w14:paraId="4A437270" w14:textId="77777777" w:rsidR="009732DF" w:rsidRPr="000F45E7" w:rsidRDefault="009732DF" w:rsidP="009732DF">
      <w:pPr>
        <w:pStyle w:val="Nadpis11"/>
        <w:spacing w:after="0"/>
        <w:rPr>
          <w:b w:val="0"/>
          <w:sz w:val="2"/>
          <w:szCs w:val="2"/>
        </w:rPr>
      </w:pPr>
      <w:bookmarkStart w:id="5" w:name="_GoBack"/>
      <w:bookmarkEnd w:id="1"/>
      <w:bookmarkEnd w:id="2"/>
      <w:bookmarkEnd w:id="3"/>
      <w:bookmarkEnd w:id="4"/>
      <w:bookmarkEnd w:id="5"/>
    </w:p>
    <w:p w14:paraId="188A10F3" w14:textId="77777777" w:rsidR="009732DF" w:rsidRPr="000F45E7" w:rsidRDefault="009732DF" w:rsidP="009732DF">
      <w:pPr>
        <w:pStyle w:val="Nadpis11"/>
        <w:spacing w:after="0"/>
        <w:rPr>
          <w:b w:val="0"/>
          <w:sz w:val="2"/>
          <w:szCs w:val="2"/>
        </w:rPr>
      </w:pPr>
    </w:p>
    <w:p w14:paraId="03B90117" w14:textId="77777777" w:rsidR="009732DF" w:rsidRPr="00E42054" w:rsidRDefault="009732DF" w:rsidP="009732DF">
      <w:pPr>
        <w:pStyle w:val="Nadpis11"/>
        <w:rPr>
          <w:b w:val="0"/>
          <w:sz w:val="2"/>
          <w:szCs w:val="2"/>
        </w:rPr>
      </w:pPr>
    </w:p>
    <w:p w14:paraId="39E9959F" w14:textId="4861E17A" w:rsidR="000663F0" w:rsidRPr="00E42054" w:rsidRDefault="000663F0" w:rsidP="009732DF">
      <w:pPr>
        <w:pStyle w:val="Nadpis11"/>
        <w:rPr>
          <w:b w:val="0"/>
          <w:sz w:val="2"/>
          <w:szCs w:val="2"/>
        </w:rPr>
      </w:pPr>
    </w:p>
    <w:sectPr w:rsidR="000663F0" w:rsidRPr="00E42054" w:rsidSect="00954EF5">
      <w:headerReference w:type="even" r:id="rId13"/>
      <w:headerReference w:type="default" r:id="rId14"/>
      <w:footerReference w:type="even" r:id="rId15"/>
      <w:footerReference w:type="default" r:id="rId16"/>
      <w:pgSz w:w="11906" w:h="16838" w:code="9"/>
      <w:pgMar w:top="1134" w:right="1134" w:bottom="1418" w:left="1134" w:header="680" w:footer="737" w:gutter="0"/>
      <w:pgNumType w:start="1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A39783" w14:textId="77777777" w:rsidR="00A35A0F" w:rsidRDefault="00A35A0F" w:rsidP="00E71A58">
      <w:r>
        <w:separator/>
      </w:r>
    </w:p>
  </w:endnote>
  <w:endnote w:type="continuationSeparator" w:id="0">
    <w:p w14:paraId="7714D236" w14:textId="77777777" w:rsidR="00A35A0F" w:rsidRDefault="00A35A0F" w:rsidP="00E71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C4B6C8" w14:textId="0A67F6CD" w:rsidR="00160E8B" w:rsidRPr="00932443" w:rsidRDefault="00160E8B" w:rsidP="00A418BC">
    <w:pPr>
      <w:pStyle w:val="Zpat"/>
      <w:rPr>
        <w:szCs w:val="16"/>
      </w:rPr>
    </w:pPr>
    <w:r>
      <w:rPr>
        <w:szCs w:val="16"/>
        <w:lang w:eastAsia="cs-CZ"/>
      </w:rPr>
      <w:drawing>
        <wp:anchor distT="0" distB="0" distL="114300" distR="114300" simplePos="0" relativeHeight="251667968" behindDoc="0" locked="0" layoutInCell="1" allowOverlap="1" wp14:anchorId="5009AFEB" wp14:editId="1EAEA9AF">
          <wp:simplePos x="0" y="0"/>
          <wp:positionH relativeFrom="column">
            <wp:align>right</wp:align>
          </wp:positionH>
          <wp:positionV relativeFrom="paragraph">
            <wp:posOffset>-64770</wp:posOffset>
          </wp:positionV>
          <wp:extent cx="428625" cy="201295"/>
          <wp:effectExtent l="0" t="0" r="3175" b="1905"/>
          <wp:wrapNone/>
          <wp:docPr id="22" name="Picture 15" descr="CSU RGB CZ 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SU RGB CZ logo-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8625" cy="201295"/>
                  </a:xfrm>
                  <a:prstGeom prst="rect">
                    <a:avLst/>
                  </a:prstGeom>
                  <a:noFill/>
                  <a:ln>
                    <a:noFill/>
                  </a:ln>
                </pic:spPr>
              </pic:pic>
            </a:graphicData>
          </a:graphic>
        </wp:anchor>
      </w:drawing>
    </w:r>
    <w:r w:rsidRPr="00932443">
      <w:rPr>
        <w:szCs w:val="16"/>
      </w:rPr>
      <w:fldChar w:fldCharType="begin"/>
    </w:r>
    <w:r w:rsidRPr="00932443">
      <w:rPr>
        <w:szCs w:val="16"/>
      </w:rPr>
      <w:instrText>PAGE   \* MERGEFORMAT</w:instrText>
    </w:r>
    <w:r w:rsidRPr="00932443">
      <w:rPr>
        <w:szCs w:val="16"/>
      </w:rPr>
      <w:fldChar w:fldCharType="separate"/>
    </w:r>
    <w:r w:rsidR="00954EF5">
      <w:rPr>
        <w:szCs w:val="16"/>
      </w:rPr>
      <w:t>16</w:t>
    </w:r>
    <w:r w:rsidRPr="00932443">
      <w:rPr>
        <w:szCs w:val="16"/>
      </w:rPr>
      <w:fldChar w:fldCharType="end"/>
    </w:r>
    <w:r w:rsidRPr="00932443">
      <w:rPr>
        <w:szCs w:val="16"/>
      </w:rPr>
      <w:tab/>
    </w:r>
    <w:r>
      <w:rPr>
        <w:szCs w:val="16"/>
      </w:rPr>
      <w:t>First half of 2021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EFAFAF" w14:textId="61FA823E" w:rsidR="00160E8B" w:rsidRPr="00932443" w:rsidRDefault="00160E8B" w:rsidP="00FA6CB6">
    <w:pPr>
      <w:pStyle w:val="Zpat"/>
      <w:rPr>
        <w:szCs w:val="16"/>
      </w:rPr>
    </w:pPr>
    <w:r w:rsidRPr="00FA6CB6">
      <w:rPr>
        <w:szCs w:val="16"/>
      </w:rPr>
      <w:tab/>
    </w:r>
    <w:r>
      <w:rPr>
        <w:szCs w:val="16"/>
      </w:rPr>
      <w:t>First half of 2021</w:t>
    </w:r>
    <w:r>
      <w:rPr>
        <w:szCs w:val="16"/>
        <w:lang w:eastAsia="cs-CZ"/>
      </w:rPr>
      <w:drawing>
        <wp:anchor distT="0" distB="0" distL="114300" distR="114300" simplePos="0" relativeHeight="251658752" behindDoc="0" locked="0" layoutInCell="1" allowOverlap="1" wp14:anchorId="2DB053DA" wp14:editId="608D8B4A">
          <wp:simplePos x="0" y="0"/>
          <wp:positionH relativeFrom="column">
            <wp:align>left</wp:align>
          </wp:positionH>
          <wp:positionV relativeFrom="paragraph">
            <wp:posOffset>-122555</wp:posOffset>
          </wp:positionV>
          <wp:extent cx="510540" cy="272415"/>
          <wp:effectExtent l="0" t="0" r="0" b="6985"/>
          <wp:wrapNone/>
          <wp:docPr id="24" name="Picture 16" descr="CSU RGB CZ logo-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SU RGB CZ logo-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272415"/>
                  </a:xfrm>
                  <a:prstGeom prst="rect">
                    <a:avLst/>
                  </a:prstGeom>
                  <a:noFill/>
                  <a:ln>
                    <a:noFill/>
                  </a:ln>
                </pic:spPr>
              </pic:pic>
            </a:graphicData>
          </a:graphic>
        </wp:anchor>
      </w:drawing>
    </w:r>
    <w:r w:rsidRPr="00932443">
      <w:rPr>
        <w:szCs w:val="16"/>
      </w:rPr>
      <w:tab/>
    </w:r>
    <w:r w:rsidRPr="00932443">
      <w:rPr>
        <w:rStyle w:val="ZpatChar"/>
        <w:szCs w:val="16"/>
      </w:rPr>
      <w:fldChar w:fldCharType="begin"/>
    </w:r>
    <w:r w:rsidRPr="00932443">
      <w:rPr>
        <w:rStyle w:val="ZpatChar"/>
        <w:szCs w:val="16"/>
      </w:rPr>
      <w:instrText>PAGE   \* MERGEFORMAT</w:instrText>
    </w:r>
    <w:r w:rsidRPr="00932443">
      <w:rPr>
        <w:rStyle w:val="ZpatChar"/>
        <w:szCs w:val="16"/>
      </w:rPr>
      <w:fldChar w:fldCharType="separate"/>
    </w:r>
    <w:r w:rsidR="00954EF5">
      <w:rPr>
        <w:rStyle w:val="ZpatChar"/>
        <w:szCs w:val="16"/>
      </w:rPr>
      <w:t>17</w:t>
    </w:r>
    <w:r w:rsidRPr="00932443">
      <w:rPr>
        <w:rStyle w:val="ZpatChar"/>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644FBD" w14:textId="77777777" w:rsidR="00A35A0F" w:rsidRDefault="00A35A0F" w:rsidP="00A21B4D">
      <w:pPr>
        <w:spacing w:after="0"/>
      </w:pPr>
      <w:r>
        <w:separator/>
      </w:r>
    </w:p>
  </w:footnote>
  <w:footnote w:type="continuationSeparator" w:id="0">
    <w:p w14:paraId="5D612FC6" w14:textId="77777777" w:rsidR="00A35A0F" w:rsidRDefault="00A35A0F" w:rsidP="00E71A58">
      <w:r>
        <w:continuationSeparator/>
      </w:r>
    </w:p>
  </w:footnote>
  <w:footnote w:id="1">
    <w:p w14:paraId="15E2DE04" w14:textId="77777777" w:rsidR="009732DF" w:rsidRPr="00E55F64" w:rsidRDefault="009732DF" w:rsidP="009732DF">
      <w:pPr>
        <w:pStyle w:val="Textpoznpodarou"/>
        <w:jc w:val="both"/>
        <w:rPr>
          <w:rFonts w:cs="Arial"/>
          <w:color w:val="0D0D0D" w:themeColor="text1" w:themeTint="F2"/>
          <w:spacing w:val="-2"/>
          <w:sz w:val="16"/>
          <w:szCs w:val="16"/>
          <w:lang w:val="en-GB"/>
        </w:rPr>
      </w:pPr>
      <w:r w:rsidRPr="00FB58F4">
        <w:rPr>
          <w:rStyle w:val="Znakapoznpodarou"/>
          <w:rFonts w:cs="Arial"/>
          <w:color w:val="0D0D0D" w:themeColor="text1" w:themeTint="F2"/>
          <w:spacing w:val="-2"/>
          <w:sz w:val="16"/>
          <w:szCs w:val="16"/>
        </w:rPr>
        <w:footnoteRef/>
      </w:r>
      <w:r w:rsidRPr="00FB58F4">
        <w:rPr>
          <w:rFonts w:cs="Arial"/>
          <w:color w:val="0D0D0D" w:themeColor="text1" w:themeTint="F2"/>
          <w:spacing w:val="-2"/>
          <w:sz w:val="16"/>
          <w:szCs w:val="16"/>
        </w:rPr>
        <w:t xml:space="preserve"> </w:t>
      </w:r>
      <w:r w:rsidRPr="00E55F64">
        <w:rPr>
          <w:rFonts w:cs="Arial"/>
          <w:color w:val="0D0D0D" w:themeColor="text1" w:themeTint="F2"/>
          <w:spacing w:val="-2"/>
          <w:sz w:val="16"/>
          <w:szCs w:val="16"/>
          <w:lang w:val="en-GB"/>
        </w:rPr>
        <w:t xml:space="preserve">Data regarding the GVA are expressed in constant prices and adjusted for seasonal and calendar effects. </w:t>
      </w:r>
    </w:p>
  </w:footnote>
  <w:footnote w:id="2">
    <w:p w14:paraId="3B6BF22E" w14:textId="77777777" w:rsidR="009732DF" w:rsidRPr="00E55F64" w:rsidRDefault="009732DF" w:rsidP="009732DF">
      <w:pPr>
        <w:pStyle w:val="Textpoznpodarou"/>
        <w:jc w:val="both"/>
        <w:rPr>
          <w:sz w:val="16"/>
          <w:szCs w:val="16"/>
          <w:lang w:val="en-GB"/>
        </w:rPr>
      </w:pPr>
      <w:r w:rsidRPr="00E55F64">
        <w:rPr>
          <w:rStyle w:val="Znakapoznpodarou"/>
          <w:sz w:val="16"/>
          <w:szCs w:val="16"/>
          <w:lang w:val="en-GB"/>
        </w:rPr>
        <w:footnoteRef/>
      </w:r>
      <w:r w:rsidRPr="00E55F64">
        <w:rPr>
          <w:sz w:val="16"/>
          <w:szCs w:val="16"/>
          <w:lang w:val="en-GB"/>
        </w:rPr>
        <w:t xml:space="preserve"> It was also analogically valid for the EU (–2.2%), including all their most significant economies. On the contrary, the Baltic states, majority of the Nordic states, but also e.g. Poland, Hungary, Slovenia or Romania – i.e. states, where the services tied to tourism play a relativel</w:t>
      </w:r>
      <w:r>
        <w:rPr>
          <w:sz w:val="16"/>
          <w:szCs w:val="16"/>
          <w:lang w:val="en-GB"/>
        </w:rPr>
        <w:t>y</w:t>
      </w:r>
      <w:r w:rsidRPr="00E55F64">
        <w:rPr>
          <w:sz w:val="16"/>
          <w:szCs w:val="16"/>
          <w:lang w:val="en-GB"/>
        </w:rPr>
        <w:t xml:space="preserve"> smaller roles in their economies, overcame their pre-crisis maximum from the view of the GVA during this year so far.</w:t>
      </w:r>
    </w:p>
  </w:footnote>
  <w:footnote w:id="3">
    <w:p w14:paraId="3736A76D" w14:textId="77777777" w:rsidR="009732DF" w:rsidRPr="00E55F64" w:rsidRDefault="009732DF" w:rsidP="009732DF">
      <w:pPr>
        <w:pStyle w:val="Textpoznpodarou"/>
        <w:jc w:val="both"/>
        <w:rPr>
          <w:sz w:val="16"/>
          <w:szCs w:val="16"/>
          <w:lang w:val="en-GB"/>
        </w:rPr>
      </w:pPr>
      <w:r w:rsidRPr="00E55F64">
        <w:rPr>
          <w:rStyle w:val="Znakapoznpodarou"/>
          <w:sz w:val="16"/>
          <w:szCs w:val="16"/>
          <w:lang w:val="en-GB"/>
        </w:rPr>
        <w:footnoteRef/>
      </w:r>
      <w:r w:rsidRPr="00E55F64">
        <w:rPr>
          <w:sz w:val="16"/>
          <w:szCs w:val="16"/>
          <w:lang w:val="en-GB"/>
        </w:rPr>
        <w:t xml:space="preserve"> Less growing branches created just under 30% of the national economy GVA in H1 2021.</w:t>
      </w:r>
    </w:p>
  </w:footnote>
  <w:footnote w:id="4">
    <w:p w14:paraId="46C1DCD6" w14:textId="77777777" w:rsidR="009732DF" w:rsidRPr="00E55F64" w:rsidRDefault="009732DF" w:rsidP="009732DF">
      <w:pPr>
        <w:pStyle w:val="Textpoznpodarou"/>
        <w:jc w:val="both"/>
        <w:rPr>
          <w:sz w:val="16"/>
          <w:szCs w:val="16"/>
          <w:lang w:val="en-GB"/>
        </w:rPr>
      </w:pPr>
      <w:r w:rsidRPr="00E55F64">
        <w:rPr>
          <w:rStyle w:val="Znakapoznpodarou"/>
          <w:sz w:val="16"/>
          <w:szCs w:val="16"/>
          <w:lang w:val="en-GB"/>
        </w:rPr>
        <w:footnoteRef/>
      </w:r>
      <w:r w:rsidRPr="00E55F64">
        <w:rPr>
          <w:sz w:val="16"/>
          <w:szCs w:val="16"/>
          <w:lang w:val="en-GB"/>
        </w:rPr>
        <w:t xml:space="preserve"> </w:t>
      </w:r>
      <w:r w:rsidRPr="00E55F64">
        <w:rPr>
          <w:rFonts w:cs="Arial"/>
          <w:color w:val="0D0D0D" w:themeColor="text1" w:themeTint="F2"/>
          <w:spacing w:val="-2"/>
          <w:sz w:val="16"/>
          <w:szCs w:val="16"/>
          <w:lang w:val="en-GB"/>
        </w:rPr>
        <w:t>Contain p</w:t>
      </w:r>
      <w:r w:rsidRPr="00E55F64">
        <w:rPr>
          <w:sz w:val="16"/>
          <w:szCs w:val="16"/>
          <w:lang w:val="en-GB"/>
        </w:rPr>
        <w:t>ublic administration, education, health and social work.</w:t>
      </w:r>
    </w:p>
  </w:footnote>
  <w:footnote w:id="5">
    <w:p w14:paraId="1641C839" w14:textId="77777777" w:rsidR="009732DF" w:rsidRPr="00E55F64" w:rsidRDefault="009732DF" w:rsidP="009732DF">
      <w:pPr>
        <w:pStyle w:val="Textpoznpodarou"/>
        <w:jc w:val="both"/>
        <w:rPr>
          <w:lang w:val="en-GB"/>
        </w:rPr>
      </w:pPr>
      <w:r w:rsidRPr="00E55F64">
        <w:rPr>
          <w:rStyle w:val="Znakapoznpodarou"/>
          <w:sz w:val="16"/>
          <w:szCs w:val="16"/>
          <w:lang w:val="en-GB"/>
        </w:rPr>
        <w:footnoteRef/>
      </w:r>
      <w:r w:rsidRPr="00E55F64">
        <w:rPr>
          <w:sz w:val="16"/>
          <w:szCs w:val="16"/>
          <w:lang w:val="en-GB"/>
        </w:rPr>
        <w:t xml:space="preserve"> Data are derived from the national accounts and are adjusted for seasonal and calendar effects. </w:t>
      </w:r>
    </w:p>
  </w:footnote>
  <w:footnote w:id="6">
    <w:p w14:paraId="74AAFB4F" w14:textId="77777777" w:rsidR="009732DF" w:rsidRPr="00E55F64" w:rsidRDefault="009732DF" w:rsidP="009732DF">
      <w:pPr>
        <w:pStyle w:val="Textpoznpodarou"/>
        <w:jc w:val="both"/>
        <w:rPr>
          <w:lang w:val="en-GB"/>
        </w:rPr>
      </w:pPr>
      <w:r w:rsidRPr="00E55F64">
        <w:rPr>
          <w:rStyle w:val="Znakapoznpodarou"/>
          <w:sz w:val="16"/>
          <w:szCs w:val="16"/>
          <w:lang w:val="en-GB"/>
        </w:rPr>
        <w:footnoteRef/>
      </w:r>
      <w:r w:rsidRPr="00E55F64">
        <w:rPr>
          <w:sz w:val="16"/>
          <w:szCs w:val="16"/>
          <w:lang w:val="en-GB"/>
        </w:rPr>
        <w:t xml:space="preserve"> </w:t>
      </w:r>
      <w:r w:rsidRPr="00E55F64">
        <w:rPr>
          <w:rFonts w:cs="Arial"/>
          <w:color w:val="0D0D0D" w:themeColor="text1" w:themeTint="F2"/>
          <w:spacing w:val="-2"/>
          <w:sz w:val="16"/>
          <w:szCs w:val="16"/>
          <w:lang w:val="en-GB"/>
        </w:rPr>
        <w:t>Include cultural, amusement and recreation activities and further especially provision of personal services (e.g. hairdressing, beauty treatment, cleaning services or repairs of products and equipment for personal need and predominantly for households).</w:t>
      </w:r>
    </w:p>
  </w:footnote>
  <w:footnote w:id="7">
    <w:p w14:paraId="5E780646" w14:textId="77777777" w:rsidR="009732DF" w:rsidRPr="00E55F64" w:rsidRDefault="009732DF" w:rsidP="009732DF">
      <w:pPr>
        <w:pStyle w:val="Textpoznpodarou"/>
        <w:jc w:val="both"/>
        <w:rPr>
          <w:rFonts w:cs="Arial"/>
          <w:color w:val="0D0D0D" w:themeColor="text1" w:themeTint="F2"/>
          <w:spacing w:val="-2"/>
          <w:sz w:val="16"/>
          <w:szCs w:val="16"/>
          <w:lang w:val="en-GB"/>
        </w:rPr>
      </w:pPr>
      <w:r w:rsidRPr="00E55F64">
        <w:rPr>
          <w:rStyle w:val="Znakapoznpodarou"/>
          <w:rFonts w:cs="Arial"/>
          <w:color w:val="0D0D0D" w:themeColor="text1" w:themeTint="F2"/>
          <w:spacing w:val="-2"/>
          <w:sz w:val="16"/>
          <w:szCs w:val="16"/>
          <w:lang w:val="en-GB"/>
        </w:rPr>
        <w:footnoteRef/>
      </w:r>
      <w:r w:rsidRPr="00E55F64">
        <w:rPr>
          <w:rFonts w:cs="Arial"/>
          <w:color w:val="0D0D0D" w:themeColor="text1" w:themeTint="F2"/>
          <w:spacing w:val="-2"/>
          <w:sz w:val="16"/>
          <w:szCs w:val="16"/>
          <w:lang w:val="en-GB"/>
        </w:rPr>
        <w:t xml:space="preserve"> Includes branches of mining and quarrying, manufacturing and also energetics (here as activities of production and distribution of electricity, gas, heat and air conditioning supply). All year-on-year rates of growth of output (at the level of branch sections as well as divisions) are adjusted for calendar effects, both quarter-on-quarter and month-on-month rates then also for seasonal effects. </w:t>
      </w:r>
    </w:p>
  </w:footnote>
  <w:footnote w:id="8">
    <w:p w14:paraId="3D959FF2" w14:textId="77777777" w:rsidR="009732DF" w:rsidRPr="00E55F64" w:rsidRDefault="009732DF" w:rsidP="009732DF">
      <w:pPr>
        <w:pStyle w:val="Textpoznpodarou"/>
        <w:jc w:val="both"/>
        <w:rPr>
          <w:sz w:val="16"/>
          <w:szCs w:val="16"/>
          <w:lang w:val="en-GB"/>
        </w:rPr>
      </w:pPr>
      <w:r w:rsidRPr="00E55F64">
        <w:rPr>
          <w:rStyle w:val="Znakapoznpodarou"/>
          <w:sz w:val="16"/>
          <w:szCs w:val="16"/>
          <w:lang w:val="en-GB"/>
        </w:rPr>
        <w:footnoteRef/>
      </w:r>
      <w:r w:rsidRPr="00E55F64">
        <w:rPr>
          <w:sz w:val="16"/>
          <w:szCs w:val="16"/>
          <w:lang w:val="en-GB"/>
        </w:rPr>
        <w:t xml:space="preserve"> 30.8% of the total domestic export of the industrial goods headed into Germany in Q2, exactly 80% then into the EU.</w:t>
      </w:r>
    </w:p>
  </w:footnote>
  <w:footnote w:id="9">
    <w:p w14:paraId="3025CBB3" w14:textId="77777777" w:rsidR="009732DF" w:rsidRPr="00FB0AC3" w:rsidRDefault="009732DF" w:rsidP="009732DF">
      <w:pPr>
        <w:pStyle w:val="Textpoznpodarou"/>
        <w:jc w:val="both"/>
        <w:rPr>
          <w:sz w:val="16"/>
          <w:szCs w:val="16"/>
          <w:lang w:val="en-GB"/>
        </w:rPr>
      </w:pPr>
      <w:r w:rsidRPr="00C46BC0">
        <w:rPr>
          <w:rStyle w:val="Znakapoznpodarou"/>
          <w:sz w:val="16"/>
          <w:szCs w:val="16"/>
        </w:rPr>
        <w:footnoteRef/>
      </w:r>
      <w:r w:rsidRPr="00C46BC0">
        <w:rPr>
          <w:sz w:val="16"/>
          <w:szCs w:val="16"/>
        </w:rPr>
        <w:t xml:space="preserve"> </w:t>
      </w:r>
      <w:r w:rsidRPr="00FB0AC3">
        <w:rPr>
          <w:sz w:val="16"/>
          <w:szCs w:val="16"/>
          <w:lang w:val="en-GB"/>
        </w:rPr>
        <w:t xml:space="preserve">The output increased by 54% in the whole industry </w:t>
      </w:r>
      <w:r>
        <w:rPr>
          <w:sz w:val="16"/>
          <w:szCs w:val="16"/>
          <w:lang w:val="en-GB"/>
        </w:rPr>
        <w:t>y</w:t>
      </w:r>
      <w:r w:rsidRPr="00FB0AC3">
        <w:rPr>
          <w:sz w:val="16"/>
          <w:szCs w:val="16"/>
          <w:lang w:val="en-GB"/>
        </w:rPr>
        <w:t>ear-on-year in this year’s April itself, in that by 445% in the manufacture of motor vehicles.</w:t>
      </w:r>
    </w:p>
  </w:footnote>
  <w:footnote w:id="10">
    <w:p w14:paraId="35046220" w14:textId="77777777" w:rsidR="009732DF" w:rsidRPr="00FB0AC3" w:rsidRDefault="009732DF" w:rsidP="009732DF">
      <w:pPr>
        <w:pStyle w:val="Textpoznpodarou"/>
        <w:jc w:val="both"/>
        <w:rPr>
          <w:sz w:val="16"/>
          <w:szCs w:val="16"/>
          <w:lang w:val="en-GB"/>
        </w:rPr>
      </w:pPr>
      <w:r w:rsidRPr="00FB0AC3">
        <w:rPr>
          <w:rStyle w:val="Znakapoznpodarou"/>
          <w:spacing w:val="-2"/>
          <w:sz w:val="16"/>
          <w:szCs w:val="16"/>
          <w:lang w:val="en-GB"/>
        </w:rPr>
        <w:footnoteRef/>
      </w:r>
      <w:r w:rsidRPr="00FB0AC3">
        <w:rPr>
          <w:spacing w:val="-2"/>
          <w:sz w:val="16"/>
          <w:szCs w:val="16"/>
          <w:lang w:val="en-GB"/>
        </w:rPr>
        <w:t xml:space="preserve"> It was situated due to the cyclical downturn</w:t>
      </w:r>
      <w:r>
        <w:rPr>
          <w:spacing w:val="-2"/>
          <w:sz w:val="16"/>
          <w:szCs w:val="16"/>
          <w:lang w:val="en-GB"/>
        </w:rPr>
        <w:t>,</w:t>
      </w:r>
      <w:r w:rsidRPr="00FB0AC3">
        <w:rPr>
          <w:spacing w:val="-2"/>
          <w:sz w:val="16"/>
          <w:szCs w:val="16"/>
          <w:lang w:val="en-GB"/>
        </w:rPr>
        <w:t xml:space="preserve"> which the domestic industry experienced already in the second half of the year before the last in May 2019. The output was by 4.0% lower compared to this level in June 2021. Since the favourable industry development also continued this year in July, this distance already shrank to only 2.0%.</w:t>
      </w:r>
    </w:p>
  </w:footnote>
  <w:footnote w:id="11">
    <w:p w14:paraId="04354623" w14:textId="77777777" w:rsidR="009732DF" w:rsidRPr="00FB0AC3" w:rsidRDefault="009732DF" w:rsidP="009732DF">
      <w:pPr>
        <w:pStyle w:val="Textpoznpodarou"/>
        <w:jc w:val="both"/>
        <w:rPr>
          <w:sz w:val="16"/>
          <w:szCs w:val="16"/>
          <w:lang w:val="en-GB"/>
        </w:rPr>
      </w:pPr>
      <w:r w:rsidRPr="00FB0AC3">
        <w:rPr>
          <w:rStyle w:val="Znakapoznpodarou"/>
          <w:sz w:val="16"/>
          <w:szCs w:val="16"/>
          <w:lang w:val="en-GB"/>
        </w:rPr>
        <w:footnoteRef/>
      </w:r>
      <w:r w:rsidRPr="00FB0AC3">
        <w:rPr>
          <w:sz w:val="16"/>
          <w:szCs w:val="16"/>
          <w:lang w:val="en-GB"/>
        </w:rPr>
        <w:t xml:space="preserve"> At the same time, the decrease compared to the very strong finish of year 2020 already occurred in the preceding quarter. </w:t>
      </w:r>
    </w:p>
  </w:footnote>
  <w:footnote w:id="12">
    <w:p w14:paraId="0AD05E65" w14:textId="77777777" w:rsidR="009732DF" w:rsidRPr="00FB0AC3" w:rsidRDefault="009732DF" w:rsidP="009732DF">
      <w:pPr>
        <w:pStyle w:val="Textpoznpodarou"/>
        <w:jc w:val="both"/>
        <w:rPr>
          <w:sz w:val="16"/>
          <w:szCs w:val="16"/>
          <w:lang w:val="en-GB"/>
        </w:rPr>
      </w:pPr>
      <w:r w:rsidRPr="00FB0AC3">
        <w:rPr>
          <w:rStyle w:val="Znakapoznpodarou"/>
          <w:sz w:val="16"/>
          <w:szCs w:val="16"/>
          <w:lang w:val="en-GB"/>
        </w:rPr>
        <w:footnoteRef/>
      </w:r>
      <w:r w:rsidRPr="00FB0AC3">
        <w:rPr>
          <w:sz w:val="16"/>
          <w:szCs w:val="16"/>
          <w:lang w:val="en-GB"/>
        </w:rPr>
        <w:t xml:space="preserve"> The production plunged by one sixth for the whole year 2020, i.e. the most in the comparative time series since year 2000.</w:t>
      </w:r>
    </w:p>
  </w:footnote>
  <w:footnote w:id="13">
    <w:p w14:paraId="76C20C93" w14:textId="77777777" w:rsidR="009732DF" w:rsidRPr="00FB0AC3" w:rsidRDefault="009732DF" w:rsidP="009732DF">
      <w:pPr>
        <w:pStyle w:val="Textpoznpodarou"/>
        <w:jc w:val="both"/>
        <w:rPr>
          <w:sz w:val="16"/>
          <w:szCs w:val="16"/>
          <w:lang w:val="en-GB"/>
        </w:rPr>
      </w:pPr>
      <w:r w:rsidRPr="00FB0AC3">
        <w:rPr>
          <w:rStyle w:val="Znakapoznpodarou"/>
          <w:sz w:val="16"/>
          <w:szCs w:val="16"/>
          <w:lang w:val="en-GB"/>
        </w:rPr>
        <w:footnoteRef/>
      </w:r>
      <w:r w:rsidRPr="00FB0AC3">
        <w:rPr>
          <w:sz w:val="16"/>
          <w:szCs w:val="16"/>
          <w:lang w:val="en-GB"/>
        </w:rPr>
        <w:t xml:space="preserve"> Includes diverse spectrum of activities</w:t>
      </w:r>
      <w:r w:rsidRPr="00FB0AC3">
        <w:rPr>
          <w:color w:val="000000" w:themeColor="text1"/>
          <w:spacing w:val="-4"/>
          <w:sz w:val="16"/>
          <w:szCs w:val="16"/>
          <w:lang w:val="en-GB"/>
        </w:rPr>
        <w:t xml:space="preserve"> – manufacture of medical and sports goods, games and toys, musical instruments as well as bijouterie. </w:t>
      </w:r>
    </w:p>
  </w:footnote>
  <w:footnote w:id="14">
    <w:p w14:paraId="0D6952F9" w14:textId="77777777" w:rsidR="009732DF" w:rsidRPr="007923CE" w:rsidRDefault="009732DF" w:rsidP="009732DF">
      <w:pPr>
        <w:pStyle w:val="Textpoznpodarou"/>
        <w:jc w:val="both"/>
        <w:rPr>
          <w:sz w:val="16"/>
          <w:szCs w:val="16"/>
          <w:lang w:val="en-GB"/>
        </w:rPr>
      </w:pPr>
      <w:r w:rsidRPr="004670E0">
        <w:rPr>
          <w:rStyle w:val="Znakapoznpodarou"/>
          <w:sz w:val="16"/>
          <w:szCs w:val="16"/>
        </w:rPr>
        <w:footnoteRef/>
      </w:r>
      <w:r>
        <w:rPr>
          <w:sz w:val="16"/>
          <w:szCs w:val="16"/>
        </w:rPr>
        <w:t xml:space="preserve"> </w:t>
      </w:r>
      <w:r w:rsidRPr="007923CE">
        <w:rPr>
          <w:sz w:val="16"/>
          <w:szCs w:val="16"/>
          <w:lang w:val="en-GB"/>
        </w:rPr>
        <w:t xml:space="preserve">Year-on-year rates of growth of sales are adjusted for calendar effects, quarter-on-quarter rates then also for seasonal effects. </w:t>
      </w:r>
    </w:p>
  </w:footnote>
  <w:footnote w:id="15">
    <w:p w14:paraId="1CA0DFC5" w14:textId="77777777" w:rsidR="009732DF" w:rsidRPr="007923CE" w:rsidRDefault="009732DF" w:rsidP="009732DF">
      <w:pPr>
        <w:pStyle w:val="Textpoznpodarou"/>
        <w:jc w:val="both"/>
        <w:rPr>
          <w:sz w:val="16"/>
          <w:szCs w:val="16"/>
          <w:lang w:val="en-GB"/>
        </w:rPr>
      </w:pPr>
      <w:r w:rsidRPr="007923CE">
        <w:rPr>
          <w:rStyle w:val="Znakapoznpodarou"/>
          <w:sz w:val="16"/>
          <w:szCs w:val="16"/>
          <w:lang w:val="en-GB"/>
        </w:rPr>
        <w:footnoteRef/>
      </w:r>
      <w:r w:rsidRPr="007923CE">
        <w:rPr>
          <w:sz w:val="16"/>
          <w:szCs w:val="16"/>
          <w:lang w:val="en-GB"/>
        </w:rPr>
        <w:t xml:space="preserve"> </w:t>
      </w:r>
      <w:r>
        <w:rPr>
          <w:sz w:val="16"/>
          <w:szCs w:val="16"/>
          <w:lang w:val="en-GB"/>
        </w:rPr>
        <w:t xml:space="preserve">It was however partially affected by less favourable development of the foreign demand in the period of the cyclical downturn of the European economy at the turn of years </w:t>
      </w:r>
      <w:r w:rsidRPr="007923CE">
        <w:rPr>
          <w:sz w:val="16"/>
          <w:szCs w:val="16"/>
          <w:lang w:val="en-GB"/>
        </w:rPr>
        <w:t>2019 a</w:t>
      </w:r>
      <w:r>
        <w:rPr>
          <w:sz w:val="16"/>
          <w:szCs w:val="16"/>
          <w:lang w:val="en-GB"/>
        </w:rPr>
        <w:t>nd</w:t>
      </w:r>
      <w:r w:rsidRPr="007923CE">
        <w:rPr>
          <w:sz w:val="16"/>
          <w:szCs w:val="16"/>
          <w:lang w:val="en-GB"/>
        </w:rPr>
        <w:t> 2020 a</w:t>
      </w:r>
      <w:r>
        <w:rPr>
          <w:sz w:val="16"/>
          <w:szCs w:val="16"/>
          <w:lang w:val="en-GB"/>
        </w:rPr>
        <w:t xml:space="preserve">nd also during the first pandemic wave. In the two year comparison </w:t>
      </w:r>
      <w:r w:rsidRPr="007923CE">
        <w:rPr>
          <w:sz w:val="16"/>
          <w:szCs w:val="16"/>
          <w:lang w:val="en-GB"/>
        </w:rPr>
        <w:t>(</w:t>
      </w:r>
      <w:r>
        <w:rPr>
          <w:sz w:val="16"/>
          <w:szCs w:val="16"/>
          <w:lang w:val="en-GB"/>
        </w:rPr>
        <w:t>with Q</w:t>
      </w:r>
      <w:r w:rsidRPr="007923CE">
        <w:rPr>
          <w:sz w:val="16"/>
          <w:szCs w:val="16"/>
          <w:lang w:val="en-GB"/>
        </w:rPr>
        <w:t>2</w:t>
      </w:r>
      <w:r>
        <w:rPr>
          <w:sz w:val="16"/>
          <w:szCs w:val="16"/>
          <w:lang w:val="en-GB"/>
        </w:rPr>
        <w:t xml:space="preserve"> </w:t>
      </w:r>
      <w:r w:rsidRPr="007923CE">
        <w:rPr>
          <w:sz w:val="16"/>
          <w:szCs w:val="16"/>
          <w:lang w:val="en-GB"/>
        </w:rPr>
        <w:t>2019)</w:t>
      </w:r>
      <w:r>
        <w:rPr>
          <w:sz w:val="16"/>
          <w:szCs w:val="16"/>
          <w:lang w:val="en-GB"/>
        </w:rPr>
        <w:t xml:space="preserve">, the sales from direct export increased by </w:t>
      </w:r>
      <w:r w:rsidRPr="007923CE">
        <w:rPr>
          <w:sz w:val="16"/>
          <w:szCs w:val="16"/>
          <w:lang w:val="en-GB"/>
        </w:rPr>
        <w:t>2</w:t>
      </w:r>
      <w:r>
        <w:rPr>
          <w:sz w:val="16"/>
          <w:szCs w:val="16"/>
          <w:lang w:val="en-GB"/>
        </w:rPr>
        <w:t>.</w:t>
      </w:r>
      <w:r w:rsidRPr="007923CE">
        <w:rPr>
          <w:sz w:val="16"/>
          <w:szCs w:val="16"/>
          <w:lang w:val="en-GB"/>
        </w:rPr>
        <w:t>6%</w:t>
      </w:r>
      <w:r>
        <w:rPr>
          <w:sz w:val="16"/>
          <w:szCs w:val="16"/>
          <w:lang w:val="en-GB"/>
        </w:rPr>
        <w:t xml:space="preserve"> in the domestic industry</w:t>
      </w:r>
      <w:r w:rsidRPr="007923CE">
        <w:rPr>
          <w:sz w:val="16"/>
          <w:szCs w:val="16"/>
          <w:lang w:val="en-GB"/>
        </w:rPr>
        <w:t>, dom</w:t>
      </w:r>
      <w:r>
        <w:rPr>
          <w:sz w:val="16"/>
          <w:szCs w:val="16"/>
          <w:lang w:val="en-GB"/>
        </w:rPr>
        <w:t xml:space="preserve">estic sales then by </w:t>
      </w:r>
      <w:r w:rsidRPr="007923CE">
        <w:rPr>
          <w:sz w:val="16"/>
          <w:szCs w:val="16"/>
          <w:lang w:val="en-GB"/>
        </w:rPr>
        <w:t>1</w:t>
      </w:r>
      <w:r>
        <w:rPr>
          <w:sz w:val="16"/>
          <w:szCs w:val="16"/>
          <w:lang w:val="en-GB"/>
        </w:rPr>
        <w:t>.</w:t>
      </w:r>
      <w:r w:rsidRPr="007923CE">
        <w:rPr>
          <w:sz w:val="16"/>
          <w:szCs w:val="16"/>
          <w:lang w:val="en-GB"/>
        </w:rPr>
        <w:t>9%.</w:t>
      </w:r>
    </w:p>
  </w:footnote>
  <w:footnote w:id="16">
    <w:p w14:paraId="62B53CB7" w14:textId="77777777" w:rsidR="009732DF" w:rsidRPr="00B755F7" w:rsidRDefault="009732DF" w:rsidP="009732DF">
      <w:pPr>
        <w:pStyle w:val="Textpoznpodarou"/>
        <w:jc w:val="both"/>
        <w:rPr>
          <w:rFonts w:cs="Arial"/>
          <w:color w:val="0D0D0D" w:themeColor="text1" w:themeTint="F2"/>
          <w:spacing w:val="-2"/>
          <w:sz w:val="16"/>
          <w:szCs w:val="16"/>
          <w:lang w:val="en-GB"/>
        </w:rPr>
      </w:pPr>
      <w:r w:rsidRPr="007A20EB">
        <w:rPr>
          <w:rStyle w:val="Znakapoznpodarou"/>
          <w:rFonts w:cs="Arial"/>
          <w:color w:val="0D0D0D" w:themeColor="text1" w:themeTint="F2"/>
          <w:spacing w:val="-2"/>
          <w:sz w:val="16"/>
          <w:szCs w:val="16"/>
        </w:rPr>
        <w:footnoteRef/>
      </w:r>
      <w:r w:rsidRPr="007A20EB">
        <w:rPr>
          <w:rFonts w:cs="Arial"/>
          <w:color w:val="0D0D0D" w:themeColor="text1" w:themeTint="F2"/>
          <w:spacing w:val="-2"/>
          <w:sz w:val="16"/>
          <w:szCs w:val="16"/>
        </w:rPr>
        <w:t xml:space="preserve"> </w:t>
      </w:r>
      <w:r w:rsidRPr="00AE4E7F">
        <w:rPr>
          <w:rFonts w:cs="Arial"/>
          <w:color w:val="0D0D0D" w:themeColor="text1" w:themeTint="F2"/>
          <w:spacing w:val="-2"/>
          <w:sz w:val="16"/>
          <w:szCs w:val="16"/>
          <w:lang w:val="en-GB"/>
        </w:rPr>
        <w:t xml:space="preserve">Surveying of orders is ongoing only in </w:t>
      </w:r>
      <w:r>
        <w:rPr>
          <w:rFonts w:cs="Arial"/>
          <w:color w:val="0D0D0D" w:themeColor="text1" w:themeTint="F2"/>
          <w:spacing w:val="-2"/>
          <w:sz w:val="16"/>
          <w:szCs w:val="16"/>
          <w:lang w:val="en-GB"/>
        </w:rPr>
        <w:t>twelve manufacturing branches, w</w:t>
      </w:r>
      <w:r w:rsidRPr="00AE4E7F">
        <w:rPr>
          <w:rFonts w:cs="Arial"/>
          <w:color w:val="0D0D0D" w:themeColor="text1" w:themeTint="F2"/>
          <w:sz w:val="16"/>
          <w:szCs w:val="16"/>
          <w:lang w:val="en-GB"/>
        </w:rPr>
        <w:t>hich manufacture</w:t>
      </w:r>
      <w:r>
        <w:rPr>
          <w:rFonts w:cs="Arial"/>
          <w:color w:val="0D0D0D" w:themeColor="text1" w:themeTint="F2"/>
          <w:sz w:val="16"/>
          <w:szCs w:val="16"/>
          <w:lang w:val="en-GB"/>
        </w:rPr>
        <w:t xml:space="preserve"> mostly custom-made products, with longer </w:t>
      </w:r>
      <w:r w:rsidRPr="00B755F7">
        <w:rPr>
          <w:rFonts w:cs="Arial"/>
          <w:color w:val="0D0D0D" w:themeColor="text1" w:themeTint="F2"/>
          <w:sz w:val="16"/>
          <w:szCs w:val="16"/>
          <w:lang w:val="en-GB"/>
        </w:rPr>
        <w:t xml:space="preserve">production cycle and larger stocks of orders. Year-on-year rates of growth of orders are adjusted for calendar effects, quarter-on-quarter rates also for seasonal effects. </w:t>
      </w:r>
    </w:p>
  </w:footnote>
  <w:footnote w:id="17">
    <w:p w14:paraId="5DE72281" w14:textId="77777777" w:rsidR="009732DF" w:rsidRPr="00B755F7" w:rsidRDefault="009732DF" w:rsidP="009732DF">
      <w:pPr>
        <w:pStyle w:val="Textpoznpodarou"/>
        <w:jc w:val="both"/>
        <w:rPr>
          <w:sz w:val="16"/>
          <w:szCs w:val="16"/>
          <w:lang w:val="en-GB"/>
        </w:rPr>
      </w:pPr>
      <w:r w:rsidRPr="00B755F7">
        <w:rPr>
          <w:rStyle w:val="Znakapoznpodarou"/>
          <w:sz w:val="16"/>
          <w:szCs w:val="16"/>
          <w:lang w:val="en-GB"/>
        </w:rPr>
        <w:footnoteRef/>
      </w:r>
      <w:r w:rsidRPr="00B755F7">
        <w:rPr>
          <w:sz w:val="16"/>
          <w:szCs w:val="16"/>
          <w:lang w:val="en-GB"/>
        </w:rPr>
        <w:t xml:space="preserve"> They exceeded the value of orders from June 2019 by 15%, they also stayed in positive numbers in all preceding this year’s months. </w:t>
      </w:r>
    </w:p>
  </w:footnote>
  <w:footnote w:id="18">
    <w:p w14:paraId="07238988" w14:textId="77777777" w:rsidR="009732DF" w:rsidRPr="00B755F7" w:rsidRDefault="009732DF" w:rsidP="009732DF">
      <w:pPr>
        <w:pStyle w:val="Textpoznpodarou"/>
        <w:jc w:val="both"/>
        <w:rPr>
          <w:sz w:val="16"/>
          <w:szCs w:val="16"/>
          <w:lang w:val="en-GB"/>
        </w:rPr>
      </w:pPr>
      <w:r w:rsidRPr="00B755F7">
        <w:rPr>
          <w:rStyle w:val="Znakapoznpodarou"/>
          <w:sz w:val="16"/>
          <w:szCs w:val="16"/>
          <w:lang w:val="en-GB"/>
        </w:rPr>
        <w:footnoteRef/>
      </w:r>
      <w:r w:rsidRPr="00B755F7">
        <w:rPr>
          <w:sz w:val="16"/>
          <w:szCs w:val="16"/>
          <w:lang w:val="en-GB"/>
        </w:rPr>
        <w:t xml:space="preserve"> Even though this problem was the most obvious in the motor vehicle industry </w:t>
      </w:r>
      <w:r w:rsidRPr="00B755F7">
        <w:rPr>
          <w:spacing w:val="-4"/>
          <w:sz w:val="16"/>
          <w:szCs w:val="16"/>
          <w:lang w:val="en-GB"/>
        </w:rPr>
        <w:t xml:space="preserve">(96%) and associated fields of activity, it also did not evade metalworking industry, metallurgy, machinery, electrical engineering or </w:t>
      </w:r>
      <w:r>
        <w:rPr>
          <w:spacing w:val="-4"/>
          <w:sz w:val="16"/>
          <w:szCs w:val="16"/>
          <w:lang w:val="en-GB"/>
        </w:rPr>
        <w:t>t</w:t>
      </w:r>
      <w:r w:rsidRPr="00B755F7">
        <w:rPr>
          <w:spacing w:val="-4"/>
          <w:sz w:val="16"/>
          <w:szCs w:val="16"/>
          <w:lang w:val="en-GB"/>
        </w:rPr>
        <w:t xml:space="preserve">he chemical industry. </w:t>
      </w:r>
    </w:p>
  </w:footnote>
  <w:footnote w:id="19">
    <w:p w14:paraId="795FD1A3" w14:textId="77777777" w:rsidR="009732DF" w:rsidRPr="00B755F7" w:rsidRDefault="009732DF" w:rsidP="009732DF">
      <w:pPr>
        <w:pStyle w:val="Textpoznpodarou"/>
        <w:jc w:val="both"/>
        <w:rPr>
          <w:sz w:val="16"/>
          <w:szCs w:val="16"/>
          <w:lang w:val="en-GB"/>
        </w:rPr>
      </w:pPr>
      <w:r w:rsidRPr="00B755F7">
        <w:rPr>
          <w:rStyle w:val="Znakapoznpodarou"/>
          <w:sz w:val="16"/>
          <w:szCs w:val="16"/>
          <w:lang w:val="en-GB"/>
        </w:rPr>
        <w:footnoteRef/>
      </w:r>
      <w:r w:rsidRPr="00B755F7">
        <w:rPr>
          <w:sz w:val="16"/>
          <w:szCs w:val="16"/>
          <w:lang w:val="en-GB"/>
        </w:rPr>
        <w:t xml:space="preserve"> Businesses could have stated more barriers simultaneously. </w:t>
      </w:r>
    </w:p>
  </w:footnote>
  <w:footnote w:id="20">
    <w:p w14:paraId="6BFA52FF" w14:textId="77777777" w:rsidR="009732DF" w:rsidRPr="00B755F7" w:rsidRDefault="009732DF" w:rsidP="009732DF">
      <w:pPr>
        <w:pStyle w:val="Textpoznpodarou"/>
        <w:jc w:val="both"/>
        <w:rPr>
          <w:sz w:val="16"/>
          <w:szCs w:val="16"/>
          <w:lang w:val="en-GB"/>
        </w:rPr>
      </w:pPr>
      <w:r w:rsidRPr="00B755F7">
        <w:rPr>
          <w:rStyle w:val="Znakapoznpodarou"/>
          <w:sz w:val="16"/>
          <w:szCs w:val="16"/>
          <w:lang w:val="en-GB"/>
        </w:rPr>
        <w:footnoteRef/>
      </w:r>
      <w:r w:rsidRPr="00B755F7">
        <w:rPr>
          <w:sz w:val="16"/>
          <w:szCs w:val="16"/>
          <w:lang w:val="en-GB"/>
        </w:rPr>
        <w:t xml:space="preserve"> </w:t>
      </w:r>
      <w:r>
        <w:rPr>
          <w:sz w:val="16"/>
          <w:szCs w:val="16"/>
          <w:lang w:val="en-GB"/>
        </w:rPr>
        <w:t>The weak demand however still comprised the most significant limiting development factor in some mostly smaller fields of activity. It c</w:t>
      </w:r>
      <w:r w:rsidRPr="00B755F7">
        <w:rPr>
          <w:sz w:val="16"/>
          <w:szCs w:val="16"/>
          <w:lang w:val="en-GB"/>
        </w:rPr>
        <w:t>onsisted of manufacturing of wearing apparel (90%), manufacturing of beverages (79%), leatherworking industry (68%), textile and printing industry (similarly 57%), manufacturing of construction materials (53%), pharmaceutical industry (52%), manufacturing of computers, electronic and optical appliances (51%) and food industry (42%).</w:t>
      </w:r>
    </w:p>
  </w:footnote>
  <w:footnote w:id="21">
    <w:p w14:paraId="7D4EF958" w14:textId="77777777" w:rsidR="009732DF" w:rsidRPr="00B755F7" w:rsidRDefault="009732DF" w:rsidP="009732DF">
      <w:pPr>
        <w:pStyle w:val="Textpoznpodarou"/>
        <w:jc w:val="both"/>
        <w:rPr>
          <w:sz w:val="16"/>
          <w:szCs w:val="16"/>
          <w:lang w:val="en-GB"/>
        </w:rPr>
      </w:pPr>
      <w:r w:rsidRPr="00B755F7">
        <w:rPr>
          <w:rStyle w:val="Znakapoznpodarou"/>
          <w:sz w:val="16"/>
          <w:szCs w:val="16"/>
          <w:lang w:val="en-GB"/>
        </w:rPr>
        <w:footnoteRef/>
      </w:r>
      <w:r w:rsidRPr="00B755F7">
        <w:rPr>
          <w:sz w:val="16"/>
          <w:szCs w:val="16"/>
          <w:lang w:val="en-GB"/>
        </w:rPr>
        <w:t xml:space="preserve"> Specifically in rubber and plastic industry (64%), manufacturing of other transport equipment (61%), electrical engineering (53%), repair of machinery and equipment (47%), machinery and metalworking industry (similarly 40%), paper industry (31%) and other industry (30%).</w:t>
      </w:r>
    </w:p>
  </w:footnote>
  <w:footnote w:id="22">
    <w:p w14:paraId="59C096C9" w14:textId="77777777" w:rsidR="009732DF" w:rsidRPr="00886AFB" w:rsidRDefault="009732DF" w:rsidP="009732DF">
      <w:pPr>
        <w:pStyle w:val="Textpoznpodarou"/>
        <w:jc w:val="both"/>
        <w:rPr>
          <w:spacing w:val="-2"/>
          <w:sz w:val="16"/>
          <w:szCs w:val="16"/>
          <w:lang w:val="en-GB"/>
        </w:rPr>
      </w:pPr>
      <w:r w:rsidRPr="00886AFB">
        <w:rPr>
          <w:rStyle w:val="Znakapoznpodarou"/>
          <w:rFonts w:cs="Arial"/>
          <w:color w:val="0D0D0D" w:themeColor="text1" w:themeTint="F2"/>
          <w:spacing w:val="-2"/>
          <w:sz w:val="16"/>
          <w:szCs w:val="16"/>
          <w:lang w:val="en-GB"/>
        </w:rPr>
        <w:footnoteRef/>
      </w:r>
      <w:r w:rsidRPr="00886AFB">
        <w:rPr>
          <w:rFonts w:cs="Arial"/>
          <w:color w:val="0D0D0D" w:themeColor="text1" w:themeTint="F2"/>
          <w:spacing w:val="-2"/>
          <w:sz w:val="16"/>
          <w:szCs w:val="16"/>
          <w:lang w:val="en-GB"/>
        </w:rPr>
        <w:t xml:space="preserve"> Data regarding the construction production are in constant prices, year-on-year rates of growth are adjusted for calendar effects, quarter-on-quarter also for seasonal effects. </w:t>
      </w:r>
    </w:p>
  </w:footnote>
  <w:footnote w:id="23">
    <w:p w14:paraId="4C657390" w14:textId="77777777" w:rsidR="009732DF" w:rsidRPr="00886AFB" w:rsidRDefault="009732DF" w:rsidP="009732DF">
      <w:pPr>
        <w:pStyle w:val="Textpoznpodarou"/>
        <w:rPr>
          <w:sz w:val="16"/>
          <w:szCs w:val="16"/>
          <w:lang w:val="en-GB"/>
        </w:rPr>
      </w:pPr>
      <w:r w:rsidRPr="00886AFB">
        <w:rPr>
          <w:rStyle w:val="Znakapoznpodarou"/>
          <w:sz w:val="16"/>
          <w:szCs w:val="16"/>
          <w:lang w:val="en-GB"/>
        </w:rPr>
        <w:footnoteRef/>
      </w:r>
      <w:r w:rsidRPr="00886AFB">
        <w:rPr>
          <w:sz w:val="16"/>
          <w:szCs w:val="16"/>
          <w:lang w:val="en-GB"/>
        </w:rPr>
        <w:t xml:space="preserve"> Somewhat unsure this year’s development of construction is</w:t>
      </w:r>
      <w:r>
        <w:rPr>
          <w:sz w:val="16"/>
          <w:szCs w:val="16"/>
          <w:lang w:val="en-GB"/>
        </w:rPr>
        <w:t xml:space="preserve"> </w:t>
      </w:r>
      <w:r w:rsidRPr="00886AFB">
        <w:rPr>
          <w:sz w:val="16"/>
          <w:szCs w:val="16"/>
          <w:lang w:val="en-GB"/>
        </w:rPr>
        <w:t xml:space="preserve">also supported by fresh July data. Based on these data, the construction output dropped by 2.6% month-on-month (given lower performance in both its main segments). </w:t>
      </w:r>
      <w:r>
        <w:rPr>
          <w:sz w:val="16"/>
          <w:szCs w:val="16"/>
          <w:lang w:val="en-GB"/>
        </w:rPr>
        <w:t>Compared to lower last year basis the construction only stagnated and its output was lower by whole one tenth compared to Q</w:t>
      </w:r>
      <w:r w:rsidRPr="00886AFB">
        <w:rPr>
          <w:sz w:val="16"/>
          <w:szCs w:val="16"/>
          <w:lang w:val="en-GB"/>
        </w:rPr>
        <w:t>2</w:t>
      </w:r>
      <w:r>
        <w:rPr>
          <w:sz w:val="16"/>
          <w:szCs w:val="16"/>
          <w:lang w:val="en-GB"/>
        </w:rPr>
        <w:t xml:space="preserve"> </w:t>
      </w:r>
      <w:r w:rsidRPr="00886AFB">
        <w:rPr>
          <w:sz w:val="16"/>
          <w:szCs w:val="16"/>
          <w:lang w:val="en-GB"/>
        </w:rPr>
        <w:t>2019</w:t>
      </w:r>
      <w:r>
        <w:rPr>
          <w:sz w:val="16"/>
          <w:szCs w:val="16"/>
          <w:lang w:val="en-GB"/>
        </w:rPr>
        <w:t xml:space="preserve">. </w:t>
      </w:r>
    </w:p>
  </w:footnote>
  <w:footnote w:id="24">
    <w:p w14:paraId="6B0F2D48" w14:textId="77777777" w:rsidR="009732DF" w:rsidRPr="00C661B4" w:rsidRDefault="009732DF" w:rsidP="009732DF">
      <w:pPr>
        <w:spacing w:after="0" w:line="240" w:lineRule="auto"/>
        <w:rPr>
          <w:color w:val="0D0D0D" w:themeColor="text1" w:themeTint="F2"/>
          <w:sz w:val="16"/>
          <w:szCs w:val="16"/>
          <w:lang w:val="en-GB"/>
        </w:rPr>
      </w:pPr>
      <w:r w:rsidRPr="004A26AF">
        <w:rPr>
          <w:rStyle w:val="Znakapoznpodarou"/>
          <w:color w:val="0D0D0D" w:themeColor="text1" w:themeTint="F2"/>
          <w:sz w:val="16"/>
          <w:szCs w:val="16"/>
        </w:rPr>
        <w:footnoteRef/>
      </w:r>
      <w:r>
        <w:rPr>
          <w:color w:val="0D0D0D" w:themeColor="text1" w:themeTint="F2"/>
          <w:sz w:val="16"/>
          <w:szCs w:val="16"/>
        </w:rPr>
        <w:t xml:space="preserve"> </w:t>
      </w:r>
      <w:r w:rsidRPr="00C661B4">
        <w:rPr>
          <w:color w:val="0D0D0D" w:themeColor="text1" w:themeTint="F2"/>
          <w:sz w:val="16"/>
          <w:szCs w:val="16"/>
          <w:lang w:val="en-GB"/>
        </w:rPr>
        <w:t xml:space="preserve">Without branches trade, financial activities, insurance activities, science, research and public services. All </w:t>
      </w:r>
      <w:r>
        <w:rPr>
          <w:color w:val="0D0D0D" w:themeColor="text1" w:themeTint="F2"/>
          <w:sz w:val="16"/>
          <w:szCs w:val="16"/>
          <w:lang w:val="en-GB"/>
        </w:rPr>
        <w:t>d</w:t>
      </w:r>
      <w:r w:rsidRPr="00C661B4">
        <w:rPr>
          <w:color w:val="0D0D0D" w:themeColor="text1" w:themeTint="F2"/>
          <w:sz w:val="16"/>
          <w:szCs w:val="16"/>
          <w:lang w:val="en-GB"/>
        </w:rPr>
        <w:t>ata for services are in constant prices, year-on-year data are adjusted for calendar effects, quarter-on-quarter as well as month-on-month are adjusted for seasonal effects (including the effect of the number of working days).</w:t>
      </w:r>
    </w:p>
  </w:footnote>
  <w:footnote w:id="25">
    <w:p w14:paraId="4049186B" w14:textId="77777777" w:rsidR="009732DF" w:rsidRPr="00D30490" w:rsidRDefault="009732DF" w:rsidP="009732DF">
      <w:pPr>
        <w:spacing w:after="0" w:line="240" w:lineRule="auto"/>
        <w:rPr>
          <w:sz w:val="16"/>
          <w:szCs w:val="16"/>
          <w:lang w:val="en-GB"/>
        </w:rPr>
      </w:pPr>
      <w:r w:rsidRPr="00C02D23">
        <w:rPr>
          <w:rStyle w:val="Znakapoznpodarou"/>
          <w:sz w:val="16"/>
          <w:szCs w:val="16"/>
        </w:rPr>
        <w:footnoteRef/>
      </w:r>
      <w:r w:rsidRPr="00C02D23">
        <w:rPr>
          <w:sz w:val="16"/>
          <w:szCs w:val="16"/>
        </w:rPr>
        <w:t xml:space="preserve"> </w:t>
      </w:r>
      <w:r w:rsidRPr="00D30490">
        <w:rPr>
          <w:color w:val="0D0D0D" w:themeColor="text1" w:themeTint="F2"/>
          <w:spacing w:val="-3"/>
          <w:sz w:val="16"/>
          <w:szCs w:val="16"/>
          <w:lang w:val="en-GB"/>
        </w:rPr>
        <w:t>The number of overnight stays of domestic guests in mass accommodation facilities dived by 47% in the CR in the above given two year period, f</w:t>
      </w:r>
      <w:r w:rsidRPr="00D30490">
        <w:rPr>
          <w:rFonts w:eastAsia="Calibri"/>
          <w:sz w:val="16"/>
          <w:szCs w:val="16"/>
          <w:lang w:val="en-GB"/>
        </w:rPr>
        <w:t xml:space="preserve">or non-resident tourists even by 92%. </w:t>
      </w:r>
    </w:p>
  </w:footnote>
  <w:footnote w:id="26">
    <w:p w14:paraId="4F3AA50D" w14:textId="77777777" w:rsidR="009732DF" w:rsidRPr="00D30490" w:rsidRDefault="009732DF" w:rsidP="009732DF">
      <w:pPr>
        <w:pStyle w:val="Textpoznpodarou"/>
        <w:jc w:val="both"/>
        <w:rPr>
          <w:sz w:val="16"/>
          <w:szCs w:val="16"/>
          <w:lang w:val="en-GB"/>
        </w:rPr>
      </w:pPr>
      <w:r w:rsidRPr="00D30490">
        <w:rPr>
          <w:rStyle w:val="Znakapoznpodarou"/>
          <w:sz w:val="16"/>
          <w:szCs w:val="16"/>
          <w:lang w:val="en-GB"/>
        </w:rPr>
        <w:footnoteRef/>
      </w:r>
      <w:r w:rsidRPr="00D30490">
        <w:rPr>
          <w:sz w:val="16"/>
          <w:szCs w:val="16"/>
          <w:lang w:val="en-GB"/>
        </w:rPr>
        <w:t xml:space="preserve"> Data for this services section are not seasonally adjusted. </w:t>
      </w:r>
    </w:p>
  </w:footnote>
  <w:footnote w:id="27">
    <w:p w14:paraId="17DAB7F2" w14:textId="77777777" w:rsidR="009732DF" w:rsidRPr="00D30490" w:rsidRDefault="009732DF" w:rsidP="009732DF">
      <w:pPr>
        <w:pStyle w:val="Textpoznpodarou"/>
        <w:jc w:val="both"/>
        <w:rPr>
          <w:sz w:val="16"/>
          <w:szCs w:val="16"/>
          <w:lang w:val="en-GB"/>
        </w:rPr>
      </w:pPr>
      <w:r w:rsidRPr="00D30490">
        <w:rPr>
          <w:rStyle w:val="Znakapoznpodarou"/>
          <w:sz w:val="16"/>
          <w:szCs w:val="16"/>
          <w:lang w:val="en-GB"/>
        </w:rPr>
        <w:footnoteRef/>
      </w:r>
      <w:r w:rsidRPr="00D30490">
        <w:rPr>
          <w:sz w:val="16"/>
          <w:szCs w:val="16"/>
          <w:lang w:val="en-GB"/>
        </w:rPr>
        <w:t xml:space="preserve"> In this year’s H1, only 464 thousand visitors arrived into the domes</w:t>
      </w:r>
      <w:r>
        <w:rPr>
          <w:sz w:val="16"/>
          <w:szCs w:val="16"/>
          <w:lang w:val="en-GB"/>
        </w:rPr>
        <w:t>tic</w:t>
      </w:r>
      <w:r w:rsidRPr="00D30490">
        <w:rPr>
          <w:sz w:val="16"/>
          <w:szCs w:val="16"/>
          <w:lang w:val="en-GB"/>
        </w:rPr>
        <w:t xml:space="preserve"> cinemas (with the exception of June, the operations of cinemas were practically paralyzed), 3.8 mil the year before (cinemas were closed between the 13th March and 10th May), and in the first half of the record visitor turnout year 2019 even 8.8 mil persons. </w:t>
      </w:r>
    </w:p>
  </w:footnote>
  <w:footnote w:id="28">
    <w:p w14:paraId="3CCF78AF" w14:textId="77777777" w:rsidR="009732DF" w:rsidRPr="00E22F57" w:rsidRDefault="009732DF" w:rsidP="009732DF">
      <w:pPr>
        <w:pStyle w:val="Textpoznpodarou"/>
        <w:jc w:val="both"/>
        <w:rPr>
          <w:sz w:val="16"/>
          <w:szCs w:val="16"/>
          <w:lang w:val="en-GB"/>
        </w:rPr>
      </w:pPr>
      <w:r w:rsidRPr="00E22F57">
        <w:rPr>
          <w:rStyle w:val="Znakapoznpodarou"/>
          <w:sz w:val="16"/>
          <w:szCs w:val="16"/>
          <w:lang w:val="en-GB"/>
        </w:rPr>
        <w:footnoteRef/>
      </w:r>
      <w:r w:rsidRPr="00E22F57">
        <w:rPr>
          <w:sz w:val="16"/>
          <w:szCs w:val="16"/>
          <w:lang w:val="en-GB"/>
        </w:rPr>
        <w:t xml:space="preserve"> Next to the effect of loosening, the robust growth of the volume of paid out wages in the economy and related higher purchasing power of households </w:t>
      </w:r>
      <w:r w:rsidRPr="00E22F57">
        <w:rPr>
          <w:rFonts w:cs="Arial"/>
          <w:color w:val="0D0D0D" w:themeColor="text1" w:themeTint="F2"/>
          <w:spacing w:val="-4"/>
          <w:sz w:val="16"/>
          <w:szCs w:val="16"/>
          <w:lang w:val="en-GB"/>
        </w:rPr>
        <w:t xml:space="preserve">(also supported by lower taxes on earnings) </w:t>
      </w:r>
      <w:r w:rsidRPr="00E22F57">
        <w:rPr>
          <w:sz w:val="16"/>
          <w:szCs w:val="16"/>
          <w:lang w:val="en-GB"/>
        </w:rPr>
        <w:t xml:space="preserve">also </w:t>
      </w:r>
      <w:r>
        <w:rPr>
          <w:sz w:val="16"/>
          <w:szCs w:val="16"/>
          <w:lang w:val="en-GB"/>
        </w:rPr>
        <w:t>affected th</w:t>
      </w:r>
      <w:r w:rsidRPr="00E22F57">
        <w:rPr>
          <w:sz w:val="16"/>
          <w:szCs w:val="16"/>
          <w:lang w:val="en-GB"/>
        </w:rPr>
        <w:t xml:space="preserve">e </w:t>
      </w:r>
      <w:r>
        <w:rPr>
          <w:sz w:val="16"/>
          <w:szCs w:val="16"/>
          <w:lang w:val="en-GB"/>
        </w:rPr>
        <w:t>buying</w:t>
      </w:r>
      <w:r w:rsidRPr="00E22F57">
        <w:rPr>
          <w:sz w:val="16"/>
          <w:szCs w:val="16"/>
          <w:lang w:val="en-GB"/>
        </w:rPr>
        <w:t xml:space="preserve"> appetit</w:t>
      </w:r>
      <w:r>
        <w:rPr>
          <w:sz w:val="16"/>
          <w:szCs w:val="16"/>
          <w:lang w:val="en-GB"/>
        </w:rPr>
        <w:t>e</w:t>
      </w:r>
      <w:r w:rsidRPr="00E22F57">
        <w:rPr>
          <w:sz w:val="16"/>
          <w:szCs w:val="16"/>
          <w:lang w:val="en-GB"/>
        </w:rPr>
        <w:t xml:space="preserve"> of people</w:t>
      </w:r>
      <w:r>
        <w:rPr>
          <w:sz w:val="16"/>
          <w:szCs w:val="16"/>
          <w:lang w:val="en-GB"/>
        </w:rPr>
        <w:t xml:space="preserve">. </w:t>
      </w:r>
      <w:r w:rsidRPr="00E22F57">
        <w:rPr>
          <w:rFonts w:cs="Arial"/>
          <w:color w:val="0D0D0D" w:themeColor="text1" w:themeTint="F2"/>
          <w:spacing w:val="-4"/>
          <w:sz w:val="16"/>
          <w:szCs w:val="16"/>
          <w:lang w:val="en-GB"/>
        </w:rPr>
        <w:t xml:space="preserve">Consumer confidence was the highest in June for the last one year and half. </w:t>
      </w:r>
      <w:r>
        <w:rPr>
          <w:rFonts w:cs="Arial"/>
          <w:color w:val="0D0D0D" w:themeColor="text1" w:themeTint="F2"/>
          <w:spacing w:val="-4"/>
          <w:sz w:val="16"/>
          <w:szCs w:val="16"/>
          <w:lang w:val="en-GB"/>
        </w:rPr>
        <w:t xml:space="preserve">Growing concerns of people regarding the increasing prices, </w:t>
      </w:r>
      <w:r w:rsidRPr="00E22F57">
        <w:rPr>
          <w:rFonts w:cs="Arial"/>
          <w:color w:val="0D0D0D" w:themeColor="text1" w:themeTint="F2"/>
          <w:spacing w:val="-4"/>
          <w:sz w:val="16"/>
          <w:szCs w:val="16"/>
          <w:lang w:val="en-GB"/>
        </w:rPr>
        <w:t>which were also anchored in the real development of the economy</w:t>
      </w:r>
      <w:r>
        <w:rPr>
          <w:rFonts w:cs="Arial"/>
          <w:color w:val="0D0D0D" w:themeColor="text1" w:themeTint="F2"/>
          <w:spacing w:val="-4"/>
          <w:sz w:val="16"/>
          <w:szCs w:val="16"/>
          <w:lang w:val="en-GB"/>
        </w:rPr>
        <w:t>, however could have worked against the faster realisation of the delayed consumption.</w:t>
      </w:r>
      <w:r w:rsidRPr="00E22F57">
        <w:rPr>
          <w:rFonts w:cs="Arial"/>
          <w:color w:val="0D0D0D" w:themeColor="text1" w:themeTint="F2"/>
          <w:spacing w:val="-4"/>
          <w:sz w:val="16"/>
          <w:szCs w:val="16"/>
          <w:lang w:val="en-GB"/>
        </w:rPr>
        <w:t xml:space="preserve"> </w:t>
      </w:r>
    </w:p>
  </w:footnote>
  <w:footnote w:id="29">
    <w:p w14:paraId="7E55AD22" w14:textId="77777777" w:rsidR="009732DF" w:rsidRPr="00E22F57" w:rsidRDefault="009732DF" w:rsidP="009732DF">
      <w:pPr>
        <w:spacing w:after="0" w:line="240" w:lineRule="auto"/>
        <w:rPr>
          <w:lang w:val="en-GB"/>
        </w:rPr>
      </w:pPr>
      <w:r w:rsidRPr="00E22F57">
        <w:rPr>
          <w:rStyle w:val="Znakapoznpodarou"/>
          <w:color w:val="0D0D0D" w:themeColor="text1" w:themeTint="F2"/>
          <w:sz w:val="16"/>
          <w:szCs w:val="16"/>
          <w:lang w:val="en-GB"/>
        </w:rPr>
        <w:footnoteRef/>
      </w:r>
      <w:r w:rsidRPr="00E22F57">
        <w:rPr>
          <w:color w:val="0D0D0D" w:themeColor="text1" w:themeTint="F2"/>
          <w:sz w:val="16"/>
          <w:szCs w:val="16"/>
          <w:lang w:val="en-GB"/>
        </w:rPr>
        <w:t xml:space="preserve"> All year-on-year rates of growth of retail sales are stated in constant prices and adjusted for calendar effects (including the number of working days). Retail includes branches CZ</w:t>
      </w:r>
      <w:r w:rsidRPr="00E22F57">
        <w:rPr>
          <w:color w:val="0D0D0D" w:themeColor="text1" w:themeTint="F2"/>
          <w:sz w:val="16"/>
          <w:szCs w:val="16"/>
          <w:lang w:val="en-GB"/>
        </w:rPr>
        <w:noBreakHyphen/>
        <w:t>NACE 47.</w:t>
      </w:r>
    </w:p>
  </w:footnote>
  <w:footnote w:id="30">
    <w:p w14:paraId="37DFF035" w14:textId="77777777" w:rsidR="009732DF" w:rsidRPr="00B9486C" w:rsidRDefault="009732DF" w:rsidP="009732DF">
      <w:pPr>
        <w:pStyle w:val="Textpoznpodarou"/>
        <w:jc w:val="both"/>
        <w:rPr>
          <w:sz w:val="16"/>
          <w:szCs w:val="16"/>
          <w:lang w:val="en-GB"/>
        </w:rPr>
      </w:pPr>
      <w:r w:rsidRPr="00B9486C">
        <w:rPr>
          <w:rStyle w:val="Znakapoznpodarou"/>
          <w:sz w:val="16"/>
          <w:szCs w:val="16"/>
          <w:lang w:val="en-GB"/>
        </w:rPr>
        <w:footnoteRef/>
      </w:r>
      <w:r w:rsidRPr="00B9486C">
        <w:rPr>
          <w:sz w:val="16"/>
          <w:szCs w:val="16"/>
          <w:lang w:val="en-GB"/>
        </w:rPr>
        <w:t xml:space="preserve"> </w:t>
      </w:r>
      <w:r>
        <w:rPr>
          <w:sz w:val="16"/>
          <w:szCs w:val="16"/>
          <w:lang w:val="en-GB"/>
        </w:rPr>
        <w:t xml:space="preserve">Compared to the </w:t>
      </w:r>
      <w:r w:rsidRPr="00B9486C">
        <w:rPr>
          <w:sz w:val="16"/>
          <w:szCs w:val="16"/>
          <w:lang w:val="en-GB"/>
        </w:rPr>
        <w:t>„</w:t>
      </w:r>
      <w:r>
        <w:rPr>
          <w:sz w:val="16"/>
          <w:szCs w:val="16"/>
          <w:lang w:val="en-GB"/>
        </w:rPr>
        <w:t>unbiased</w:t>
      </w:r>
      <w:r w:rsidRPr="00B9486C">
        <w:rPr>
          <w:sz w:val="16"/>
          <w:szCs w:val="16"/>
          <w:lang w:val="en-GB"/>
        </w:rPr>
        <w:t xml:space="preserve">“ </w:t>
      </w:r>
      <w:r>
        <w:rPr>
          <w:sz w:val="16"/>
          <w:szCs w:val="16"/>
          <w:lang w:val="en-GB"/>
        </w:rPr>
        <w:t>Q</w:t>
      </w:r>
      <w:r w:rsidRPr="00B9486C">
        <w:rPr>
          <w:sz w:val="16"/>
          <w:szCs w:val="16"/>
          <w:lang w:val="en-GB"/>
        </w:rPr>
        <w:t>2</w:t>
      </w:r>
      <w:r>
        <w:rPr>
          <w:sz w:val="16"/>
          <w:szCs w:val="16"/>
          <w:lang w:val="en-GB"/>
        </w:rPr>
        <w:t xml:space="preserve"> </w:t>
      </w:r>
      <w:r w:rsidRPr="00B9486C">
        <w:rPr>
          <w:sz w:val="16"/>
          <w:szCs w:val="16"/>
          <w:lang w:val="en-GB"/>
        </w:rPr>
        <w:t>2019</w:t>
      </w:r>
      <w:r>
        <w:rPr>
          <w:sz w:val="16"/>
          <w:szCs w:val="16"/>
          <w:lang w:val="en-GB"/>
        </w:rPr>
        <w:t xml:space="preserve">, the sales were precisely by </w:t>
      </w:r>
      <w:r w:rsidRPr="00B9486C">
        <w:rPr>
          <w:sz w:val="16"/>
          <w:szCs w:val="16"/>
          <w:lang w:val="en-GB"/>
        </w:rPr>
        <w:t>4%</w:t>
      </w:r>
      <w:r>
        <w:rPr>
          <w:sz w:val="16"/>
          <w:szCs w:val="16"/>
          <w:lang w:val="en-GB"/>
        </w:rPr>
        <w:t xml:space="preserve"> higher this year</w:t>
      </w:r>
      <w:r w:rsidRPr="00B9486C">
        <w:rPr>
          <w:sz w:val="16"/>
          <w:szCs w:val="16"/>
          <w:lang w:val="en-GB"/>
        </w:rPr>
        <w:t xml:space="preserve">. </w:t>
      </w:r>
      <w:r>
        <w:rPr>
          <w:sz w:val="16"/>
          <w:szCs w:val="16"/>
          <w:lang w:val="en-GB"/>
        </w:rPr>
        <w:t xml:space="preserve">Retail thus to a considerable extent followed in the paces from the era of the ending boom period </w:t>
      </w:r>
      <w:r w:rsidRPr="00B9486C">
        <w:rPr>
          <w:sz w:val="16"/>
          <w:szCs w:val="16"/>
          <w:lang w:val="en-GB"/>
        </w:rPr>
        <w:t>(+5</w:t>
      </w:r>
      <w:r>
        <w:rPr>
          <w:sz w:val="16"/>
          <w:szCs w:val="16"/>
          <w:lang w:val="en-GB"/>
        </w:rPr>
        <w:t>.</w:t>
      </w:r>
      <w:r w:rsidRPr="00B9486C">
        <w:rPr>
          <w:sz w:val="16"/>
          <w:szCs w:val="16"/>
          <w:lang w:val="en-GB"/>
        </w:rPr>
        <w:t>0%</w:t>
      </w:r>
      <w:r>
        <w:rPr>
          <w:sz w:val="16"/>
          <w:szCs w:val="16"/>
          <w:lang w:val="en-GB"/>
        </w:rPr>
        <w:t xml:space="preserve"> for the whole year 2018</w:t>
      </w:r>
      <w:r w:rsidRPr="00B9486C">
        <w:rPr>
          <w:sz w:val="16"/>
          <w:szCs w:val="16"/>
          <w:lang w:val="en-GB"/>
        </w:rPr>
        <w:t>, +4</w:t>
      </w:r>
      <w:r>
        <w:rPr>
          <w:sz w:val="16"/>
          <w:szCs w:val="16"/>
          <w:lang w:val="en-GB"/>
        </w:rPr>
        <w:t>.</w:t>
      </w:r>
      <w:r w:rsidRPr="00B9486C">
        <w:rPr>
          <w:sz w:val="16"/>
          <w:szCs w:val="16"/>
          <w:lang w:val="en-GB"/>
        </w:rPr>
        <w:t>8%</w:t>
      </w:r>
      <w:r>
        <w:rPr>
          <w:sz w:val="16"/>
          <w:szCs w:val="16"/>
          <w:lang w:val="en-GB"/>
        </w:rPr>
        <w:t xml:space="preserve"> 2019</w:t>
      </w:r>
      <w:r w:rsidRPr="00B9486C">
        <w:rPr>
          <w:sz w:val="16"/>
          <w:szCs w:val="16"/>
          <w:lang w:val="en-GB"/>
        </w:rPr>
        <w:t>)</w:t>
      </w:r>
      <w:r>
        <w:rPr>
          <w:sz w:val="16"/>
          <w:szCs w:val="16"/>
          <w:lang w:val="en-GB"/>
        </w:rPr>
        <w:t xml:space="preserve"> this year in Q2</w:t>
      </w:r>
      <w:r w:rsidRPr="00B9486C">
        <w:rPr>
          <w:sz w:val="16"/>
          <w:szCs w:val="16"/>
          <w:lang w:val="en-GB"/>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594A67" w14:textId="158E5C48" w:rsidR="00160E8B" w:rsidRPr="00595E5A" w:rsidRDefault="00160E8B" w:rsidP="00937AE2">
    <w:pPr>
      <w:pStyle w:val="Zhlav"/>
      <w:rPr>
        <w:lang w:val="en-GB"/>
      </w:rPr>
    </w:pPr>
    <w:r w:rsidRPr="00595E5A">
      <w:rPr>
        <w:lang w:val="en-GB"/>
      </w:rPr>
      <w:t>The Czech Economy Development</w:t>
    </w:r>
  </w:p>
  <w:p w14:paraId="3E881AB3" w14:textId="77777777" w:rsidR="00160E8B" w:rsidRPr="006F5416" w:rsidRDefault="00160E8B" w:rsidP="00937AE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22D3DB" w14:textId="39D065CF" w:rsidR="00160E8B" w:rsidRPr="00595E5A" w:rsidRDefault="00160E8B" w:rsidP="00937AE2">
    <w:pPr>
      <w:pStyle w:val="Zhlav"/>
      <w:rPr>
        <w:lang w:val="en-GB"/>
      </w:rPr>
    </w:pPr>
    <w:r w:rsidRPr="00595E5A">
      <w:rPr>
        <w:lang w:val="en-GB"/>
      </w:rPr>
      <w:t>The Czech Economy Development</w:t>
    </w:r>
  </w:p>
  <w:p w14:paraId="57266714" w14:textId="77777777" w:rsidR="00160E8B" w:rsidRPr="006F5416" w:rsidRDefault="00160E8B" w:rsidP="00937A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pt;height:11.2pt" o:bullet="t">
        <v:imagedata r:id="rId1" o:title="msoFAAF"/>
      </v:shape>
    </w:pict>
  </w:numPicBullet>
  <w:abstractNum w:abstractNumId="0" w15:restartNumberingAfterBreak="0">
    <w:nsid w:val="FFFFFF7C"/>
    <w:multiLevelType w:val="singleLevel"/>
    <w:tmpl w:val="49CEEC4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EC69A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37A1C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6230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6965B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0DE276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7AED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68C5BA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7C8EEA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18AD8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AC5946"/>
    <w:multiLevelType w:val="hybridMultilevel"/>
    <w:tmpl w:val="4C1C2D78"/>
    <w:lvl w:ilvl="0" w:tplc="B01A563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9D55121"/>
    <w:multiLevelType w:val="hybridMultilevel"/>
    <w:tmpl w:val="338E27C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2" w15:restartNumberingAfterBreak="0">
    <w:nsid w:val="0D361065"/>
    <w:multiLevelType w:val="hybridMultilevel"/>
    <w:tmpl w:val="991072C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 w15:restartNumberingAfterBreak="0">
    <w:nsid w:val="18B35353"/>
    <w:multiLevelType w:val="multilevel"/>
    <w:tmpl w:val="1C0E9EAE"/>
    <w:name w:val="Analyza"/>
    <w:lvl w:ilvl="0">
      <w:start w:val="1"/>
      <w:numFmt w:val="decimal"/>
      <w:suff w:val="space"/>
      <w:lvlText w:val="%1"/>
      <w:lvlJc w:val="left"/>
      <w:pPr>
        <w:ind w:left="432" w:hanging="432"/>
      </w:pPr>
      <w:rPr>
        <w:rFonts w:hint="default"/>
      </w:rPr>
    </w:lvl>
    <w:lvl w:ilvl="1">
      <w:start w:val="1"/>
      <w:numFmt w:val="decimal"/>
      <w:suff w:val="space"/>
      <w:lvlText w:val="%1.%2"/>
      <w:lvlJc w:val="left"/>
      <w:pPr>
        <w:ind w:left="576" w:hanging="576"/>
      </w:pPr>
      <w:rPr>
        <w:rFonts w:hint="default"/>
        <w:i w:val="0"/>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pStyle w:val="Nadpis5"/>
      <w:suff w:val="space"/>
      <w:lvlText w:val="%1.%2.%3.%4.%5"/>
      <w:lvlJc w:val="left"/>
      <w:pPr>
        <w:ind w:left="1008" w:hanging="1008"/>
      </w:pPr>
      <w:rPr>
        <w:rFonts w:hint="default"/>
      </w:rPr>
    </w:lvl>
    <w:lvl w:ilvl="5">
      <w:start w:val="1"/>
      <w:numFmt w:val="decimal"/>
      <w:pStyle w:val="Nadpis6"/>
      <w:suff w:val="space"/>
      <w:lvlText w:val="%1.%2.%3.%4.%5.%6"/>
      <w:lvlJc w:val="left"/>
      <w:pPr>
        <w:ind w:left="1152" w:hanging="1152"/>
      </w:pPr>
      <w:rPr>
        <w:rFonts w:hint="default"/>
      </w:rPr>
    </w:lvl>
    <w:lvl w:ilvl="6">
      <w:start w:val="1"/>
      <w:numFmt w:val="decimal"/>
      <w:pStyle w:val="Nadpis7"/>
      <w:suff w:val="space"/>
      <w:lvlText w:val="%1.%2.%3.%4.%5.%6.%7"/>
      <w:lvlJc w:val="left"/>
      <w:pPr>
        <w:ind w:left="1296" w:hanging="1296"/>
      </w:pPr>
      <w:rPr>
        <w:rFonts w:hint="default"/>
      </w:rPr>
    </w:lvl>
    <w:lvl w:ilvl="7">
      <w:start w:val="1"/>
      <w:numFmt w:val="decimal"/>
      <w:pStyle w:val="Nadpis8"/>
      <w:suff w:val="space"/>
      <w:lvlText w:val="%1.%2.%3.%4.%5.%6.%7.%8"/>
      <w:lvlJc w:val="left"/>
      <w:pPr>
        <w:ind w:left="1440" w:hanging="1440"/>
      </w:pPr>
      <w:rPr>
        <w:rFonts w:hint="default"/>
      </w:rPr>
    </w:lvl>
    <w:lvl w:ilvl="8">
      <w:start w:val="1"/>
      <w:numFmt w:val="decimal"/>
      <w:pStyle w:val="Nadpis9"/>
      <w:suff w:val="space"/>
      <w:lvlText w:val="%1.%2.%3.%4.%5.%6.%7.%8.%9"/>
      <w:lvlJc w:val="left"/>
      <w:pPr>
        <w:ind w:left="1584" w:hanging="1584"/>
      </w:pPr>
      <w:rPr>
        <w:rFonts w:hint="default"/>
      </w:rPr>
    </w:lvl>
  </w:abstractNum>
  <w:abstractNum w:abstractNumId="14" w15:restartNumberingAfterBreak="0">
    <w:nsid w:val="258473A1"/>
    <w:multiLevelType w:val="hybridMultilevel"/>
    <w:tmpl w:val="7984410C"/>
    <w:lvl w:ilvl="0" w:tplc="3712003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8352333"/>
    <w:multiLevelType w:val="multilevel"/>
    <w:tmpl w:val="D0ACFA4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2A5A7A8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C24203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2D106EA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11355C0"/>
    <w:multiLevelType w:val="multilevel"/>
    <w:tmpl w:val="697E8BE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15:restartNumberingAfterBreak="0">
    <w:nsid w:val="39914012"/>
    <w:multiLevelType w:val="multilevel"/>
    <w:tmpl w:val="F380FB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C7C1667"/>
    <w:multiLevelType w:val="hybridMultilevel"/>
    <w:tmpl w:val="735E7570"/>
    <w:lvl w:ilvl="0" w:tplc="5588AF8E">
      <w:start w:val="1"/>
      <w:numFmt w:val="decimal"/>
      <w:lvlText w:val="%1."/>
      <w:lvlJc w:val="left"/>
      <w:pPr>
        <w:ind w:left="4800" w:hanging="360"/>
      </w:pPr>
      <w:rPr>
        <w:rFonts w:hint="default"/>
      </w:rPr>
    </w:lvl>
    <w:lvl w:ilvl="1" w:tplc="04050019" w:tentative="1">
      <w:start w:val="1"/>
      <w:numFmt w:val="lowerLetter"/>
      <w:lvlText w:val="%2."/>
      <w:lvlJc w:val="left"/>
      <w:pPr>
        <w:ind w:left="5520" w:hanging="360"/>
      </w:pPr>
    </w:lvl>
    <w:lvl w:ilvl="2" w:tplc="0405001B" w:tentative="1">
      <w:start w:val="1"/>
      <w:numFmt w:val="lowerRoman"/>
      <w:lvlText w:val="%3."/>
      <w:lvlJc w:val="right"/>
      <w:pPr>
        <w:ind w:left="6240" w:hanging="180"/>
      </w:pPr>
    </w:lvl>
    <w:lvl w:ilvl="3" w:tplc="0405000F" w:tentative="1">
      <w:start w:val="1"/>
      <w:numFmt w:val="decimal"/>
      <w:lvlText w:val="%4."/>
      <w:lvlJc w:val="left"/>
      <w:pPr>
        <w:ind w:left="6960" w:hanging="360"/>
      </w:pPr>
    </w:lvl>
    <w:lvl w:ilvl="4" w:tplc="04050019" w:tentative="1">
      <w:start w:val="1"/>
      <w:numFmt w:val="lowerLetter"/>
      <w:lvlText w:val="%5."/>
      <w:lvlJc w:val="left"/>
      <w:pPr>
        <w:ind w:left="7680" w:hanging="360"/>
      </w:pPr>
    </w:lvl>
    <w:lvl w:ilvl="5" w:tplc="0405001B" w:tentative="1">
      <w:start w:val="1"/>
      <w:numFmt w:val="lowerRoman"/>
      <w:lvlText w:val="%6."/>
      <w:lvlJc w:val="right"/>
      <w:pPr>
        <w:ind w:left="8400" w:hanging="180"/>
      </w:pPr>
    </w:lvl>
    <w:lvl w:ilvl="6" w:tplc="0405000F" w:tentative="1">
      <w:start w:val="1"/>
      <w:numFmt w:val="decimal"/>
      <w:lvlText w:val="%7."/>
      <w:lvlJc w:val="left"/>
      <w:pPr>
        <w:ind w:left="9120" w:hanging="360"/>
      </w:pPr>
    </w:lvl>
    <w:lvl w:ilvl="7" w:tplc="04050019" w:tentative="1">
      <w:start w:val="1"/>
      <w:numFmt w:val="lowerLetter"/>
      <w:lvlText w:val="%8."/>
      <w:lvlJc w:val="left"/>
      <w:pPr>
        <w:ind w:left="9840" w:hanging="360"/>
      </w:pPr>
    </w:lvl>
    <w:lvl w:ilvl="8" w:tplc="0405001B" w:tentative="1">
      <w:start w:val="1"/>
      <w:numFmt w:val="lowerRoman"/>
      <w:lvlText w:val="%9."/>
      <w:lvlJc w:val="right"/>
      <w:pPr>
        <w:ind w:left="10560" w:hanging="180"/>
      </w:pPr>
    </w:lvl>
  </w:abstractNum>
  <w:abstractNum w:abstractNumId="22" w15:restartNumberingAfterBreak="0">
    <w:nsid w:val="3D4D0562"/>
    <w:multiLevelType w:val="hybridMultilevel"/>
    <w:tmpl w:val="E8A8F28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3BB1D16"/>
    <w:multiLevelType w:val="hybridMultilevel"/>
    <w:tmpl w:val="CA44090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8384A27"/>
    <w:multiLevelType w:val="hybridMultilevel"/>
    <w:tmpl w:val="10505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ADA4287"/>
    <w:multiLevelType w:val="multilevel"/>
    <w:tmpl w:val="1C0E9EAE"/>
    <w:lvl w:ilvl="0">
      <w:start w:val="1"/>
      <w:numFmt w:val="decimal"/>
      <w:suff w:val="space"/>
      <w:lvlText w:val="%1"/>
      <w:lvlJc w:val="left"/>
      <w:pPr>
        <w:ind w:left="432" w:hanging="432"/>
      </w:pPr>
      <w:rPr>
        <w:rFonts w:hint="default"/>
      </w:rPr>
    </w:lvl>
    <w:lvl w:ilvl="1">
      <w:start w:val="1"/>
      <w:numFmt w:val="decimal"/>
      <w:suff w:val="space"/>
      <w:lvlText w:val="%1.%2"/>
      <w:lvlJc w:val="left"/>
      <w:pPr>
        <w:ind w:left="576" w:hanging="576"/>
      </w:pPr>
      <w:rPr>
        <w:rFonts w:hint="default"/>
        <w:i w:val="0"/>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584" w:hanging="1584"/>
      </w:pPr>
      <w:rPr>
        <w:rFonts w:hint="default"/>
      </w:rPr>
    </w:lvl>
  </w:abstractNum>
  <w:abstractNum w:abstractNumId="26" w15:restartNumberingAfterBreak="0">
    <w:nsid w:val="4C581760"/>
    <w:multiLevelType w:val="hybridMultilevel"/>
    <w:tmpl w:val="CFEE97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4E490F3B"/>
    <w:multiLevelType w:val="hybridMultilevel"/>
    <w:tmpl w:val="D64CB604"/>
    <w:lvl w:ilvl="0" w:tplc="67AC8A1C">
      <w:start w:val="1"/>
      <w:numFmt w:val="bullet"/>
      <w:lvlText w:val=""/>
      <w:lvlJc w:val="left"/>
      <w:pPr>
        <w:ind w:left="357" w:hanging="35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CB210F"/>
    <w:multiLevelType w:val="multilevel"/>
    <w:tmpl w:val="D64CB604"/>
    <w:lvl w:ilvl="0">
      <w:start w:val="1"/>
      <w:numFmt w:val="bullet"/>
      <w:lvlText w:val=""/>
      <w:lvlJc w:val="left"/>
      <w:pPr>
        <w:ind w:left="357" w:hanging="357"/>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B651B2D"/>
    <w:multiLevelType w:val="hybridMultilevel"/>
    <w:tmpl w:val="4C1C2D78"/>
    <w:lvl w:ilvl="0" w:tplc="B01A5632">
      <w:start w:val="1"/>
      <w:numFmt w:val="bullet"/>
      <w:pStyle w:val="Normalodrka"/>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F8E301A"/>
    <w:multiLevelType w:val="hybridMultilevel"/>
    <w:tmpl w:val="1A92D798"/>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abstractNumId w:val="24"/>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4"/>
  </w:num>
  <w:num w:numId="13">
    <w:abstractNumId w:val="26"/>
  </w:num>
  <w:num w:numId="14">
    <w:abstractNumId w:val="13"/>
  </w:num>
  <w:num w:numId="15">
    <w:abstractNumId w:val="19"/>
  </w:num>
  <w:num w:numId="16">
    <w:abstractNumId w:val="15"/>
  </w:num>
  <w:num w:numId="17">
    <w:abstractNumId w:val="27"/>
  </w:num>
  <w:num w:numId="18">
    <w:abstractNumId w:val="20"/>
  </w:num>
  <w:num w:numId="19">
    <w:abstractNumId w:val="28"/>
  </w:num>
  <w:num w:numId="20">
    <w:abstractNumId w:val="29"/>
  </w:num>
  <w:num w:numId="21">
    <w:abstractNumId w:val="25"/>
  </w:num>
  <w:num w:numId="22">
    <w:abstractNumId w:val="18"/>
  </w:num>
  <w:num w:numId="23">
    <w:abstractNumId w:val="16"/>
  </w:num>
  <w:num w:numId="24">
    <w:abstractNumId w:val="17"/>
  </w:num>
  <w:num w:numId="25">
    <w:abstractNumId w:val="12"/>
  </w:num>
  <w:num w:numId="26">
    <w:abstractNumId w:val="22"/>
  </w:num>
  <w:num w:numId="27">
    <w:abstractNumId w:val="21"/>
  </w:num>
  <w:num w:numId="28">
    <w:abstractNumId w:val="10"/>
  </w:num>
  <w:num w:numId="29">
    <w:abstractNumId w:val="29"/>
  </w:num>
  <w:num w:numId="30">
    <w:abstractNumId w:val="23"/>
  </w:num>
  <w:num w:numId="31">
    <w:abstractNumId w:val="11"/>
  </w:num>
  <w:num w:numId="3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evenAndOddHeaders/>
  <w:drawingGridHorizontalSpacing w:val="100"/>
  <w:displayHorizontalDrawingGridEvery w:val="2"/>
  <w:characterSpacingControl w:val="doNotCompress"/>
  <w:hdrShapeDefaults>
    <o:shapedefaults v:ext="edit" spidmax="2049">
      <o:colormru v:ext="edit" colors="#ecf4dd,#eaecee,#fcec0a,#fcecdb,#f1daf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828"/>
    <w:rsid w:val="000005AF"/>
    <w:rsid w:val="00000B55"/>
    <w:rsid w:val="00001D48"/>
    <w:rsid w:val="0000209D"/>
    <w:rsid w:val="00002566"/>
    <w:rsid w:val="0000370A"/>
    <w:rsid w:val="00003849"/>
    <w:rsid w:val="00003F5C"/>
    <w:rsid w:val="00004D5A"/>
    <w:rsid w:val="000056D5"/>
    <w:rsid w:val="00005D9E"/>
    <w:rsid w:val="000063D5"/>
    <w:rsid w:val="00006625"/>
    <w:rsid w:val="00006ABD"/>
    <w:rsid w:val="00006B67"/>
    <w:rsid w:val="00006C0B"/>
    <w:rsid w:val="0000724D"/>
    <w:rsid w:val="00007367"/>
    <w:rsid w:val="000073A0"/>
    <w:rsid w:val="0000767A"/>
    <w:rsid w:val="00007ABE"/>
    <w:rsid w:val="00010256"/>
    <w:rsid w:val="00010702"/>
    <w:rsid w:val="000111A2"/>
    <w:rsid w:val="0001128E"/>
    <w:rsid w:val="00011912"/>
    <w:rsid w:val="000129B7"/>
    <w:rsid w:val="000135CD"/>
    <w:rsid w:val="0001387D"/>
    <w:rsid w:val="00014ED0"/>
    <w:rsid w:val="00016420"/>
    <w:rsid w:val="00016BDB"/>
    <w:rsid w:val="00017B01"/>
    <w:rsid w:val="000205D1"/>
    <w:rsid w:val="00020F22"/>
    <w:rsid w:val="0002195D"/>
    <w:rsid w:val="00021E1A"/>
    <w:rsid w:val="00021F9B"/>
    <w:rsid w:val="000227AD"/>
    <w:rsid w:val="000228AE"/>
    <w:rsid w:val="000229E0"/>
    <w:rsid w:val="000233D1"/>
    <w:rsid w:val="000234D6"/>
    <w:rsid w:val="00023D29"/>
    <w:rsid w:val="00024348"/>
    <w:rsid w:val="00026389"/>
    <w:rsid w:val="0002669F"/>
    <w:rsid w:val="000279E5"/>
    <w:rsid w:val="000305E0"/>
    <w:rsid w:val="00030BC9"/>
    <w:rsid w:val="00031AE0"/>
    <w:rsid w:val="00031BB2"/>
    <w:rsid w:val="000322EF"/>
    <w:rsid w:val="00033FCD"/>
    <w:rsid w:val="000348AF"/>
    <w:rsid w:val="00034DF7"/>
    <w:rsid w:val="00034E68"/>
    <w:rsid w:val="000350C8"/>
    <w:rsid w:val="000360A1"/>
    <w:rsid w:val="00036195"/>
    <w:rsid w:val="000374B2"/>
    <w:rsid w:val="000376C0"/>
    <w:rsid w:val="000403A7"/>
    <w:rsid w:val="00040632"/>
    <w:rsid w:val="000406A0"/>
    <w:rsid w:val="00040E94"/>
    <w:rsid w:val="00041AFC"/>
    <w:rsid w:val="00041CEC"/>
    <w:rsid w:val="00042596"/>
    <w:rsid w:val="00044183"/>
    <w:rsid w:val="0004431D"/>
    <w:rsid w:val="000448F4"/>
    <w:rsid w:val="0004694F"/>
    <w:rsid w:val="00046F2F"/>
    <w:rsid w:val="00047AD4"/>
    <w:rsid w:val="00047D54"/>
    <w:rsid w:val="0005054A"/>
    <w:rsid w:val="00051506"/>
    <w:rsid w:val="000522E4"/>
    <w:rsid w:val="00053713"/>
    <w:rsid w:val="000540C8"/>
    <w:rsid w:val="0005434E"/>
    <w:rsid w:val="00055703"/>
    <w:rsid w:val="00055CB6"/>
    <w:rsid w:val="000567DE"/>
    <w:rsid w:val="000572DD"/>
    <w:rsid w:val="00057B1E"/>
    <w:rsid w:val="0006033F"/>
    <w:rsid w:val="000610E1"/>
    <w:rsid w:val="000616AD"/>
    <w:rsid w:val="000622A6"/>
    <w:rsid w:val="00062EC5"/>
    <w:rsid w:val="00062F22"/>
    <w:rsid w:val="00063838"/>
    <w:rsid w:val="00063975"/>
    <w:rsid w:val="00063CEA"/>
    <w:rsid w:val="0006444D"/>
    <w:rsid w:val="000645FC"/>
    <w:rsid w:val="0006482F"/>
    <w:rsid w:val="0006533F"/>
    <w:rsid w:val="00065348"/>
    <w:rsid w:val="0006551C"/>
    <w:rsid w:val="00065A75"/>
    <w:rsid w:val="00065EDD"/>
    <w:rsid w:val="000663F0"/>
    <w:rsid w:val="00066558"/>
    <w:rsid w:val="00067982"/>
    <w:rsid w:val="000707B3"/>
    <w:rsid w:val="00070A87"/>
    <w:rsid w:val="00070F11"/>
    <w:rsid w:val="000712B3"/>
    <w:rsid w:val="00071A7C"/>
    <w:rsid w:val="00071E38"/>
    <w:rsid w:val="00072FF5"/>
    <w:rsid w:val="00073A5A"/>
    <w:rsid w:val="000744CC"/>
    <w:rsid w:val="0007474E"/>
    <w:rsid w:val="00074988"/>
    <w:rsid w:val="0007512B"/>
    <w:rsid w:val="00075551"/>
    <w:rsid w:val="00075B69"/>
    <w:rsid w:val="00076132"/>
    <w:rsid w:val="000767F5"/>
    <w:rsid w:val="00076D90"/>
    <w:rsid w:val="00077FF0"/>
    <w:rsid w:val="0008047A"/>
    <w:rsid w:val="00081941"/>
    <w:rsid w:val="00081A55"/>
    <w:rsid w:val="00081B83"/>
    <w:rsid w:val="0008263E"/>
    <w:rsid w:val="00082C19"/>
    <w:rsid w:val="00082F89"/>
    <w:rsid w:val="000837CD"/>
    <w:rsid w:val="00084BFF"/>
    <w:rsid w:val="00085395"/>
    <w:rsid w:val="0008658A"/>
    <w:rsid w:val="00086896"/>
    <w:rsid w:val="00086AC1"/>
    <w:rsid w:val="00086D19"/>
    <w:rsid w:val="00087634"/>
    <w:rsid w:val="00087F2B"/>
    <w:rsid w:val="00090694"/>
    <w:rsid w:val="00090EE2"/>
    <w:rsid w:val="00090FC6"/>
    <w:rsid w:val="000913B1"/>
    <w:rsid w:val="000916B4"/>
    <w:rsid w:val="0009290F"/>
    <w:rsid w:val="00093241"/>
    <w:rsid w:val="00093868"/>
    <w:rsid w:val="00094A84"/>
    <w:rsid w:val="00095025"/>
    <w:rsid w:val="00095135"/>
    <w:rsid w:val="0009626E"/>
    <w:rsid w:val="0009644D"/>
    <w:rsid w:val="00097191"/>
    <w:rsid w:val="000974D1"/>
    <w:rsid w:val="00097784"/>
    <w:rsid w:val="0009799E"/>
    <w:rsid w:val="000A07CB"/>
    <w:rsid w:val="000A0968"/>
    <w:rsid w:val="000A0BC0"/>
    <w:rsid w:val="000A1183"/>
    <w:rsid w:val="000A12ED"/>
    <w:rsid w:val="000A1D49"/>
    <w:rsid w:val="000A212B"/>
    <w:rsid w:val="000A242D"/>
    <w:rsid w:val="000A256D"/>
    <w:rsid w:val="000A2643"/>
    <w:rsid w:val="000A2E5F"/>
    <w:rsid w:val="000A3A2C"/>
    <w:rsid w:val="000A3D9E"/>
    <w:rsid w:val="000A4A54"/>
    <w:rsid w:val="000A4ED9"/>
    <w:rsid w:val="000A5DB7"/>
    <w:rsid w:val="000A6D94"/>
    <w:rsid w:val="000A7377"/>
    <w:rsid w:val="000A74A4"/>
    <w:rsid w:val="000A775A"/>
    <w:rsid w:val="000A7FF4"/>
    <w:rsid w:val="000B03CC"/>
    <w:rsid w:val="000B3F30"/>
    <w:rsid w:val="000B4212"/>
    <w:rsid w:val="000B4422"/>
    <w:rsid w:val="000B6543"/>
    <w:rsid w:val="000B67B7"/>
    <w:rsid w:val="000B725A"/>
    <w:rsid w:val="000C0132"/>
    <w:rsid w:val="000C0CA6"/>
    <w:rsid w:val="000C0EA8"/>
    <w:rsid w:val="000C13A2"/>
    <w:rsid w:val="000C2128"/>
    <w:rsid w:val="000C21E7"/>
    <w:rsid w:val="000C23EC"/>
    <w:rsid w:val="000C290E"/>
    <w:rsid w:val="000C30C3"/>
    <w:rsid w:val="000C317F"/>
    <w:rsid w:val="000C3408"/>
    <w:rsid w:val="000C35AB"/>
    <w:rsid w:val="000C3F7B"/>
    <w:rsid w:val="000C4769"/>
    <w:rsid w:val="000C4D56"/>
    <w:rsid w:val="000C5DFA"/>
    <w:rsid w:val="000C6AFD"/>
    <w:rsid w:val="000C6C90"/>
    <w:rsid w:val="000C72B7"/>
    <w:rsid w:val="000D0A26"/>
    <w:rsid w:val="000D1BD6"/>
    <w:rsid w:val="000D2196"/>
    <w:rsid w:val="000D3058"/>
    <w:rsid w:val="000D310A"/>
    <w:rsid w:val="000D3AA8"/>
    <w:rsid w:val="000D3EF4"/>
    <w:rsid w:val="000D4DC0"/>
    <w:rsid w:val="000D55BA"/>
    <w:rsid w:val="000D5637"/>
    <w:rsid w:val="000D572F"/>
    <w:rsid w:val="000D5A03"/>
    <w:rsid w:val="000D5ED3"/>
    <w:rsid w:val="000D6F4E"/>
    <w:rsid w:val="000D73BB"/>
    <w:rsid w:val="000E0E96"/>
    <w:rsid w:val="000E298B"/>
    <w:rsid w:val="000E2C7D"/>
    <w:rsid w:val="000E3D9C"/>
    <w:rsid w:val="000E3E56"/>
    <w:rsid w:val="000E440D"/>
    <w:rsid w:val="000E4AC5"/>
    <w:rsid w:val="000E6253"/>
    <w:rsid w:val="000E6AC4"/>
    <w:rsid w:val="000E6E4D"/>
    <w:rsid w:val="000E6FBD"/>
    <w:rsid w:val="000E6FCB"/>
    <w:rsid w:val="000F090B"/>
    <w:rsid w:val="000F18D2"/>
    <w:rsid w:val="000F3109"/>
    <w:rsid w:val="000F3F3B"/>
    <w:rsid w:val="000F4721"/>
    <w:rsid w:val="000F47E8"/>
    <w:rsid w:val="000F6529"/>
    <w:rsid w:val="000F70E4"/>
    <w:rsid w:val="000F76EA"/>
    <w:rsid w:val="00100A8B"/>
    <w:rsid w:val="00100F5C"/>
    <w:rsid w:val="00101A4C"/>
    <w:rsid w:val="00101CDA"/>
    <w:rsid w:val="00102037"/>
    <w:rsid w:val="00103DCB"/>
    <w:rsid w:val="00104C4C"/>
    <w:rsid w:val="00105015"/>
    <w:rsid w:val="001055D2"/>
    <w:rsid w:val="001057C2"/>
    <w:rsid w:val="00105975"/>
    <w:rsid w:val="0011038E"/>
    <w:rsid w:val="00110FC0"/>
    <w:rsid w:val="001125EF"/>
    <w:rsid w:val="00112CAB"/>
    <w:rsid w:val="0011440C"/>
    <w:rsid w:val="00114C33"/>
    <w:rsid w:val="00115842"/>
    <w:rsid w:val="00116D3F"/>
    <w:rsid w:val="00117474"/>
    <w:rsid w:val="00117623"/>
    <w:rsid w:val="001177AB"/>
    <w:rsid w:val="00117FEA"/>
    <w:rsid w:val="001200CF"/>
    <w:rsid w:val="001208E3"/>
    <w:rsid w:val="00121609"/>
    <w:rsid w:val="0012192F"/>
    <w:rsid w:val="00121D91"/>
    <w:rsid w:val="00122994"/>
    <w:rsid w:val="00123204"/>
    <w:rsid w:val="00124B46"/>
    <w:rsid w:val="001257E0"/>
    <w:rsid w:val="00125D69"/>
    <w:rsid w:val="00126988"/>
    <w:rsid w:val="0012799C"/>
    <w:rsid w:val="00127BC2"/>
    <w:rsid w:val="00127E15"/>
    <w:rsid w:val="00130ADC"/>
    <w:rsid w:val="00130D9F"/>
    <w:rsid w:val="00132C4D"/>
    <w:rsid w:val="00133FC1"/>
    <w:rsid w:val="00134659"/>
    <w:rsid w:val="00136A6F"/>
    <w:rsid w:val="001405FA"/>
    <w:rsid w:val="00140D1A"/>
    <w:rsid w:val="00141184"/>
    <w:rsid w:val="00141315"/>
    <w:rsid w:val="00141AA0"/>
    <w:rsid w:val="001425C3"/>
    <w:rsid w:val="0014262D"/>
    <w:rsid w:val="00142B29"/>
    <w:rsid w:val="00144588"/>
    <w:rsid w:val="001447DD"/>
    <w:rsid w:val="00145358"/>
    <w:rsid w:val="001459BC"/>
    <w:rsid w:val="00145E6D"/>
    <w:rsid w:val="001472BB"/>
    <w:rsid w:val="00152C86"/>
    <w:rsid w:val="00152F4F"/>
    <w:rsid w:val="001544A1"/>
    <w:rsid w:val="001553B8"/>
    <w:rsid w:val="001554C2"/>
    <w:rsid w:val="001571C0"/>
    <w:rsid w:val="0015753D"/>
    <w:rsid w:val="00157CC9"/>
    <w:rsid w:val="00160C21"/>
    <w:rsid w:val="00160E8B"/>
    <w:rsid w:val="001612F4"/>
    <w:rsid w:val="00161553"/>
    <w:rsid w:val="00161B94"/>
    <w:rsid w:val="0016216F"/>
    <w:rsid w:val="0016256B"/>
    <w:rsid w:val="00162F81"/>
    <w:rsid w:val="00163793"/>
    <w:rsid w:val="00164546"/>
    <w:rsid w:val="00164CA1"/>
    <w:rsid w:val="00165313"/>
    <w:rsid w:val="00167485"/>
    <w:rsid w:val="001679F5"/>
    <w:rsid w:val="00167B92"/>
    <w:rsid w:val="00167CB9"/>
    <w:rsid w:val="00167DD8"/>
    <w:rsid w:val="0017043A"/>
    <w:rsid w:val="001705AD"/>
    <w:rsid w:val="001706D6"/>
    <w:rsid w:val="001714F2"/>
    <w:rsid w:val="00171FEA"/>
    <w:rsid w:val="00173622"/>
    <w:rsid w:val="00173712"/>
    <w:rsid w:val="00175B9F"/>
    <w:rsid w:val="00176037"/>
    <w:rsid w:val="001762F4"/>
    <w:rsid w:val="001768F1"/>
    <w:rsid w:val="00176D06"/>
    <w:rsid w:val="00176F06"/>
    <w:rsid w:val="001772C7"/>
    <w:rsid w:val="00177AAA"/>
    <w:rsid w:val="001806E5"/>
    <w:rsid w:val="00181029"/>
    <w:rsid w:val="00181BBC"/>
    <w:rsid w:val="0018385F"/>
    <w:rsid w:val="00183BCF"/>
    <w:rsid w:val="00184017"/>
    <w:rsid w:val="001847BB"/>
    <w:rsid w:val="001849BE"/>
    <w:rsid w:val="00184B08"/>
    <w:rsid w:val="00184C35"/>
    <w:rsid w:val="00185010"/>
    <w:rsid w:val="00185252"/>
    <w:rsid w:val="00185C22"/>
    <w:rsid w:val="001863EA"/>
    <w:rsid w:val="0018655E"/>
    <w:rsid w:val="00186BA9"/>
    <w:rsid w:val="00187D50"/>
    <w:rsid w:val="001916D4"/>
    <w:rsid w:val="0019196C"/>
    <w:rsid w:val="001926A9"/>
    <w:rsid w:val="00192F05"/>
    <w:rsid w:val="00193FE4"/>
    <w:rsid w:val="00194729"/>
    <w:rsid w:val="00194850"/>
    <w:rsid w:val="00195234"/>
    <w:rsid w:val="00196016"/>
    <w:rsid w:val="00196117"/>
    <w:rsid w:val="00196543"/>
    <w:rsid w:val="00197A70"/>
    <w:rsid w:val="00197C0F"/>
    <w:rsid w:val="00197D0E"/>
    <w:rsid w:val="001A0487"/>
    <w:rsid w:val="001A0675"/>
    <w:rsid w:val="001A0A37"/>
    <w:rsid w:val="001A10C5"/>
    <w:rsid w:val="001A1F68"/>
    <w:rsid w:val="001A21FA"/>
    <w:rsid w:val="001A3302"/>
    <w:rsid w:val="001A4D7C"/>
    <w:rsid w:val="001A4EF0"/>
    <w:rsid w:val="001A552F"/>
    <w:rsid w:val="001A70B1"/>
    <w:rsid w:val="001A7134"/>
    <w:rsid w:val="001B04BB"/>
    <w:rsid w:val="001B0738"/>
    <w:rsid w:val="001B1235"/>
    <w:rsid w:val="001B2A99"/>
    <w:rsid w:val="001B2CA9"/>
    <w:rsid w:val="001B3110"/>
    <w:rsid w:val="001B3E38"/>
    <w:rsid w:val="001B40F5"/>
    <w:rsid w:val="001B4729"/>
    <w:rsid w:val="001B4F0E"/>
    <w:rsid w:val="001B5F40"/>
    <w:rsid w:val="001B6310"/>
    <w:rsid w:val="001B6C09"/>
    <w:rsid w:val="001B6E12"/>
    <w:rsid w:val="001C0409"/>
    <w:rsid w:val="001C05CD"/>
    <w:rsid w:val="001C082B"/>
    <w:rsid w:val="001C0F17"/>
    <w:rsid w:val="001C1B24"/>
    <w:rsid w:val="001C1B66"/>
    <w:rsid w:val="001C31A2"/>
    <w:rsid w:val="001C351D"/>
    <w:rsid w:val="001C4B8F"/>
    <w:rsid w:val="001C4BB8"/>
    <w:rsid w:val="001C4FD0"/>
    <w:rsid w:val="001C5E46"/>
    <w:rsid w:val="001C6B3B"/>
    <w:rsid w:val="001C7212"/>
    <w:rsid w:val="001C7A26"/>
    <w:rsid w:val="001C7B9F"/>
    <w:rsid w:val="001C7E3F"/>
    <w:rsid w:val="001D0EF1"/>
    <w:rsid w:val="001D1881"/>
    <w:rsid w:val="001D22C2"/>
    <w:rsid w:val="001D2C99"/>
    <w:rsid w:val="001D31AA"/>
    <w:rsid w:val="001D342F"/>
    <w:rsid w:val="001D409F"/>
    <w:rsid w:val="001D452E"/>
    <w:rsid w:val="001D54C1"/>
    <w:rsid w:val="001D54EB"/>
    <w:rsid w:val="001D556E"/>
    <w:rsid w:val="001D5DF2"/>
    <w:rsid w:val="001D6175"/>
    <w:rsid w:val="001D68B2"/>
    <w:rsid w:val="001D6972"/>
    <w:rsid w:val="001D6CFA"/>
    <w:rsid w:val="001D72D8"/>
    <w:rsid w:val="001D7EFD"/>
    <w:rsid w:val="001D7F60"/>
    <w:rsid w:val="001D7FB8"/>
    <w:rsid w:val="001E04B6"/>
    <w:rsid w:val="001E085B"/>
    <w:rsid w:val="001E149B"/>
    <w:rsid w:val="001E15CB"/>
    <w:rsid w:val="001E3008"/>
    <w:rsid w:val="001E3306"/>
    <w:rsid w:val="001E504C"/>
    <w:rsid w:val="001E5A17"/>
    <w:rsid w:val="001E6BA0"/>
    <w:rsid w:val="001E71A6"/>
    <w:rsid w:val="001E74C5"/>
    <w:rsid w:val="001F1236"/>
    <w:rsid w:val="001F2F90"/>
    <w:rsid w:val="001F4597"/>
    <w:rsid w:val="001F4826"/>
    <w:rsid w:val="001F4A40"/>
    <w:rsid w:val="001F59C8"/>
    <w:rsid w:val="001F6720"/>
    <w:rsid w:val="001F6CD3"/>
    <w:rsid w:val="001F75DA"/>
    <w:rsid w:val="001F7CE0"/>
    <w:rsid w:val="00200085"/>
    <w:rsid w:val="00202E09"/>
    <w:rsid w:val="00203332"/>
    <w:rsid w:val="00203CD5"/>
    <w:rsid w:val="00203D8F"/>
    <w:rsid w:val="00203DA4"/>
    <w:rsid w:val="00204EA6"/>
    <w:rsid w:val="00205186"/>
    <w:rsid w:val="00206516"/>
    <w:rsid w:val="002070CF"/>
    <w:rsid w:val="002071D5"/>
    <w:rsid w:val="00207A6E"/>
    <w:rsid w:val="002111E5"/>
    <w:rsid w:val="0021149E"/>
    <w:rsid w:val="002118B9"/>
    <w:rsid w:val="00213691"/>
    <w:rsid w:val="002142C0"/>
    <w:rsid w:val="00216F3D"/>
    <w:rsid w:val="0021726E"/>
    <w:rsid w:val="0021772A"/>
    <w:rsid w:val="00217809"/>
    <w:rsid w:val="00217C5B"/>
    <w:rsid w:val="00220A43"/>
    <w:rsid w:val="0022139E"/>
    <w:rsid w:val="00221D71"/>
    <w:rsid w:val="00222729"/>
    <w:rsid w:val="0022287B"/>
    <w:rsid w:val="002228DB"/>
    <w:rsid w:val="00223185"/>
    <w:rsid w:val="00223264"/>
    <w:rsid w:val="002233D6"/>
    <w:rsid w:val="0022441D"/>
    <w:rsid w:val="00224574"/>
    <w:rsid w:val="00224E3F"/>
    <w:rsid w:val="002252BE"/>
    <w:rsid w:val="002252E0"/>
    <w:rsid w:val="002255F6"/>
    <w:rsid w:val="00226032"/>
    <w:rsid w:val="0022738D"/>
    <w:rsid w:val="00227605"/>
    <w:rsid w:val="00227850"/>
    <w:rsid w:val="00227A53"/>
    <w:rsid w:val="00227E2E"/>
    <w:rsid w:val="00227F53"/>
    <w:rsid w:val="00230C6E"/>
    <w:rsid w:val="00230E21"/>
    <w:rsid w:val="00231066"/>
    <w:rsid w:val="002316A8"/>
    <w:rsid w:val="00231859"/>
    <w:rsid w:val="002320C9"/>
    <w:rsid w:val="0023288F"/>
    <w:rsid w:val="002328EF"/>
    <w:rsid w:val="0023359B"/>
    <w:rsid w:val="00233603"/>
    <w:rsid w:val="002340EF"/>
    <w:rsid w:val="00234B82"/>
    <w:rsid w:val="00236443"/>
    <w:rsid w:val="002365DF"/>
    <w:rsid w:val="00236700"/>
    <w:rsid w:val="00237C8B"/>
    <w:rsid w:val="00240391"/>
    <w:rsid w:val="00240AF3"/>
    <w:rsid w:val="002418D5"/>
    <w:rsid w:val="00241A9F"/>
    <w:rsid w:val="00241B06"/>
    <w:rsid w:val="00241E78"/>
    <w:rsid w:val="0024343A"/>
    <w:rsid w:val="002436BA"/>
    <w:rsid w:val="00244401"/>
    <w:rsid w:val="00244652"/>
    <w:rsid w:val="00244A15"/>
    <w:rsid w:val="002452D9"/>
    <w:rsid w:val="002459E7"/>
    <w:rsid w:val="00245A28"/>
    <w:rsid w:val="00245DC4"/>
    <w:rsid w:val="00246F65"/>
    <w:rsid w:val="00247319"/>
    <w:rsid w:val="0024799E"/>
    <w:rsid w:val="00247E60"/>
    <w:rsid w:val="0025074A"/>
    <w:rsid w:val="00251496"/>
    <w:rsid w:val="00251B08"/>
    <w:rsid w:val="00251C53"/>
    <w:rsid w:val="00251CA2"/>
    <w:rsid w:val="00251F90"/>
    <w:rsid w:val="00252AB9"/>
    <w:rsid w:val="002532B1"/>
    <w:rsid w:val="00253C0F"/>
    <w:rsid w:val="0025464D"/>
    <w:rsid w:val="002558C1"/>
    <w:rsid w:val="00256207"/>
    <w:rsid w:val="002575F3"/>
    <w:rsid w:val="002603E1"/>
    <w:rsid w:val="002605FE"/>
    <w:rsid w:val="0026120E"/>
    <w:rsid w:val="002617EE"/>
    <w:rsid w:val="00262582"/>
    <w:rsid w:val="0026291D"/>
    <w:rsid w:val="00262CF3"/>
    <w:rsid w:val="00263BE3"/>
    <w:rsid w:val="00264274"/>
    <w:rsid w:val="00264309"/>
    <w:rsid w:val="0026434E"/>
    <w:rsid w:val="00264992"/>
    <w:rsid w:val="00264B4F"/>
    <w:rsid w:val="00264BDD"/>
    <w:rsid w:val="0026564B"/>
    <w:rsid w:val="00265C83"/>
    <w:rsid w:val="00265E85"/>
    <w:rsid w:val="00266D4F"/>
    <w:rsid w:val="00267B49"/>
    <w:rsid w:val="00267C51"/>
    <w:rsid w:val="002700D9"/>
    <w:rsid w:val="0027025F"/>
    <w:rsid w:val="002709CC"/>
    <w:rsid w:val="00270D25"/>
    <w:rsid w:val="00271022"/>
    <w:rsid w:val="00271465"/>
    <w:rsid w:val="00271A07"/>
    <w:rsid w:val="00271E47"/>
    <w:rsid w:val="002721F5"/>
    <w:rsid w:val="00272DF4"/>
    <w:rsid w:val="00273517"/>
    <w:rsid w:val="002744BA"/>
    <w:rsid w:val="00275062"/>
    <w:rsid w:val="00275758"/>
    <w:rsid w:val="0027583D"/>
    <w:rsid w:val="00275DEF"/>
    <w:rsid w:val="002763A2"/>
    <w:rsid w:val="00276B33"/>
    <w:rsid w:val="00277669"/>
    <w:rsid w:val="00277A5B"/>
    <w:rsid w:val="002803A5"/>
    <w:rsid w:val="00280ACB"/>
    <w:rsid w:val="002812E3"/>
    <w:rsid w:val="0028188C"/>
    <w:rsid w:val="00281D5A"/>
    <w:rsid w:val="00282AD4"/>
    <w:rsid w:val="00282B14"/>
    <w:rsid w:val="0028341F"/>
    <w:rsid w:val="002837AE"/>
    <w:rsid w:val="00283C13"/>
    <w:rsid w:val="00283F7B"/>
    <w:rsid w:val="0028431A"/>
    <w:rsid w:val="002853FA"/>
    <w:rsid w:val="00285412"/>
    <w:rsid w:val="00286220"/>
    <w:rsid w:val="00290B7A"/>
    <w:rsid w:val="0029161E"/>
    <w:rsid w:val="00291640"/>
    <w:rsid w:val="0029237E"/>
    <w:rsid w:val="00292997"/>
    <w:rsid w:val="00293D24"/>
    <w:rsid w:val="00294886"/>
    <w:rsid w:val="0029509B"/>
    <w:rsid w:val="0029588F"/>
    <w:rsid w:val="00295E96"/>
    <w:rsid w:val="00297256"/>
    <w:rsid w:val="00297A5C"/>
    <w:rsid w:val="00297D51"/>
    <w:rsid w:val="002A0122"/>
    <w:rsid w:val="002A016B"/>
    <w:rsid w:val="002A0296"/>
    <w:rsid w:val="002A0A8F"/>
    <w:rsid w:val="002A0FF8"/>
    <w:rsid w:val="002A16D4"/>
    <w:rsid w:val="002A1C20"/>
    <w:rsid w:val="002A1E4F"/>
    <w:rsid w:val="002A230C"/>
    <w:rsid w:val="002A2896"/>
    <w:rsid w:val="002A2AF7"/>
    <w:rsid w:val="002A3209"/>
    <w:rsid w:val="002A38F3"/>
    <w:rsid w:val="002A3EA2"/>
    <w:rsid w:val="002A51AC"/>
    <w:rsid w:val="002A5314"/>
    <w:rsid w:val="002A532A"/>
    <w:rsid w:val="002A5846"/>
    <w:rsid w:val="002A5D3C"/>
    <w:rsid w:val="002A5D97"/>
    <w:rsid w:val="002A603E"/>
    <w:rsid w:val="002A6353"/>
    <w:rsid w:val="002A63B9"/>
    <w:rsid w:val="002A68AC"/>
    <w:rsid w:val="002A6E1F"/>
    <w:rsid w:val="002A7089"/>
    <w:rsid w:val="002A7269"/>
    <w:rsid w:val="002A7342"/>
    <w:rsid w:val="002B1619"/>
    <w:rsid w:val="002B29A9"/>
    <w:rsid w:val="002B3608"/>
    <w:rsid w:val="002B3EF4"/>
    <w:rsid w:val="002B4845"/>
    <w:rsid w:val="002B5012"/>
    <w:rsid w:val="002B5567"/>
    <w:rsid w:val="002B5812"/>
    <w:rsid w:val="002B595E"/>
    <w:rsid w:val="002B5BE2"/>
    <w:rsid w:val="002B72AA"/>
    <w:rsid w:val="002C1110"/>
    <w:rsid w:val="002C1BC2"/>
    <w:rsid w:val="002C1F09"/>
    <w:rsid w:val="002C22A4"/>
    <w:rsid w:val="002C260B"/>
    <w:rsid w:val="002C27A6"/>
    <w:rsid w:val="002C31E4"/>
    <w:rsid w:val="002C398D"/>
    <w:rsid w:val="002C40D2"/>
    <w:rsid w:val="002C43BD"/>
    <w:rsid w:val="002C5245"/>
    <w:rsid w:val="002C564A"/>
    <w:rsid w:val="002C59D8"/>
    <w:rsid w:val="002C5FEB"/>
    <w:rsid w:val="002C6494"/>
    <w:rsid w:val="002C7BBD"/>
    <w:rsid w:val="002D05CB"/>
    <w:rsid w:val="002D0E59"/>
    <w:rsid w:val="002D1932"/>
    <w:rsid w:val="002D2C4F"/>
    <w:rsid w:val="002D3A2E"/>
    <w:rsid w:val="002D3EBB"/>
    <w:rsid w:val="002D455C"/>
    <w:rsid w:val="002D5473"/>
    <w:rsid w:val="002D6066"/>
    <w:rsid w:val="002D6A4C"/>
    <w:rsid w:val="002E02A1"/>
    <w:rsid w:val="002E196A"/>
    <w:rsid w:val="002E1F8A"/>
    <w:rsid w:val="002E20C7"/>
    <w:rsid w:val="002E20CD"/>
    <w:rsid w:val="002E222E"/>
    <w:rsid w:val="002E28D8"/>
    <w:rsid w:val="002E3638"/>
    <w:rsid w:val="002E37D1"/>
    <w:rsid w:val="002E3BEE"/>
    <w:rsid w:val="002E4E4C"/>
    <w:rsid w:val="002E4EA7"/>
    <w:rsid w:val="002E551F"/>
    <w:rsid w:val="002E5846"/>
    <w:rsid w:val="002E6E2E"/>
    <w:rsid w:val="002E792B"/>
    <w:rsid w:val="002E7AEB"/>
    <w:rsid w:val="002E7B79"/>
    <w:rsid w:val="002F1B09"/>
    <w:rsid w:val="002F1D56"/>
    <w:rsid w:val="002F1DCB"/>
    <w:rsid w:val="002F1DE4"/>
    <w:rsid w:val="002F333D"/>
    <w:rsid w:val="002F351A"/>
    <w:rsid w:val="002F46D6"/>
    <w:rsid w:val="002F498A"/>
    <w:rsid w:val="002F4AD8"/>
    <w:rsid w:val="002F5285"/>
    <w:rsid w:val="002F5820"/>
    <w:rsid w:val="002F64BB"/>
    <w:rsid w:val="002F71B3"/>
    <w:rsid w:val="002F7D9B"/>
    <w:rsid w:val="003009BE"/>
    <w:rsid w:val="00300C31"/>
    <w:rsid w:val="003017EC"/>
    <w:rsid w:val="00302165"/>
    <w:rsid w:val="00303535"/>
    <w:rsid w:val="00303BB4"/>
    <w:rsid w:val="00304771"/>
    <w:rsid w:val="003052D4"/>
    <w:rsid w:val="003060E9"/>
    <w:rsid w:val="003064F5"/>
    <w:rsid w:val="00306C5B"/>
    <w:rsid w:val="00307529"/>
    <w:rsid w:val="00307DB3"/>
    <w:rsid w:val="00307ED2"/>
    <w:rsid w:val="0031076D"/>
    <w:rsid w:val="00310797"/>
    <w:rsid w:val="0031169A"/>
    <w:rsid w:val="003118E3"/>
    <w:rsid w:val="00311AA6"/>
    <w:rsid w:val="00311C4D"/>
    <w:rsid w:val="003121AB"/>
    <w:rsid w:val="00312D09"/>
    <w:rsid w:val="00313A03"/>
    <w:rsid w:val="00315169"/>
    <w:rsid w:val="003153C8"/>
    <w:rsid w:val="00315524"/>
    <w:rsid w:val="00315561"/>
    <w:rsid w:val="00316B3D"/>
    <w:rsid w:val="0032058C"/>
    <w:rsid w:val="003208D0"/>
    <w:rsid w:val="003209D6"/>
    <w:rsid w:val="003212E9"/>
    <w:rsid w:val="003217B9"/>
    <w:rsid w:val="00321924"/>
    <w:rsid w:val="00321AF1"/>
    <w:rsid w:val="00321EB6"/>
    <w:rsid w:val="003220A5"/>
    <w:rsid w:val="003238E0"/>
    <w:rsid w:val="00323A1C"/>
    <w:rsid w:val="003247E1"/>
    <w:rsid w:val="00324B59"/>
    <w:rsid w:val="0032656E"/>
    <w:rsid w:val="0032741D"/>
    <w:rsid w:val="0032788F"/>
    <w:rsid w:val="00332190"/>
    <w:rsid w:val="00332A98"/>
    <w:rsid w:val="003334BD"/>
    <w:rsid w:val="00333973"/>
    <w:rsid w:val="00333BC2"/>
    <w:rsid w:val="00333C11"/>
    <w:rsid w:val="00333CD0"/>
    <w:rsid w:val="0033448D"/>
    <w:rsid w:val="00334AD2"/>
    <w:rsid w:val="00334CB6"/>
    <w:rsid w:val="0033709C"/>
    <w:rsid w:val="003370C5"/>
    <w:rsid w:val="003373C6"/>
    <w:rsid w:val="0033753A"/>
    <w:rsid w:val="0033794E"/>
    <w:rsid w:val="00340BF3"/>
    <w:rsid w:val="00341586"/>
    <w:rsid w:val="00341D26"/>
    <w:rsid w:val="00341F05"/>
    <w:rsid w:val="00342613"/>
    <w:rsid w:val="0034275C"/>
    <w:rsid w:val="00342AC4"/>
    <w:rsid w:val="0034335E"/>
    <w:rsid w:val="00344668"/>
    <w:rsid w:val="00344940"/>
    <w:rsid w:val="00346234"/>
    <w:rsid w:val="003462D9"/>
    <w:rsid w:val="0034723F"/>
    <w:rsid w:val="00347247"/>
    <w:rsid w:val="003474B6"/>
    <w:rsid w:val="00347DD4"/>
    <w:rsid w:val="003504AE"/>
    <w:rsid w:val="0035059E"/>
    <w:rsid w:val="00352B43"/>
    <w:rsid w:val="00352C28"/>
    <w:rsid w:val="00354F89"/>
    <w:rsid w:val="0035506D"/>
    <w:rsid w:val="00355D7F"/>
    <w:rsid w:val="0036077F"/>
    <w:rsid w:val="00360C86"/>
    <w:rsid w:val="00360F7A"/>
    <w:rsid w:val="00360FBC"/>
    <w:rsid w:val="00361537"/>
    <w:rsid w:val="00361BEB"/>
    <w:rsid w:val="00361FB7"/>
    <w:rsid w:val="0036242A"/>
    <w:rsid w:val="00362993"/>
    <w:rsid w:val="00362C23"/>
    <w:rsid w:val="00362DCA"/>
    <w:rsid w:val="00362E90"/>
    <w:rsid w:val="00364FA0"/>
    <w:rsid w:val="003657F3"/>
    <w:rsid w:val="00365844"/>
    <w:rsid w:val="0036624C"/>
    <w:rsid w:val="0036637B"/>
    <w:rsid w:val="003677DB"/>
    <w:rsid w:val="00367811"/>
    <w:rsid w:val="00367F5C"/>
    <w:rsid w:val="00367F84"/>
    <w:rsid w:val="003712BC"/>
    <w:rsid w:val="00372164"/>
    <w:rsid w:val="003738BD"/>
    <w:rsid w:val="00373E44"/>
    <w:rsid w:val="00374263"/>
    <w:rsid w:val="003746F0"/>
    <w:rsid w:val="00374A20"/>
    <w:rsid w:val="00374E21"/>
    <w:rsid w:val="0037537A"/>
    <w:rsid w:val="0037618E"/>
    <w:rsid w:val="00377B2E"/>
    <w:rsid w:val="003804B5"/>
    <w:rsid w:val="003810F0"/>
    <w:rsid w:val="003815D4"/>
    <w:rsid w:val="003818DC"/>
    <w:rsid w:val="00382513"/>
    <w:rsid w:val="00382A96"/>
    <w:rsid w:val="00383388"/>
    <w:rsid w:val="003834F8"/>
    <w:rsid w:val="003838D0"/>
    <w:rsid w:val="003840C2"/>
    <w:rsid w:val="00384327"/>
    <w:rsid w:val="00384A89"/>
    <w:rsid w:val="00385086"/>
    <w:rsid w:val="0038510E"/>
    <w:rsid w:val="00385D98"/>
    <w:rsid w:val="00387798"/>
    <w:rsid w:val="00390306"/>
    <w:rsid w:val="003908A6"/>
    <w:rsid w:val="00390963"/>
    <w:rsid w:val="0039109D"/>
    <w:rsid w:val="003914BC"/>
    <w:rsid w:val="00391989"/>
    <w:rsid w:val="00391A6C"/>
    <w:rsid w:val="003927F6"/>
    <w:rsid w:val="0039398D"/>
    <w:rsid w:val="00393B3F"/>
    <w:rsid w:val="00396739"/>
    <w:rsid w:val="00396FC7"/>
    <w:rsid w:val="003978B1"/>
    <w:rsid w:val="003A04F6"/>
    <w:rsid w:val="003A0837"/>
    <w:rsid w:val="003A2B4D"/>
    <w:rsid w:val="003A2D12"/>
    <w:rsid w:val="003A2EBA"/>
    <w:rsid w:val="003A37D9"/>
    <w:rsid w:val="003A45E3"/>
    <w:rsid w:val="003A46B8"/>
    <w:rsid w:val="003A478C"/>
    <w:rsid w:val="003A496E"/>
    <w:rsid w:val="003A4A38"/>
    <w:rsid w:val="003A533C"/>
    <w:rsid w:val="003A5525"/>
    <w:rsid w:val="003A5889"/>
    <w:rsid w:val="003A5E5D"/>
    <w:rsid w:val="003A6B38"/>
    <w:rsid w:val="003A6B83"/>
    <w:rsid w:val="003A6C97"/>
    <w:rsid w:val="003A722F"/>
    <w:rsid w:val="003A7373"/>
    <w:rsid w:val="003A7D09"/>
    <w:rsid w:val="003B039F"/>
    <w:rsid w:val="003B0DF4"/>
    <w:rsid w:val="003B1F9D"/>
    <w:rsid w:val="003B2026"/>
    <w:rsid w:val="003B2A8D"/>
    <w:rsid w:val="003B2AD1"/>
    <w:rsid w:val="003B2D2E"/>
    <w:rsid w:val="003B376A"/>
    <w:rsid w:val="003B461F"/>
    <w:rsid w:val="003B483F"/>
    <w:rsid w:val="003B4998"/>
    <w:rsid w:val="003B541A"/>
    <w:rsid w:val="003B578E"/>
    <w:rsid w:val="003B5A32"/>
    <w:rsid w:val="003B5B59"/>
    <w:rsid w:val="003B7B50"/>
    <w:rsid w:val="003C0B07"/>
    <w:rsid w:val="003C1F21"/>
    <w:rsid w:val="003C2CE7"/>
    <w:rsid w:val="003C2DB8"/>
    <w:rsid w:val="003C3490"/>
    <w:rsid w:val="003C3608"/>
    <w:rsid w:val="003C377B"/>
    <w:rsid w:val="003C3AE8"/>
    <w:rsid w:val="003C3D2C"/>
    <w:rsid w:val="003C4E13"/>
    <w:rsid w:val="003C6221"/>
    <w:rsid w:val="003C63D7"/>
    <w:rsid w:val="003C68CC"/>
    <w:rsid w:val="003C7E62"/>
    <w:rsid w:val="003D062A"/>
    <w:rsid w:val="003D12B9"/>
    <w:rsid w:val="003D1E7A"/>
    <w:rsid w:val="003D242B"/>
    <w:rsid w:val="003D2492"/>
    <w:rsid w:val="003D29AA"/>
    <w:rsid w:val="003D2A99"/>
    <w:rsid w:val="003D6134"/>
    <w:rsid w:val="003D6920"/>
    <w:rsid w:val="003E0249"/>
    <w:rsid w:val="003E08A4"/>
    <w:rsid w:val="003E0BBF"/>
    <w:rsid w:val="003E1EF8"/>
    <w:rsid w:val="003E2DBA"/>
    <w:rsid w:val="003E2DFB"/>
    <w:rsid w:val="003E4466"/>
    <w:rsid w:val="003E4C91"/>
    <w:rsid w:val="003E52D8"/>
    <w:rsid w:val="003E62F1"/>
    <w:rsid w:val="003E69B0"/>
    <w:rsid w:val="003E6F84"/>
    <w:rsid w:val="003F0C45"/>
    <w:rsid w:val="003F1B88"/>
    <w:rsid w:val="003F313C"/>
    <w:rsid w:val="003F33B9"/>
    <w:rsid w:val="003F37FC"/>
    <w:rsid w:val="003F4318"/>
    <w:rsid w:val="003F4B2C"/>
    <w:rsid w:val="003F551C"/>
    <w:rsid w:val="003F626D"/>
    <w:rsid w:val="003F72ED"/>
    <w:rsid w:val="003F7645"/>
    <w:rsid w:val="003F7D23"/>
    <w:rsid w:val="003F7DBB"/>
    <w:rsid w:val="00400050"/>
    <w:rsid w:val="004002C8"/>
    <w:rsid w:val="00400468"/>
    <w:rsid w:val="0040099D"/>
    <w:rsid w:val="004016CB"/>
    <w:rsid w:val="00401B23"/>
    <w:rsid w:val="00401C94"/>
    <w:rsid w:val="00402473"/>
    <w:rsid w:val="00402ADB"/>
    <w:rsid w:val="0040368D"/>
    <w:rsid w:val="00403D1D"/>
    <w:rsid w:val="00403F57"/>
    <w:rsid w:val="004046BD"/>
    <w:rsid w:val="00404BAB"/>
    <w:rsid w:val="00405318"/>
    <w:rsid w:val="004059D2"/>
    <w:rsid w:val="004060C9"/>
    <w:rsid w:val="004066D0"/>
    <w:rsid w:val="00406C2E"/>
    <w:rsid w:val="00406CDA"/>
    <w:rsid w:val="00406EB0"/>
    <w:rsid w:val="00407711"/>
    <w:rsid w:val="00407C13"/>
    <w:rsid w:val="00407C75"/>
    <w:rsid w:val="004100D0"/>
    <w:rsid w:val="004103F6"/>
    <w:rsid w:val="00410638"/>
    <w:rsid w:val="00412511"/>
    <w:rsid w:val="004125C2"/>
    <w:rsid w:val="00412DFA"/>
    <w:rsid w:val="00413465"/>
    <w:rsid w:val="004149AC"/>
    <w:rsid w:val="00414C39"/>
    <w:rsid w:val="0041501E"/>
    <w:rsid w:val="00415452"/>
    <w:rsid w:val="004156F7"/>
    <w:rsid w:val="004159C3"/>
    <w:rsid w:val="00415A57"/>
    <w:rsid w:val="00416D06"/>
    <w:rsid w:val="00416DAC"/>
    <w:rsid w:val="00420880"/>
    <w:rsid w:val="00421179"/>
    <w:rsid w:val="00423623"/>
    <w:rsid w:val="0042470E"/>
    <w:rsid w:val="00430C96"/>
    <w:rsid w:val="0043174F"/>
    <w:rsid w:val="00431BFF"/>
    <w:rsid w:val="00432199"/>
    <w:rsid w:val="004325D5"/>
    <w:rsid w:val="00432A58"/>
    <w:rsid w:val="004331C3"/>
    <w:rsid w:val="00433C17"/>
    <w:rsid w:val="00434617"/>
    <w:rsid w:val="00435051"/>
    <w:rsid w:val="00435C69"/>
    <w:rsid w:val="004360FB"/>
    <w:rsid w:val="004378A0"/>
    <w:rsid w:val="00437C5A"/>
    <w:rsid w:val="00437CED"/>
    <w:rsid w:val="0044032C"/>
    <w:rsid w:val="004407BF"/>
    <w:rsid w:val="00440900"/>
    <w:rsid w:val="0044121D"/>
    <w:rsid w:val="00441BF6"/>
    <w:rsid w:val="00441D2B"/>
    <w:rsid w:val="00441F8B"/>
    <w:rsid w:val="00442085"/>
    <w:rsid w:val="0044279E"/>
    <w:rsid w:val="004428F6"/>
    <w:rsid w:val="004441A0"/>
    <w:rsid w:val="004451A9"/>
    <w:rsid w:val="00445861"/>
    <w:rsid w:val="00445A8E"/>
    <w:rsid w:val="00446D44"/>
    <w:rsid w:val="00446FB3"/>
    <w:rsid w:val="00450680"/>
    <w:rsid w:val="0045078A"/>
    <w:rsid w:val="0045086D"/>
    <w:rsid w:val="00450DAB"/>
    <w:rsid w:val="0045125B"/>
    <w:rsid w:val="00451A42"/>
    <w:rsid w:val="00451EF1"/>
    <w:rsid w:val="00452E60"/>
    <w:rsid w:val="0045321B"/>
    <w:rsid w:val="00456FE5"/>
    <w:rsid w:val="00457490"/>
    <w:rsid w:val="0045786C"/>
    <w:rsid w:val="00457953"/>
    <w:rsid w:val="004604D8"/>
    <w:rsid w:val="00460656"/>
    <w:rsid w:val="0046081A"/>
    <w:rsid w:val="00460FB3"/>
    <w:rsid w:val="00462CCB"/>
    <w:rsid w:val="00462F24"/>
    <w:rsid w:val="00463D3C"/>
    <w:rsid w:val="00464851"/>
    <w:rsid w:val="00466595"/>
    <w:rsid w:val="00466B3E"/>
    <w:rsid w:val="0046746A"/>
    <w:rsid w:val="0046782F"/>
    <w:rsid w:val="00467B14"/>
    <w:rsid w:val="004707FE"/>
    <w:rsid w:val="00470EDC"/>
    <w:rsid w:val="00472418"/>
    <w:rsid w:val="0047276D"/>
    <w:rsid w:val="00472AF6"/>
    <w:rsid w:val="00473482"/>
    <w:rsid w:val="00474646"/>
    <w:rsid w:val="00474A04"/>
    <w:rsid w:val="0047584B"/>
    <w:rsid w:val="00476240"/>
    <w:rsid w:val="00476439"/>
    <w:rsid w:val="00476450"/>
    <w:rsid w:val="004769BF"/>
    <w:rsid w:val="004769E1"/>
    <w:rsid w:val="0047735C"/>
    <w:rsid w:val="004776BC"/>
    <w:rsid w:val="00477820"/>
    <w:rsid w:val="00477B96"/>
    <w:rsid w:val="00480959"/>
    <w:rsid w:val="00480BAE"/>
    <w:rsid w:val="00480D7F"/>
    <w:rsid w:val="0048139F"/>
    <w:rsid w:val="00481E40"/>
    <w:rsid w:val="00482405"/>
    <w:rsid w:val="004826A7"/>
    <w:rsid w:val="00483144"/>
    <w:rsid w:val="0048368C"/>
    <w:rsid w:val="0048372F"/>
    <w:rsid w:val="00483A0C"/>
    <w:rsid w:val="004841CC"/>
    <w:rsid w:val="00484ECE"/>
    <w:rsid w:val="00485E82"/>
    <w:rsid w:val="00486132"/>
    <w:rsid w:val="0048686D"/>
    <w:rsid w:val="00486A4D"/>
    <w:rsid w:val="00487B9B"/>
    <w:rsid w:val="004915CB"/>
    <w:rsid w:val="004924DC"/>
    <w:rsid w:val="0049253A"/>
    <w:rsid w:val="00492879"/>
    <w:rsid w:val="00493E85"/>
    <w:rsid w:val="00494AD2"/>
    <w:rsid w:val="00495145"/>
    <w:rsid w:val="0049531F"/>
    <w:rsid w:val="004979A5"/>
    <w:rsid w:val="004979C2"/>
    <w:rsid w:val="00497AB1"/>
    <w:rsid w:val="004A0144"/>
    <w:rsid w:val="004A036E"/>
    <w:rsid w:val="004A0498"/>
    <w:rsid w:val="004A06B0"/>
    <w:rsid w:val="004A0D0E"/>
    <w:rsid w:val="004A14E4"/>
    <w:rsid w:val="004A204E"/>
    <w:rsid w:val="004A26A5"/>
    <w:rsid w:val="004A27F0"/>
    <w:rsid w:val="004A3212"/>
    <w:rsid w:val="004A37CD"/>
    <w:rsid w:val="004A40D9"/>
    <w:rsid w:val="004A47BE"/>
    <w:rsid w:val="004A49A5"/>
    <w:rsid w:val="004A4F8A"/>
    <w:rsid w:val="004A52AB"/>
    <w:rsid w:val="004A5429"/>
    <w:rsid w:val="004A5494"/>
    <w:rsid w:val="004A5D4E"/>
    <w:rsid w:val="004A61C5"/>
    <w:rsid w:val="004A62A0"/>
    <w:rsid w:val="004A77DF"/>
    <w:rsid w:val="004B0710"/>
    <w:rsid w:val="004B1417"/>
    <w:rsid w:val="004B1FD9"/>
    <w:rsid w:val="004B305C"/>
    <w:rsid w:val="004B31B8"/>
    <w:rsid w:val="004B339A"/>
    <w:rsid w:val="004B4C83"/>
    <w:rsid w:val="004B55B7"/>
    <w:rsid w:val="004B5BFA"/>
    <w:rsid w:val="004B619E"/>
    <w:rsid w:val="004B6468"/>
    <w:rsid w:val="004B6EF8"/>
    <w:rsid w:val="004B7125"/>
    <w:rsid w:val="004B756A"/>
    <w:rsid w:val="004B7E0F"/>
    <w:rsid w:val="004B7FB1"/>
    <w:rsid w:val="004C0B3F"/>
    <w:rsid w:val="004C0F87"/>
    <w:rsid w:val="004C2794"/>
    <w:rsid w:val="004C2BB6"/>
    <w:rsid w:val="004C2C2D"/>
    <w:rsid w:val="004C3027"/>
    <w:rsid w:val="004C384C"/>
    <w:rsid w:val="004C3867"/>
    <w:rsid w:val="004C3DB0"/>
    <w:rsid w:val="004C439A"/>
    <w:rsid w:val="004C4720"/>
    <w:rsid w:val="004C4CD0"/>
    <w:rsid w:val="004C5060"/>
    <w:rsid w:val="004C5165"/>
    <w:rsid w:val="004C589C"/>
    <w:rsid w:val="004C5AE8"/>
    <w:rsid w:val="004C6E0E"/>
    <w:rsid w:val="004C70DC"/>
    <w:rsid w:val="004D0211"/>
    <w:rsid w:val="004D0794"/>
    <w:rsid w:val="004D1C33"/>
    <w:rsid w:val="004D2E03"/>
    <w:rsid w:val="004D3296"/>
    <w:rsid w:val="004D363B"/>
    <w:rsid w:val="004D4056"/>
    <w:rsid w:val="004D4CB0"/>
    <w:rsid w:val="004D5B0F"/>
    <w:rsid w:val="004D7626"/>
    <w:rsid w:val="004E138B"/>
    <w:rsid w:val="004E186A"/>
    <w:rsid w:val="004E1A40"/>
    <w:rsid w:val="004E200A"/>
    <w:rsid w:val="004E23FC"/>
    <w:rsid w:val="004E2409"/>
    <w:rsid w:val="004E261D"/>
    <w:rsid w:val="004E3927"/>
    <w:rsid w:val="004E3B7F"/>
    <w:rsid w:val="004E4961"/>
    <w:rsid w:val="004E57BF"/>
    <w:rsid w:val="004E5F41"/>
    <w:rsid w:val="004E6011"/>
    <w:rsid w:val="004E6DE6"/>
    <w:rsid w:val="004E765E"/>
    <w:rsid w:val="004E7815"/>
    <w:rsid w:val="004F06BD"/>
    <w:rsid w:val="004F06F5"/>
    <w:rsid w:val="004F12A4"/>
    <w:rsid w:val="004F253F"/>
    <w:rsid w:val="004F33A0"/>
    <w:rsid w:val="004F3873"/>
    <w:rsid w:val="004F3BD2"/>
    <w:rsid w:val="004F46ED"/>
    <w:rsid w:val="004F49A3"/>
    <w:rsid w:val="004F4C99"/>
    <w:rsid w:val="004F5358"/>
    <w:rsid w:val="004F58D4"/>
    <w:rsid w:val="004F6484"/>
    <w:rsid w:val="004F6539"/>
    <w:rsid w:val="004F7B54"/>
    <w:rsid w:val="00503D54"/>
    <w:rsid w:val="005048E2"/>
    <w:rsid w:val="00504E95"/>
    <w:rsid w:val="00505FC8"/>
    <w:rsid w:val="00506603"/>
    <w:rsid w:val="0050689D"/>
    <w:rsid w:val="00506CAF"/>
    <w:rsid w:val="005077F5"/>
    <w:rsid w:val="00510125"/>
    <w:rsid w:val="0051071B"/>
    <w:rsid w:val="005108C0"/>
    <w:rsid w:val="0051094F"/>
    <w:rsid w:val="0051112F"/>
    <w:rsid w:val="00511181"/>
    <w:rsid w:val="00511217"/>
    <w:rsid w:val="00511873"/>
    <w:rsid w:val="00512461"/>
    <w:rsid w:val="00512510"/>
    <w:rsid w:val="00512585"/>
    <w:rsid w:val="00512A2F"/>
    <w:rsid w:val="00513258"/>
    <w:rsid w:val="00513B7E"/>
    <w:rsid w:val="00513E9D"/>
    <w:rsid w:val="0051475D"/>
    <w:rsid w:val="00514B11"/>
    <w:rsid w:val="00515485"/>
    <w:rsid w:val="00515BE9"/>
    <w:rsid w:val="00515C74"/>
    <w:rsid w:val="0051630F"/>
    <w:rsid w:val="00517113"/>
    <w:rsid w:val="0052007E"/>
    <w:rsid w:val="00521CAD"/>
    <w:rsid w:val="0052200D"/>
    <w:rsid w:val="005222E6"/>
    <w:rsid w:val="00522425"/>
    <w:rsid w:val="00522D6A"/>
    <w:rsid w:val="00522E01"/>
    <w:rsid w:val="0052337A"/>
    <w:rsid w:val="00524385"/>
    <w:rsid w:val="005246BE"/>
    <w:rsid w:val="00525137"/>
    <w:rsid w:val="005251DD"/>
    <w:rsid w:val="0052543B"/>
    <w:rsid w:val="0052762C"/>
    <w:rsid w:val="0053012B"/>
    <w:rsid w:val="005301A6"/>
    <w:rsid w:val="00530A68"/>
    <w:rsid w:val="00530AD4"/>
    <w:rsid w:val="0053129F"/>
    <w:rsid w:val="00531C5A"/>
    <w:rsid w:val="0053284B"/>
    <w:rsid w:val="00532CE7"/>
    <w:rsid w:val="00532D8B"/>
    <w:rsid w:val="00533023"/>
    <w:rsid w:val="0053324C"/>
    <w:rsid w:val="00533A8D"/>
    <w:rsid w:val="00534A28"/>
    <w:rsid w:val="00535018"/>
    <w:rsid w:val="0053595E"/>
    <w:rsid w:val="00536214"/>
    <w:rsid w:val="005365BD"/>
    <w:rsid w:val="00537571"/>
    <w:rsid w:val="00540056"/>
    <w:rsid w:val="005410E2"/>
    <w:rsid w:val="00541508"/>
    <w:rsid w:val="00541AE3"/>
    <w:rsid w:val="00542AF6"/>
    <w:rsid w:val="00543498"/>
    <w:rsid w:val="00544011"/>
    <w:rsid w:val="00544BE5"/>
    <w:rsid w:val="005453A3"/>
    <w:rsid w:val="005455F6"/>
    <w:rsid w:val="0054582F"/>
    <w:rsid w:val="00546FC7"/>
    <w:rsid w:val="005500F9"/>
    <w:rsid w:val="00550160"/>
    <w:rsid w:val="005519E2"/>
    <w:rsid w:val="005523A8"/>
    <w:rsid w:val="00552F2C"/>
    <w:rsid w:val="00553A25"/>
    <w:rsid w:val="00554419"/>
    <w:rsid w:val="005547EB"/>
    <w:rsid w:val="00554863"/>
    <w:rsid w:val="005555E0"/>
    <w:rsid w:val="0055599F"/>
    <w:rsid w:val="00556D68"/>
    <w:rsid w:val="00556F6D"/>
    <w:rsid w:val="0055707B"/>
    <w:rsid w:val="005570D6"/>
    <w:rsid w:val="00557E05"/>
    <w:rsid w:val="00557E0E"/>
    <w:rsid w:val="00557E45"/>
    <w:rsid w:val="00560162"/>
    <w:rsid w:val="00560319"/>
    <w:rsid w:val="00560C41"/>
    <w:rsid w:val="00560CAC"/>
    <w:rsid w:val="005618E1"/>
    <w:rsid w:val="00561F44"/>
    <w:rsid w:val="00562B4D"/>
    <w:rsid w:val="00562DB1"/>
    <w:rsid w:val="00563EB8"/>
    <w:rsid w:val="005647BF"/>
    <w:rsid w:val="00564AF1"/>
    <w:rsid w:val="005655DB"/>
    <w:rsid w:val="00565E88"/>
    <w:rsid w:val="00566620"/>
    <w:rsid w:val="00567339"/>
    <w:rsid w:val="005678EE"/>
    <w:rsid w:val="00567910"/>
    <w:rsid w:val="00570270"/>
    <w:rsid w:val="00570464"/>
    <w:rsid w:val="00570BC3"/>
    <w:rsid w:val="00570E13"/>
    <w:rsid w:val="0057182A"/>
    <w:rsid w:val="00571E59"/>
    <w:rsid w:val="0057206A"/>
    <w:rsid w:val="00572079"/>
    <w:rsid w:val="00572900"/>
    <w:rsid w:val="00573602"/>
    <w:rsid w:val="0057364B"/>
    <w:rsid w:val="00574773"/>
    <w:rsid w:val="005761EC"/>
    <w:rsid w:val="00576376"/>
    <w:rsid w:val="005764A6"/>
    <w:rsid w:val="00577C07"/>
    <w:rsid w:val="00577DB1"/>
    <w:rsid w:val="00580AD3"/>
    <w:rsid w:val="00580DE7"/>
    <w:rsid w:val="005810E1"/>
    <w:rsid w:val="005820CD"/>
    <w:rsid w:val="00583BDD"/>
    <w:rsid w:val="00583E52"/>
    <w:rsid w:val="00583FFD"/>
    <w:rsid w:val="00584252"/>
    <w:rsid w:val="005848DD"/>
    <w:rsid w:val="0058519A"/>
    <w:rsid w:val="005856BD"/>
    <w:rsid w:val="00585983"/>
    <w:rsid w:val="00586BCA"/>
    <w:rsid w:val="00587038"/>
    <w:rsid w:val="005874A5"/>
    <w:rsid w:val="0059038B"/>
    <w:rsid w:val="005906EE"/>
    <w:rsid w:val="005909B0"/>
    <w:rsid w:val="00590B28"/>
    <w:rsid w:val="005910AE"/>
    <w:rsid w:val="005911BE"/>
    <w:rsid w:val="00591273"/>
    <w:rsid w:val="00591E9E"/>
    <w:rsid w:val="005927A4"/>
    <w:rsid w:val="00593152"/>
    <w:rsid w:val="00593389"/>
    <w:rsid w:val="00593FE6"/>
    <w:rsid w:val="005941B5"/>
    <w:rsid w:val="005956A3"/>
    <w:rsid w:val="00595958"/>
    <w:rsid w:val="00595CAB"/>
    <w:rsid w:val="00595E5A"/>
    <w:rsid w:val="0059622E"/>
    <w:rsid w:val="00596BC7"/>
    <w:rsid w:val="00597671"/>
    <w:rsid w:val="00597840"/>
    <w:rsid w:val="00597BBF"/>
    <w:rsid w:val="005A0463"/>
    <w:rsid w:val="005A0948"/>
    <w:rsid w:val="005A0A03"/>
    <w:rsid w:val="005A10F2"/>
    <w:rsid w:val="005A11D8"/>
    <w:rsid w:val="005A16C0"/>
    <w:rsid w:val="005A21E0"/>
    <w:rsid w:val="005A27A6"/>
    <w:rsid w:val="005A28FF"/>
    <w:rsid w:val="005A2C09"/>
    <w:rsid w:val="005A3778"/>
    <w:rsid w:val="005A37B0"/>
    <w:rsid w:val="005A3DF8"/>
    <w:rsid w:val="005A5549"/>
    <w:rsid w:val="005A566A"/>
    <w:rsid w:val="005A7CF8"/>
    <w:rsid w:val="005B0EDA"/>
    <w:rsid w:val="005B121D"/>
    <w:rsid w:val="005B26B0"/>
    <w:rsid w:val="005B41C9"/>
    <w:rsid w:val="005B44E6"/>
    <w:rsid w:val="005B4853"/>
    <w:rsid w:val="005B5D80"/>
    <w:rsid w:val="005B6CA1"/>
    <w:rsid w:val="005B6D35"/>
    <w:rsid w:val="005B770C"/>
    <w:rsid w:val="005C06ED"/>
    <w:rsid w:val="005C0CE1"/>
    <w:rsid w:val="005C11B8"/>
    <w:rsid w:val="005C216C"/>
    <w:rsid w:val="005C2609"/>
    <w:rsid w:val="005C2B30"/>
    <w:rsid w:val="005C412B"/>
    <w:rsid w:val="005C43EC"/>
    <w:rsid w:val="005C4443"/>
    <w:rsid w:val="005C45DD"/>
    <w:rsid w:val="005C4704"/>
    <w:rsid w:val="005C4CB1"/>
    <w:rsid w:val="005C5400"/>
    <w:rsid w:val="005D1015"/>
    <w:rsid w:val="005D17A1"/>
    <w:rsid w:val="005D3F06"/>
    <w:rsid w:val="005D4B73"/>
    <w:rsid w:val="005D51E7"/>
    <w:rsid w:val="005D5645"/>
    <w:rsid w:val="005D5802"/>
    <w:rsid w:val="005D5AA9"/>
    <w:rsid w:val="005D6002"/>
    <w:rsid w:val="005D66E6"/>
    <w:rsid w:val="005D7119"/>
    <w:rsid w:val="005D72AF"/>
    <w:rsid w:val="005D76C8"/>
    <w:rsid w:val="005D7890"/>
    <w:rsid w:val="005E0432"/>
    <w:rsid w:val="005E0C2B"/>
    <w:rsid w:val="005E19C1"/>
    <w:rsid w:val="005E2194"/>
    <w:rsid w:val="005E22B2"/>
    <w:rsid w:val="005E24F0"/>
    <w:rsid w:val="005E3113"/>
    <w:rsid w:val="005E36FE"/>
    <w:rsid w:val="005E3F66"/>
    <w:rsid w:val="005E490F"/>
    <w:rsid w:val="005E4BC9"/>
    <w:rsid w:val="005E5314"/>
    <w:rsid w:val="005E6041"/>
    <w:rsid w:val="005E7C78"/>
    <w:rsid w:val="005F020C"/>
    <w:rsid w:val="005F04A7"/>
    <w:rsid w:val="005F114F"/>
    <w:rsid w:val="005F18C5"/>
    <w:rsid w:val="005F2A08"/>
    <w:rsid w:val="005F36CC"/>
    <w:rsid w:val="005F3EB1"/>
    <w:rsid w:val="005F413E"/>
    <w:rsid w:val="005F466B"/>
    <w:rsid w:val="005F46D8"/>
    <w:rsid w:val="005F480F"/>
    <w:rsid w:val="005F5469"/>
    <w:rsid w:val="005F55FF"/>
    <w:rsid w:val="005F63F3"/>
    <w:rsid w:val="005F666F"/>
    <w:rsid w:val="005F66F0"/>
    <w:rsid w:val="005F6D7F"/>
    <w:rsid w:val="005F7174"/>
    <w:rsid w:val="005F7C4B"/>
    <w:rsid w:val="0060120D"/>
    <w:rsid w:val="00601ADE"/>
    <w:rsid w:val="00601EEF"/>
    <w:rsid w:val="0060255A"/>
    <w:rsid w:val="00602EB3"/>
    <w:rsid w:val="00603C95"/>
    <w:rsid w:val="00604307"/>
    <w:rsid w:val="0060487F"/>
    <w:rsid w:val="00604EAD"/>
    <w:rsid w:val="0060513F"/>
    <w:rsid w:val="006065E2"/>
    <w:rsid w:val="0060694B"/>
    <w:rsid w:val="006076A2"/>
    <w:rsid w:val="006104FB"/>
    <w:rsid w:val="006112FA"/>
    <w:rsid w:val="0061176D"/>
    <w:rsid w:val="0061200F"/>
    <w:rsid w:val="00612756"/>
    <w:rsid w:val="00612A2F"/>
    <w:rsid w:val="00612AAE"/>
    <w:rsid w:val="00612B07"/>
    <w:rsid w:val="00612FD9"/>
    <w:rsid w:val="006139E0"/>
    <w:rsid w:val="00614D35"/>
    <w:rsid w:val="006156B4"/>
    <w:rsid w:val="00615DAF"/>
    <w:rsid w:val="0061672A"/>
    <w:rsid w:val="00616E05"/>
    <w:rsid w:val="00617985"/>
    <w:rsid w:val="00620B77"/>
    <w:rsid w:val="0062131B"/>
    <w:rsid w:val="00621E26"/>
    <w:rsid w:val="006224EA"/>
    <w:rsid w:val="0062263A"/>
    <w:rsid w:val="006227DF"/>
    <w:rsid w:val="006236C8"/>
    <w:rsid w:val="00624093"/>
    <w:rsid w:val="00625A84"/>
    <w:rsid w:val="00626079"/>
    <w:rsid w:val="00631698"/>
    <w:rsid w:val="00631E44"/>
    <w:rsid w:val="00633676"/>
    <w:rsid w:val="00634C57"/>
    <w:rsid w:val="00634CE7"/>
    <w:rsid w:val="00634D50"/>
    <w:rsid w:val="006350D5"/>
    <w:rsid w:val="0063642C"/>
    <w:rsid w:val="006376B3"/>
    <w:rsid w:val="00637858"/>
    <w:rsid w:val="006404A7"/>
    <w:rsid w:val="00640A38"/>
    <w:rsid w:val="00640E6B"/>
    <w:rsid w:val="00641787"/>
    <w:rsid w:val="0064179B"/>
    <w:rsid w:val="00642489"/>
    <w:rsid w:val="006432D0"/>
    <w:rsid w:val="00644055"/>
    <w:rsid w:val="00644137"/>
    <w:rsid w:val="0064478C"/>
    <w:rsid w:val="00645160"/>
    <w:rsid w:val="006451E4"/>
    <w:rsid w:val="006455C5"/>
    <w:rsid w:val="0064574B"/>
    <w:rsid w:val="00645B33"/>
    <w:rsid w:val="00646B41"/>
    <w:rsid w:val="006473F1"/>
    <w:rsid w:val="00647F5C"/>
    <w:rsid w:val="006516CB"/>
    <w:rsid w:val="00651B49"/>
    <w:rsid w:val="00652E30"/>
    <w:rsid w:val="00653BD0"/>
    <w:rsid w:val="00654110"/>
    <w:rsid w:val="00654F5E"/>
    <w:rsid w:val="006565A1"/>
    <w:rsid w:val="00656C5D"/>
    <w:rsid w:val="00656CFB"/>
    <w:rsid w:val="00656D25"/>
    <w:rsid w:val="00657E87"/>
    <w:rsid w:val="00660874"/>
    <w:rsid w:val="00660D2D"/>
    <w:rsid w:val="00661C41"/>
    <w:rsid w:val="00661EC9"/>
    <w:rsid w:val="00662469"/>
    <w:rsid w:val="0066411C"/>
    <w:rsid w:val="00664205"/>
    <w:rsid w:val="00664647"/>
    <w:rsid w:val="00664803"/>
    <w:rsid w:val="00664B9C"/>
    <w:rsid w:val="0066502F"/>
    <w:rsid w:val="006653CC"/>
    <w:rsid w:val="00665982"/>
    <w:rsid w:val="00665BA4"/>
    <w:rsid w:val="00666BF3"/>
    <w:rsid w:val="00667856"/>
    <w:rsid w:val="00667AF2"/>
    <w:rsid w:val="00670489"/>
    <w:rsid w:val="006710C9"/>
    <w:rsid w:val="00671B61"/>
    <w:rsid w:val="00671D85"/>
    <w:rsid w:val="00672586"/>
    <w:rsid w:val="00673FDE"/>
    <w:rsid w:val="006741CD"/>
    <w:rsid w:val="00674D89"/>
    <w:rsid w:val="0067514E"/>
    <w:rsid w:val="00675E37"/>
    <w:rsid w:val="00676221"/>
    <w:rsid w:val="00676736"/>
    <w:rsid w:val="006769A4"/>
    <w:rsid w:val="006769C6"/>
    <w:rsid w:val="00676D76"/>
    <w:rsid w:val="00676F9F"/>
    <w:rsid w:val="00677519"/>
    <w:rsid w:val="00677589"/>
    <w:rsid w:val="00677591"/>
    <w:rsid w:val="00677594"/>
    <w:rsid w:val="006779F0"/>
    <w:rsid w:val="00677FA3"/>
    <w:rsid w:val="0068032F"/>
    <w:rsid w:val="00680987"/>
    <w:rsid w:val="00680D37"/>
    <w:rsid w:val="0068174E"/>
    <w:rsid w:val="00681A2D"/>
    <w:rsid w:val="00681DCE"/>
    <w:rsid w:val="00682110"/>
    <w:rsid w:val="0068260E"/>
    <w:rsid w:val="006833B9"/>
    <w:rsid w:val="006846B3"/>
    <w:rsid w:val="00684B9B"/>
    <w:rsid w:val="00684D59"/>
    <w:rsid w:val="00684E25"/>
    <w:rsid w:val="0068510B"/>
    <w:rsid w:val="006858A4"/>
    <w:rsid w:val="00685C08"/>
    <w:rsid w:val="00686718"/>
    <w:rsid w:val="00686BFA"/>
    <w:rsid w:val="00686DED"/>
    <w:rsid w:val="00687041"/>
    <w:rsid w:val="006875A0"/>
    <w:rsid w:val="006878C6"/>
    <w:rsid w:val="00687D27"/>
    <w:rsid w:val="00691077"/>
    <w:rsid w:val="00691286"/>
    <w:rsid w:val="00691943"/>
    <w:rsid w:val="00693550"/>
    <w:rsid w:val="0069478C"/>
    <w:rsid w:val="00695065"/>
    <w:rsid w:val="00695BEF"/>
    <w:rsid w:val="00695F61"/>
    <w:rsid w:val="00696251"/>
    <w:rsid w:val="006966C7"/>
    <w:rsid w:val="006968C1"/>
    <w:rsid w:val="006977F6"/>
    <w:rsid w:val="00697A13"/>
    <w:rsid w:val="006A0DD4"/>
    <w:rsid w:val="006A109C"/>
    <w:rsid w:val="006A35BD"/>
    <w:rsid w:val="006A5C70"/>
    <w:rsid w:val="006A5D24"/>
    <w:rsid w:val="006A5F4B"/>
    <w:rsid w:val="006A6114"/>
    <w:rsid w:val="006A6565"/>
    <w:rsid w:val="006A66EC"/>
    <w:rsid w:val="006A7180"/>
    <w:rsid w:val="006A7691"/>
    <w:rsid w:val="006A7EE2"/>
    <w:rsid w:val="006B0514"/>
    <w:rsid w:val="006B0BC4"/>
    <w:rsid w:val="006B0F92"/>
    <w:rsid w:val="006B2785"/>
    <w:rsid w:val="006B27C7"/>
    <w:rsid w:val="006B344A"/>
    <w:rsid w:val="006B3C21"/>
    <w:rsid w:val="006B58C9"/>
    <w:rsid w:val="006B60ED"/>
    <w:rsid w:val="006B6CC5"/>
    <w:rsid w:val="006B74AC"/>
    <w:rsid w:val="006B7795"/>
    <w:rsid w:val="006B78D8"/>
    <w:rsid w:val="006B79EA"/>
    <w:rsid w:val="006B7B25"/>
    <w:rsid w:val="006B7C48"/>
    <w:rsid w:val="006C097F"/>
    <w:rsid w:val="006C0C5D"/>
    <w:rsid w:val="006C113F"/>
    <w:rsid w:val="006C123E"/>
    <w:rsid w:val="006C15A1"/>
    <w:rsid w:val="006C1752"/>
    <w:rsid w:val="006C1DDC"/>
    <w:rsid w:val="006C28CA"/>
    <w:rsid w:val="006C2BBF"/>
    <w:rsid w:val="006C2FBD"/>
    <w:rsid w:val="006C2FC7"/>
    <w:rsid w:val="006C3495"/>
    <w:rsid w:val="006C4355"/>
    <w:rsid w:val="006C4587"/>
    <w:rsid w:val="006C469D"/>
    <w:rsid w:val="006C46B5"/>
    <w:rsid w:val="006C484F"/>
    <w:rsid w:val="006C52EC"/>
    <w:rsid w:val="006C5506"/>
    <w:rsid w:val="006C56D4"/>
    <w:rsid w:val="006C6681"/>
    <w:rsid w:val="006C683C"/>
    <w:rsid w:val="006C6924"/>
    <w:rsid w:val="006C6C1E"/>
    <w:rsid w:val="006C7076"/>
    <w:rsid w:val="006C7AEC"/>
    <w:rsid w:val="006C7CA6"/>
    <w:rsid w:val="006D0A17"/>
    <w:rsid w:val="006D0B22"/>
    <w:rsid w:val="006D18B3"/>
    <w:rsid w:val="006D1E89"/>
    <w:rsid w:val="006D26CE"/>
    <w:rsid w:val="006D317E"/>
    <w:rsid w:val="006D346C"/>
    <w:rsid w:val="006D3E8A"/>
    <w:rsid w:val="006D61F6"/>
    <w:rsid w:val="006E0A4F"/>
    <w:rsid w:val="006E1081"/>
    <w:rsid w:val="006E1332"/>
    <w:rsid w:val="006E16DC"/>
    <w:rsid w:val="006E19CB"/>
    <w:rsid w:val="006E2406"/>
    <w:rsid w:val="006E279A"/>
    <w:rsid w:val="006E313B"/>
    <w:rsid w:val="006E34B2"/>
    <w:rsid w:val="006E353D"/>
    <w:rsid w:val="006E35C5"/>
    <w:rsid w:val="006E37A9"/>
    <w:rsid w:val="006E3861"/>
    <w:rsid w:val="006E3A45"/>
    <w:rsid w:val="006E4078"/>
    <w:rsid w:val="006E4D8C"/>
    <w:rsid w:val="006E51C4"/>
    <w:rsid w:val="006E53AD"/>
    <w:rsid w:val="006E58CB"/>
    <w:rsid w:val="006E6A93"/>
    <w:rsid w:val="006E6C4C"/>
    <w:rsid w:val="006E7227"/>
    <w:rsid w:val="006E761A"/>
    <w:rsid w:val="006F0646"/>
    <w:rsid w:val="006F0741"/>
    <w:rsid w:val="006F1C27"/>
    <w:rsid w:val="006F2A65"/>
    <w:rsid w:val="006F3DD6"/>
    <w:rsid w:val="006F3FCF"/>
    <w:rsid w:val="006F40DF"/>
    <w:rsid w:val="006F42BB"/>
    <w:rsid w:val="006F438E"/>
    <w:rsid w:val="006F440B"/>
    <w:rsid w:val="006F48A3"/>
    <w:rsid w:val="006F4DA4"/>
    <w:rsid w:val="006F5416"/>
    <w:rsid w:val="006F624B"/>
    <w:rsid w:val="006F6D87"/>
    <w:rsid w:val="006F6FF2"/>
    <w:rsid w:val="006F79FB"/>
    <w:rsid w:val="007008A9"/>
    <w:rsid w:val="00701C8C"/>
    <w:rsid w:val="0070398A"/>
    <w:rsid w:val="00704CC4"/>
    <w:rsid w:val="00705242"/>
    <w:rsid w:val="007055E0"/>
    <w:rsid w:val="007056ED"/>
    <w:rsid w:val="0070583E"/>
    <w:rsid w:val="00705F4E"/>
    <w:rsid w:val="0070658E"/>
    <w:rsid w:val="007065C5"/>
    <w:rsid w:val="007068E1"/>
    <w:rsid w:val="00706AA0"/>
    <w:rsid w:val="00706AD4"/>
    <w:rsid w:val="00707150"/>
    <w:rsid w:val="007124D7"/>
    <w:rsid w:val="00712C20"/>
    <w:rsid w:val="00713549"/>
    <w:rsid w:val="007140BE"/>
    <w:rsid w:val="00714276"/>
    <w:rsid w:val="007147AB"/>
    <w:rsid w:val="00715502"/>
    <w:rsid w:val="00715D01"/>
    <w:rsid w:val="00715E4D"/>
    <w:rsid w:val="00715F12"/>
    <w:rsid w:val="0071677A"/>
    <w:rsid w:val="00716F48"/>
    <w:rsid w:val="007170FB"/>
    <w:rsid w:val="00717114"/>
    <w:rsid w:val="0071779F"/>
    <w:rsid w:val="00720310"/>
    <w:rsid w:val="007211F5"/>
    <w:rsid w:val="00721601"/>
    <w:rsid w:val="00722405"/>
    <w:rsid w:val="00722777"/>
    <w:rsid w:val="00723435"/>
    <w:rsid w:val="00723436"/>
    <w:rsid w:val="007240E2"/>
    <w:rsid w:val="0072454C"/>
    <w:rsid w:val="0072583E"/>
    <w:rsid w:val="00725BB5"/>
    <w:rsid w:val="007269A4"/>
    <w:rsid w:val="007276EF"/>
    <w:rsid w:val="00727C02"/>
    <w:rsid w:val="0073008E"/>
    <w:rsid w:val="00730A8B"/>
    <w:rsid w:val="00730AE8"/>
    <w:rsid w:val="00730F1B"/>
    <w:rsid w:val="0073186D"/>
    <w:rsid w:val="0073300A"/>
    <w:rsid w:val="0073333D"/>
    <w:rsid w:val="007343D9"/>
    <w:rsid w:val="00734F71"/>
    <w:rsid w:val="00735448"/>
    <w:rsid w:val="00736F07"/>
    <w:rsid w:val="007377BD"/>
    <w:rsid w:val="00737DEC"/>
    <w:rsid w:val="0074004D"/>
    <w:rsid w:val="00741493"/>
    <w:rsid w:val="007434E5"/>
    <w:rsid w:val="0074499B"/>
    <w:rsid w:val="007450BF"/>
    <w:rsid w:val="007471A1"/>
    <w:rsid w:val="007477BD"/>
    <w:rsid w:val="007477DA"/>
    <w:rsid w:val="00747EE9"/>
    <w:rsid w:val="00750B07"/>
    <w:rsid w:val="007520B6"/>
    <w:rsid w:val="00752180"/>
    <w:rsid w:val="00752323"/>
    <w:rsid w:val="007527E8"/>
    <w:rsid w:val="007532B7"/>
    <w:rsid w:val="0075342B"/>
    <w:rsid w:val="007539E9"/>
    <w:rsid w:val="00753CAB"/>
    <w:rsid w:val="00754962"/>
    <w:rsid w:val="0075499A"/>
    <w:rsid w:val="00754A70"/>
    <w:rsid w:val="00754BC9"/>
    <w:rsid w:val="00755202"/>
    <w:rsid w:val="00755D3A"/>
    <w:rsid w:val="00757241"/>
    <w:rsid w:val="0075751D"/>
    <w:rsid w:val="0075763E"/>
    <w:rsid w:val="007578D3"/>
    <w:rsid w:val="00757FD9"/>
    <w:rsid w:val="007602CF"/>
    <w:rsid w:val="00760391"/>
    <w:rsid w:val="007609C6"/>
    <w:rsid w:val="007610BC"/>
    <w:rsid w:val="007615F3"/>
    <w:rsid w:val="0076175D"/>
    <w:rsid w:val="00761CB5"/>
    <w:rsid w:val="00761F63"/>
    <w:rsid w:val="007629D5"/>
    <w:rsid w:val="00762EFF"/>
    <w:rsid w:val="007631BC"/>
    <w:rsid w:val="007635F8"/>
    <w:rsid w:val="00763815"/>
    <w:rsid w:val="00763B85"/>
    <w:rsid w:val="00764974"/>
    <w:rsid w:val="00764D18"/>
    <w:rsid w:val="0076521E"/>
    <w:rsid w:val="00765BCC"/>
    <w:rsid w:val="0076600D"/>
    <w:rsid w:val="007661E9"/>
    <w:rsid w:val="00766460"/>
    <w:rsid w:val="00767062"/>
    <w:rsid w:val="00767601"/>
    <w:rsid w:val="00767777"/>
    <w:rsid w:val="00770271"/>
    <w:rsid w:val="00770CFC"/>
    <w:rsid w:val="0077130E"/>
    <w:rsid w:val="007715EE"/>
    <w:rsid w:val="00771972"/>
    <w:rsid w:val="00772279"/>
    <w:rsid w:val="00772DAB"/>
    <w:rsid w:val="00772FF9"/>
    <w:rsid w:val="007743DB"/>
    <w:rsid w:val="00774D2C"/>
    <w:rsid w:val="0077605B"/>
    <w:rsid w:val="00776169"/>
    <w:rsid w:val="00776527"/>
    <w:rsid w:val="00777040"/>
    <w:rsid w:val="00777CE6"/>
    <w:rsid w:val="00777D57"/>
    <w:rsid w:val="007805DD"/>
    <w:rsid w:val="00780EF1"/>
    <w:rsid w:val="00781A91"/>
    <w:rsid w:val="00781AD3"/>
    <w:rsid w:val="00781F36"/>
    <w:rsid w:val="0078274D"/>
    <w:rsid w:val="00782AAD"/>
    <w:rsid w:val="00783576"/>
    <w:rsid w:val="00785778"/>
    <w:rsid w:val="00786C87"/>
    <w:rsid w:val="0078729D"/>
    <w:rsid w:val="0078755E"/>
    <w:rsid w:val="007877C9"/>
    <w:rsid w:val="007906E3"/>
    <w:rsid w:val="00790764"/>
    <w:rsid w:val="0079085F"/>
    <w:rsid w:val="00790E96"/>
    <w:rsid w:val="00791005"/>
    <w:rsid w:val="007923CE"/>
    <w:rsid w:val="00793D78"/>
    <w:rsid w:val="0079420B"/>
    <w:rsid w:val="0079453C"/>
    <w:rsid w:val="00794677"/>
    <w:rsid w:val="00795759"/>
    <w:rsid w:val="00797FF6"/>
    <w:rsid w:val="007A170B"/>
    <w:rsid w:val="007A1B7B"/>
    <w:rsid w:val="007A20EB"/>
    <w:rsid w:val="007A282C"/>
    <w:rsid w:val="007A293C"/>
    <w:rsid w:val="007A2A3A"/>
    <w:rsid w:val="007A2FB9"/>
    <w:rsid w:val="007A33E2"/>
    <w:rsid w:val="007A3CAF"/>
    <w:rsid w:val="007A429E"/>
    <w:rsid w:val="007A4664"/>
    <w:rsid w:val="007A4782"/>
    <w:rsid w:val="007A516D"/>
    <w:rsid w:val="007A5E65"/>
    <w:rsid w:val="007A65E1"/>
    <w:rsid w:val="007A6AAA"/>
    <w:rsid w:val="007A7033"/>
    <w:rsid w:val="007A775D"/>
    <w:rsid w:val="007A7B8F"/>
    <w:rsid w:val="007B00D4"/>
    <w:rsid w:val="007B04B0"/>
    <w:rsid w:val="007B0834"/>
    <w:rsid w:val="007B0E83"/>
    <w:rsid w:val="007B11FA"/>
    <w:rsid w:val="007B1396"/>
    <w:rsid w:val="007B16D6"/>
    <w:rsid w:val="007B2011"/>
    <w:rsid w:val="007B2CFE"/>
    <w:rsid w:val="007B309B"/>
    <w:rsid w:val="007B3D5E"/>
    <w:rsid w:val="007B3DCB"/>
    <w:rsid w:val="007B4016"/>
    <w:rsid w:val="007B4AD3"/>
    <w:rsid w:val="007B5725"/>
    <w:rsid w:val="007B5C1F"/>
    <w:rsid w:val="007B6689"/>
    <w:rsid w:val="007B6747"/>
    <w:rsid w:val="007B6F72"/>
    <w:rsid w:val="007B74AA"/>
    <w:rsid w:val="007C02DA"/>
    <w:rsid w:val="007C0390"/>
    <w:rsid w:val="007C10BD"/>
    <w:rsid w:val="007C162D"/>
    <w:rsid w:val="007C1F0C"/>
    <w:rsid w:val="007C1FFB"/>
    <w:rsid w:val="007C2D94"/>
    <w:rsid w:val="007C4A6B"/>
    <w:rsid w:val="007C5F92"/>
    <w:rsid w:val="007C6084"/>
    <w:rsid w:val="007C6227"/>
    <w:rsid w:val="007C6BBD"/>
    <w:rsid w:val="007C6D89"/>
    <w:rsid w:val="007C6F5E"/>
    <w:rsid w:val="007C7848"/>
    <w:rsid w:val="007D0382"/>
    <w:rsid w:val="007D14FE"/>
    <w:rsid w:val="007D1A1F"/>
    <w:rsid w:val="007D213B"/>
    <w:rsid w:val="007D2632"/>
    <w:rsid w:val="007D2E18"/>
    <w:rsid w:val="007D40DF"/>
    <w:rsid w:val="007D42E5"/>
    <w:rsid w:val="007D4458"/>
    <w:rsid w:val="007D4D3D"/>
    <w:rsid w:val="007D6AF9"/>
    <w:rsid w:val="007E0535"/>
    <w:rsid w:val="007E07F2"/>
    <w:rsid w:val="007E0D4A"/>
    <w:rsid w:val="007E1788"/>
    <w:rsid w:val="007E1EE3"/>
    <w:rsid w:val="007E29B4"/>
    <w:rsid w:val="007E2F12"/>
    <w:rsid w:val="007E435A"/>
    <w:rsid w:val="007E445C"/>
    <w:rsid w:val="007E49F7"/>
    <w:rsid w:val="007E4C70"/>
    <w:rsid w:val="007E525A"/>
    <w:rsid w:val="007E5B5F"/>
    <w:rsid w:val="007E69C6"/>
    <w:rsid w:val="007E6D37"/>
    <w:rsid w:val="007E78B6"/>
    <w:rsid w:val="007E7E61"/>
    <w:rsid w:val="007F0845"/>
    <w:rsid w:val="007F0873"/>
    <w:rsid w:val="007F0BAF"/>
    <w:rsid w:val="007F20F3"/>
    <w:rsid w:val="007F2353"/>
    <w:rsid w:val="007F2390"/>
    <w:rsid w:val="007F2AB9"/>
    <w:rsid w:val="007F2C49"/>
    <w:rsid w:val="007F2CAC"/>
    <w:rsid w:val="007F4740"/>
    <w:rsid w:val="007F5123"/>
    <w:rsid w:val="007F595A"/>
    <w:rsid w:val="007F5C38"/>
    <w:rsid w:val="007F708D"/>
    <w:rsid w:val="007F7E3F"/>
    <w:rsid w:val="008006B3"/>
    <w:rsid w:val="00800B63"/>
    <w:rsid w:val="00801332"/>
    <w:rsid w:val="0080158A"/>
    <w:rsid w:val="00801E13"/>
    <w:rsid w:val="00803008"/>
    <w:rsid w:val="00803069"/>
    <w:rsid w:val="0080346B"/>
    <w:rsid w:val="00804155"/>
    <w:rsid w:val="00804C9F"/>
    <w:rsid w:val="0080559E"/>
    <w:rsid w:val="00805AF3"/>
    <w:rsid w:val="00806381"/>
    <w:rsid w:val="00806C9C"/>
    <w:rsid w:val="0080734C"/>
    <w:rsid w:val="0080772F"/>
    <w:rsid w:val="00807C82"/>
    <w:rsid w:val="0081019E"/>
    <w:rsid w:val="008117CC"/>
    <w:rsid w:val="00811E19"/>
    <w:rsid w:val="00811FF8"/>
    <w:rsid w:val="00813D58"/>
    <w:rsid w:val="00813DCA"/>
    <w:rsid w:val="0081529A"/>
    <w:rsid w:val="00815DED"/>
    <w:rsid w:val="008161A6"/>
    <w:rsid w:val="008165B8"/>
    <w:rsid w:val="00816905"/>
    <w:rsid w:val="00816D98"/>
    <w:rsid w:val="00816E42"/>
    <w:rsid w:val="00817040"/>
    <w:rsid w:val="00817A17"/>
    <w:rsid w:val="00817EC1"/>
    <w:rsid w:val="008205DE"/>
    <w:rsid w:val="0082112D"/>
    <w:rsid w:val="00821FF6"/>
    <w:rsid w:val="00822574"/>
    <w:rsid w:val="00822980"/>
    <w:rsid w:val="00822CB8"/>
    <w:rsid w:val="00822F08"/>
    <w:rsid w:val="00823983"/>
    <w:rsid w:val="00824BA6"/>
    <w:rsid w:val="00825C4D"/>
    <w:rsid w:val="008266CE"/>
    <w:rsid w:val="00826A08"/>
    <w:rsid w:val="00826AC0"/>
    <w:rsid w:val="00827186"/>
    <w:rsid w:val="00827C8E"/>
    <w:rsid w:val="00827C97"/>
    <w:rsid w:val="00830569"/>
    <w:rsid w:val="00830AEA"/>
    <w:rsid w:val="00830E86"/>
    <w:rsid w:val="00831240"/>
    <w:rsid w:val="0083143E"/>
    <w:rsid w:val="008315B8"/>
    <w:rsid w:val="008315D5"/>
    <w:rsid w:val="00831CDE"/>
    <w:rsid w:val="00831F2B"/>
    <w:rsid w:val="008320CF"/>
    <w:rsid w:val="008324A3"/>
    <w:rsid w:val="00832F77"/>
    <w:rsid w:val="00834304"/>
    <w:rsid w:val="00834F8E"/>
    <w:rsid w:val="00834FAA"/>
    <w:rsid w:val="008354FB"/>
    <w:rsid w:val="00835FF1"/>
    <w:rsid w:val="00836086"/>
    <w:rsid w:val="0083630F"/>
    <w:rsid w:val="00836A06"/>
    <w:rsid w:val="00836C2D"/>
    <w:rsid w:val="008374BC"/>
    <w:rsid w:val="008377E6"/>
    <w:rsid w:val="0083782B"/>
    <w:rsid w:val="008379D6"/>
    <w:rsid w:val="00837E48"/>
    <w:rsid w:val="00840293"/>
    <w:rsid w:val="008402AD"/>
    <w:rsid w:val="008408D4"/>
    <w:rsid w:val="008417B5"/>
    <w:rsid w:val="00841901"/>
    <w:rsid w:val="008433D2"/>
    <w:rsid w:val="00843B19"/>
    <w:rsid w:val="00845294"/>
    <w:rsid w:val="008458BD"/>
    <w:rsid w:val="00846121"/>
    <w:rsid w:val="008461C2"/>
    <w:rsid w:val="008462F1"/>
    <w:rsid w:val="008466C6"/>
    <w:rsid w:val="0084708F"/>
    <w:rsid w:val="008477C8"/>
    <w:rsid w:val="008478A6"/>
    <w:rsid w:val="008502F6"/>
    <w:rsid w:val="0085036C"/>
    <w:rsid w:val="00850E83"/>
    <w:rsid w:val="0085114D"/>
    <w:rsid w:val="008520A8"/>
    <w:rsid w:val="00852217"/>
    <w:rsid w:val="00852821"/>
    <w:rsid w:val="008531F5"/>
    <w:rsid w:val="0085321C"/>
    <w:rsid w:val="00853282"/>
    <w:rsid w:val="0085334C"/>
    <w:rsid w:val="00853D1F"/>
    <w:rsid w:val="00854291"/>
    <w:rsid w:val="00855408"/>
    <w:rsid w:val="00855D03"/>
    <w:rsid w:val="008567BA"/>
    <w:rsid w:val="00856D65"/>
    <w:rsid w:val="00856FA4"/>
    <w:rsid w:val="00860D79"/>
    <w:rsid w:val="00861B41"/>
    <w:rsid w:val="00861B9F"/>
    <w:rsid w:val="00861BE3"/>
    <w:rsid w:val="008625D3"/>
    <w:rsid w:val="00862C0A"/>
    <w:rsid w:val="00863434"/>
    <w:rsid w:val="0086344F"/>
    <w:rsid w:val="008641AC"/>
    <w:rsid w:val="00865E4C"/>
    <w:rsid w:val="00866074"/>
    <w:rsid w:val="00867546"/>
    <w:rsid w:val="0086796D"/>
    <w:rsid w:val="00867DAB"/>
    <w:rsid w:val="0087000B"/>
    <w:rsid w:val="008701E4"/>
    <w:rsid w:val="008704E9"/>
    <w:rsid w:val="00870ECD"/>
    <w:rsid w:val="0087347C"/>
    <w:rsid w:val="008734E7"/>
    <w:rsid w:val="0087368D"/>
    <w:rsid w:val="008740CC"/>
    <w:rsid w:val="0087442A"/>
    <w:rsid w:val="00874FE8"/>
    <w:rsid w:val="00875A32"/>
    <w:rsid w:val="00876086"/>
    <w:rsid w:val="00876651"/>
    <w:rsid w:val="00876E83"/>
    <w:rsid w:val="008772BC"/>
    <w:rsid w:val="00877448"/>
    <w:rsid w:val="00880A0E"/>
    <w:rsid w:val="008816A8"/>
    <w:rsid w:val="008817FE"/>
    <w:rsid w:val="00881CD7"/>
    <w:rsid w:val="008824D4"/>
    <w:rsid w:val="00882911"/>
    <w:rsid w:val="00882EC3"/>
    <w:rsid w:val="00882F6E"/>
    <w:rsid w:val="00883202"/>
    <w:rsid w:val="0088477F"/>
    <w:rsid w:val="00884E02"/>
    <w:rsid w:val="00885D40"/>
    <w:rsid w:val="00886AFB"/>
    <w:rsid w:val="008872A7"/>
    <w:rsid w:val="008873D4"/>
    <w:rsid w:val="008879D9"/>
    <w:rsid w:val="00890CB1"/>
    <w:rsid w:val="00891269"/>
    <w:rsid w:val="00891EDF"/>
    <w:rsid w:val="008921E9"/>
    <w:rsid w:val="00892872"/>
    <w:rsid w:val="0089296D"/>
    <w:rsid w:val="00893E85"/>
    <w:rsid w:val="00893EBE"/>
    <w:rsid w:val="00894031"/>
    <w:rsid w:val="00894C5D"/>
    <w:rsid w:val="00895508"/>
    <w:rsid w:val="008963DB"/>
    <w:rsid w:val="008967E9"/>
    <w:rsid w:val="00896A5C"/>
    <w:rsid w:val="008972D2"/>
    <w:rsid w:val="0089754C"/>
    <w:rsid w:val="008A0659"/>
    <w:rsid w:val="008A0ADD"/>
    <w:rsid w:val="008A0D27"/>
    <w:rsid w:val="008A1144"/>
    <w:rsid w:val="008A1C59"/>
    <w:rsid w:val="008A2091"/>
    <w:rsid w:val="008A37E2"/>
    <w:rsid w:val="008A388E"/>
    <w:rsid w:val="008A394E"/>
    <w:rsid w:val="008A3CBA"/>
    <w:rsid w:val="008A4B59"/>
    <w:rsid w:val="008A6215"/>
    <w:rsid w:val="008A62BF"/>
    <w:rsid w:val="008A63E1"/>
    <w:rsid w:val="008A66B7"/>
    <w:rsid w:val="008A68BB"/>
    <w:rsid w:val="008A6AA5"/>
    <w:rsid w:val="008A7127"/>
    <w:rsid w:val="008B0CBA"/>
    <w:rsid w:val="008B2639"/>
    <w:rsid w:val="008B3537"/>
    <w:rsid w:val="008B3690"/>
    <w:rsid w:val="008B3A80"/>
    <w:rsid w:val="008B3AEC"/>
    <w:rsid w:val="008B3C07"/>
    <w:rsid w:val="008B3F7B"/>
    <w:rsid w:val="008B494C"/>
    <w:rsid w:val="008B4AEC"/>
    <w:rsid w:val="008B5324"/>
    <w:rsid w:val="008B5C99"/>
    <w:rsid w:val="008B6106"/>
    <w:rsid w:val="008B65DE"/>
    <w:rsid w:val="008B7149"/>
    <w:rsid w:val="008B72D5"/>
    <w:rsid w:val="008B7BBE"/>
    <w:rsid w:val="008B7C02"/>
    <w:rsid w:val="008B7D2B"/>
    <w:rsid w:val="008B7E1A"/>
    <w:rsid w:val="008B7EF9"/>
    <w:rsid w:val="008C0049"/>
    <w:rsid w:val="008C0314"/>
    <w:rsid w:val="008C0E88"/>
    <w:rsid w:val="008C10E5"/>
    <w:rsid w:val="008C1717"/>
    <w:rsid w:val="008C17F0"/>
    <w:rsid w:val="008C3B05"/>
    <w:rsid w:val="008C43F2"/>
    <w:rsid w:val="008C48C4"/>
    <w:rsid w:val="008C4B50"/>
    <w:rsid w:val="008C5A37"/>
    <w:rsid w:val="008C7569"/>
    <w:rsid w:val="008C79C3"/>
    <w:rsid w:val="008C7A93"/>
    <w:rsid w:val="008D006F"/>
    <w:rsid w:val="008D033D"/>
    <w:rsid w:val="008D0DBD"/>
    <w:rsid w:val="008D117E"/>
    <w:rsid w:val="008D127E"/>
    <w:rsid w:val="008D1CA8"/>
    <w:rsid w:val="008D1E0A"/>
    <w:rsid w:val="008D1E6A"/>
    <w:rsid w:val="008D2407"/>
    <w:rsid w:val="008D2A16"/>
    <w:rsid w:val="008D2AEC"/>
    <w:rsid w:val="008D2DBA"/>
    <w:rsid w:val="008D3295"/>
    <w:rsid w:val="008D33F5"/>
    <w:rsid w:val="008D35E4"/>
    <w:rsid w:val="008D3ACD"/>
    <w:rsid w:val="008D50BD"/>
    <w:rsid w:val="008D5F7F"/>
    <w:rsid w:val="008D6C3A"/>
    <w:rsid w:val="008D70E2"/>
    <w:rsid w:val="008D73E0"/>
    <w:rsid w:val="008E0001"/>
    <w:rsid w:val="008E08CA"/>
    <w:rsid w:val="008E0F7B"/>
    <w:rsid w:val="008E292B"/>
    <w:rsid w:val="008E2C57"/>
    <w:rsid w:val="008E31FF"/>
    <w:rsid w:val="008E3287"/>
    <w:rsid w:val="008E38E4"/>
    <w:rsid w:val="008E51EB"/>
    <w:rsid w:val="008E6DCB"/>
    <w:rsid w:val="008E6F06"/>
    <w:rsid w:val="008E7000"/>
    <w:rsid w:val="008E7B8E"/>
    <w:rsid w:val="008E7FC9"/>
    <w:rsid w:val="008F0107"/>
    <w:rsid w:val="008F029B"/>
    <w:rsid w:val="008F056E"/>
    <w:rsid w:val="008F0589"/>
    <w:rsid w:val="008F0E85"/>
    <w:rsid w:val="008F2A5D"/>
    <w:rsid w:val="008F2BC7"/>
    <w:rsid w:val="008F3636"/>
    <w:rsid w:val="008F3FC9"/>
    <w:rsid w:val="008F509F"/>
    <w:rsid w:val="008F5383"/>
    <w:rsid w:val="008F585B"/>
    <w:rsid w:val="008F7FB0"/>
    <w:rsid w:val="009003A8"/>
    <w:rsid w:val="0090058A"/>
    <w:rsid w:val="009005E4"/>
    <w:rsid w:val="00900977"/>
    <w:rsid w:val="009021DA"/>
    <w:rsid w:val="00902500"/>
    <w:rsid w:val="00902EFF"/>
    <w:rsid w:val="00903389"/>
    <w:rsid w:val="00903A8E"/>
    <w:rsid w:val="0090432C"/>
    <w:rsid w:val="00904F96"/>
    <w:rsid w:val="009052A3"/>
    <w:rsid w:val="00905314"/>
    <w:rsid w:val="009056D7"/>
    <w:rsid w:val="00905B8D"/>
    <w:rsid w:val="00906401"/>
    <w:rsid w:val="009065CB"/>
    <w:rsid w:val="009067EA"/>
    <w:rsid w:val="00906B79"/>
    <w:rsid w:val="0090786F"/>
    <w:rsid w:val="0091001E"/>
    <w:rsid w:val="00910C18"/>
    <w:rsid w:val="009110F7"/>
    <w:rsid w:val="0091155E"/>
    <w:rsid w:val="00911D2C"/>
    <w:rsid w:val="00912437"/>
    <w:rsid w:val="00912A92"/>
    <w:rsid w:val="00914374"/>
    <w:rsid w:val="0091476D"/>
    <w:rsid w:val="00915D07"/>
    <w:rsid w:val="009162AE"/>
    <w:rsid w:val="00916C45"/>
    <w:rsid w:val="00917251"/>
    <w:rsid w:val="0091728D"/>
    <w:rsid w:val="0092036B"/>
    <w:rsid w:val="009203CC"/>
    <w:rsid w:val="00920EC4"/>
    <w:rsid w:val="0092180B"/>
    <w:rsid w:val="009219EA"/>
    <w:rsid w:val="00921F14"/>
    <w:rsid w:val="0092292F"/>
    <w:rsid w:val="00922D28"/>
    <w:rsid w:val="00923B42"/>
    <w:rsid w:val="00923CB0"/>
    <w:rsid w:val="00923D8C"/>
    <w:rsid w:val="00924564"/>
    <w:rsid w:val="00924871"/>
    <w:rsid w:val="00924AC8"/>
    <w:rsid w:val="009252B6"/>
    <w:rsid w:val="00925429"/>
    <w:rsid w:val="00925615"/>
    <w:rsid w:val="0092597A"/>
    <w:rsid w:val="00926520"/>
    <w:rsid w:val="00926CF0"/>
    <w:rsid w:val="009273A9"/>
    <w:rsid w:val="00930251"/>
    <w:rsid w:val="0093033E"/>
    <w:rsid w:val="009305FC"/>
    <w:rsid w:val="00930FB1"/>
    <w:rsid w:val="009311F8"/>
    <w:rsid w:val="0093139F"/>
    <w:rsid w:val="00932443"/>
    <w:rsid w:val="00932B32"/>
    <w:rsid w:val="0093305E"/>
    <w:rsid w:val="00933F4A"/>
    <w:rsid w:val="009341F1"/>
    <w:rsid w:val="00934FF2"/>
    <w:rsid w:val="0093577E"/>
    <w:rsid w:val="009358D7"/>
    <w:rsid w:val="00935BD4"/>
    <w:rsid w:val="00935DFE"/>
    <w:rsid w:val="00935F70"/>
    <w:rsid w:val="0093648B"/>
    <w:rsid w:val="009373B2"/>
    <w:rsid w:val="00937AE2"/>
    <w:rsid w:val="0094061F"/>
    <w:rsid w:val="00940F0F"/>
    <w:rsid w:val="00941912"/>
    <w:rsid w:val="0094416B"/>
    <w:rsid w:val="0094427A"/>
    <w:rsid w:val="00944C7C"/>
    <w:rsid w:val="00945245"/>
    <w:rsid w:val="00945523"/>
    <w:rsid w:val="00950330"/>
    <w:rsid w:val="00950921"/>
    <w:rsid w:val="00951D68"/>
    <w:rsid w:val="00951E5B"/>
    <w:rsid w:val="00952050"/>
    <w:rsid w:val="00952315"/>
    <w:rsid w:val="009523D9"/>
    <w:rsid w:val="0095299F"/>
    <w:rsid w:val="00952B7B"/>
    <w:rsid w:val="0095357B"/>
    <w:rsid w:val="009538B3"/>
    <w:rsid w:val="0095458C"/>
    <w:rsid w:val="00954EF5"/>
    <w:rsid w:val="00954F39"/>
    <w:rsid w:val="009555FD"/>
    <w:rsid w:val="0095664B"/>
    <w:rsid w:val="009568DC"/>
    <w:rsid w:val="009569DC"/>
    <w:rsid w:val="00957140"/>
    <w:rsid w:val="00957445"/>
    <w:rsid w:val="0095759C"/>
    <w:rsid w:val="009618EE"/>
    <w:rsid w:val="00961DDD"/>
    <w:rsid w:val="009624D2"/>
    <w:rsid w:val="009628D9"/>
    <w:rsid w:val="0096321C"/>
    <w:rsid w:val="0096378B"/>
    <w:rsid w:val="009637AE"/>
    <w:rsid w:val="00963A06"/>
    <w:rsid w:val="00964068"/>
    <w:rsid w:val="009640F6"/>
    <w:rsid w:val="0096469D"/>
    <w:rsid w:val="00964776"/>
    <w:rsid w:val="00964A4E"/>
    <w:rsid w:val="00964B35"/>
    <w:rsid w:val="009651C7"/>
    <w:rsid w:val="00965797"/>
    <w:rsid w:val="00965A10"/>
    <w:rsid w:val="00965AD0"/>
    <w:rsid w:val="009670A3"/>
    <w:rsid w:val="009674BE"/>
    <w:rsid w:val="00967D62"/>
    <w:rsid w:val="00970A1A"/>
    <w:rsid w:val="00970FB5"/>
    <w:rsid w:val="00971710"/>
    <w:rsid w:val="00971B87"/>
    <w:rsid w:val="00971C77"/>
    <w:rsid w:val="0097203A"/>
    <w:rsid w:val="00972417"/>
    <w:rsid w:val="00972746"/>
    <w:rsid w:val="00972FCD"/>
    <w:rsid w:val="009732DF"/>
    <w:rsid w:val="00973324"/>
    <w:rsid w:val="009736DF"/>
    <w:rsid w:val="009741AE"/>
    <w:rsid w:val="009741FC"/>
    <w:rsid w:val="00974782"/>
    <w:rsid w:val="00974923"/>
    <w:rsid w:val="00975909"/>
    <w:rsid w:val="00977C3D"/>
    <w:rsid w:val="00980D3D"/>
    <w:rsid w:val="0098103E"/>
    <w:rsid w:val="0098157D"/>
    <w:rsid w:val="00983101"/>
    <w:rsid w:val="00983E41"/>
    <w:rsid w:val="009845E1"/>
    <w:rsid w:val="00984D1B"/>
    <w:rsid w:val="00986246"/>
    <w:rsid w:val="00987A30"/>
    <w:rsid w:val="00990312"/>
    <w:rsid w:val="0099182E"/>
    <w:rsid w:val="009922EC"/>
    <w:rsid w:val="00992BB3"/>
    <w:rsid w:val="00992CF3"/>
    <w:rsid w:val="00993194"/>
    <w:rsid w:val="0099321E"/>
    <w:rsid w:val="00993C99"/>
    <w:rsid w:val="00994171"/>
    <w:rsid w:val="00994868"/>
    <w:rsid w:val="00994976"/>
    <w:rsid w:val="00994D28"/>
    <w:rsid w:val="00994F12"/>
    <w:rsid w:val="00994F2C"/>
    <w:rsid w:val="00995720"/>
    <w:rsid w:val="009957CC"/>
    <w:rsid w:val="009968D6"/>
    <w:rsid w:val="00997953"/>
    <w:rsid w:val="00997D55"/>
    <w:rsid w:val="009A0BFF"/>
    <w:rsid w:val="009A10A0"/>
    <w:rsid w:val="009A1CAB"/>
    <w:rsid w:val="009A2359"/>
    <w:rsid w:val="009A24F1"/>
    <w:rsid w:val="009A27E0"/>
    <w:rsid w:val="009A2ECA"/>
    <w:rsid w:val="009A3CF6"/>
    <w:rsid w:val="009A4182"/>
    <w:rsid w:val="009A4D57"/>
    <w:rsid w:val="009A51A5"/>
    <w:rsid w:val="009A5923"/>
    <w:rsid w:val="009A60D1"/>
    <w:rsid w:val="009A6225"/>
    <w:rsid w:val="009A64A3"/>
    <w:rsid w:val="009A64F5"/>
    <w:rsid w:val="009B00D2"/>
    <w:rsid w:val="009B05B3"/>
    <w:rsid w:val="009B0CAF"/>
    <w:rsid w:val="009B1324"/>
    <w:rsid w:val="009B2558"/>
    <w:rsid w:val="009B284F"/>
    <w:rsid w:val="009B2951"/>
    <w:rsid w:val="009B3764"/>
    <w:rsid w:val="009B3840"/>
    <w:rsid w:val="009B3FCD"/>
    <w:rsid w:val="009B52AC"/>
    <w:rsid w:val="009B59EA"/>
    <w:rsid w:val="009B6330"/>
    <w:rsid w:val="009B66CE"/>
    <w:rsid w:val="009B6FD3"/>
    <w:rsid w:val="009B72BE"/>
    <w:rsid w:val="009B72CB"/>
    <w:rsid w:val="009B78A4"/>
    <w:rsid w:val="009B7DB2"/>
    <w:rsid w:val="009C00A9"/>
    <w:rsid w:val="009C03DB"/>
    <w:rsid w:val="009C1334"/>
    <w:rsid w:val="009C15AF"/>
    <w:rsid w:val="009C1750"/>
    <w:rsid w:val="009C190B"/>
    <w:rsid w:val="009C22C7"/>
    <w:rsid w:val="009C2E29"/>
    <w:rsid w:val="009C3E65"/>
    <w:rsid w:val="009C3E8F"/>
    <w:rsid w:val="009C554B"/>
    <w:rsid w:val="009C5E83"/>
    <w:rsid w:val="009C709E"/>
    <w:rsid w:val="009C7126"/>
    <w:rsid w:val="009C719E"/>
    <w:rsid w:val="009C7799"/>
    <w:rsid w:val="009C7E77"/>
    <w:rsid w:val="009D07A9"/>
    <w:rsid w:val="009D099A"/>
    <w:rsid w:val="009D0AE2"/>
    <w:rsid w:val="009D0D9F"/>
    <w:rsid w:val="009D0EBB"/>
    <w:rsid w:val="009D2145"/>
    <w:rsid w:val="009D2C46"/>
    <w:rsid w:val="009D3ACD"/>
    <w:rsid w:val="009D4254"/>
    <w:rsid w:val="009D4F21"/>
    <w:rsid w:val="009D587D"/>
    <w:rsid w:val="009D5A16"/>
    <w:rsid w:val="009D6D20"/>
    <w:rsid w:val="009D7731"/>
    <w:rsid w:val="009E1120"/>
    <w:rsid w:val="009E1393"/>
    <w:rsid w:val="009E1922"/>
    <w:rsid w:val="009E1A3D"/>
    <w:rsid w:val="009E1A7D"/>
    <w:rsid w:val="009E3531"/>
    <w:rsid w:val="009E4715"/>
    <w:rsid w:val="009E4A58"/>
    <w:rsid w:val="009E5273"/>
    <w:rsid w:val="009E57A8"/>
    <w:rsid w:val="009E5B85"/>
    <w:rsid w:val="009E5DDB"/>
    <w:rsid w:val="009F254D"/>
    <w:rsid w:val="009F2921"/>
    <w:rsid w:val="009F42CF"/>
    <w:rsid w:val="009F455D"/>
    <w:rsid w:val="009F4982"/>
    <w:rsid w:val="009F4CA7"/>
    <w:rsid w:val="009F4F6A"/>
    <w:rsid w:val="009F55BA"/>
    <w:rsid w:val="009F5FA1"/>
    <w:rsid w:val="009F6B1F"/>
    <w:rsid w:val="009F6D92"/>
    <w:rsid w:val="009F7D36"/>
    <w:rsid w:val="009F7D61"/>
    <w:rsid w:val="00A00DAE"/>
    <w:rsid w:val="00A00E71"/>
    <w:rsid w:val="00A024FB"/>
    <w:rsid w:val="00A0306F"/>
    <w:rsid w:val="00A03511"/>
    <w:rsid w:val="00A03B10"/>
    <w:rsid w:val="00A03E2E"/>
    <w:rsid w:val="00A04616"/>
    <w:rsid w:val="00A04717"/>
    <w:rsid w:val="00A04D45"/>
    <w:rsid w:val="00A05D8F"/>
    <w:rsid w:val="00A05EE4"/>
    <w:rsid w:val="00A06F99"/>
    <w:rsid w:val="00A0748D"/>
    <w:rsid w:val="00A1053B"/>
    <w:rsid w:val="00A10D66"/>
    <w:rsid w:val="00A112A6"/>
    <w:rsid w:val="00A113A4"/>
    <w:rsid w:val="00A12D51"/>
    <w:rsid w:val="00A14114"/>
    <w:rsid w:val="00A16413"/>
    <w:rsid w:val="00A16545"/>
    <w:rsid w:val="00A1671B"/>
    <w:rsid w:val="00A16A1A"/>
    <w:rsid w:val="00A16AED"/>
    <w:rsid w:val="00A16BD3"/>
    <w:rsid w:val="00A16C37"/>
    <w:rsid w:val="00A16E1D"/>
    <w:rsid w:val="00A171D5"/>
    <w:rsid w:val="00A17A15"/>
    <w:rsid w:val="00A17A37"/>
    <w:rsid w:val="00A17D5B"/>
    <w:rsid w:val="00A2016A"/>
    <w:rsid w:val="00A201E1"/>
    <w:rsid w:val="00A208E9"/>
    <w:rsid w:val="00A20CF9"/>
    <w:rsid w:val="00A20FE1"/>
    <w:rsid w:val="00A21B4D"/>
    <w:rsid w:val="00A22073"/>
    <w:rsid w:val="00A223E0"/>
    <w:rsid w:val="00A22959"/>
    <w:rsid w:val="00A23158"/>
    <w:rsid w:val="00A232D7"/>
    <w:rsid w:val="00A23847"/>
    <w:rsid w:val="00A23E43"/>
    <w:rsid w:val="00A23EB3"/>
    <w:rsid w:val="00A24726"/>
    <w:rsid w:val="00A24DEB"/>
    <w:rsid w:val="00A24ED9"/>
    <w:rsid w:val="00A251DB"/>
    <w:rsid w:val="00A25216"/>
    <w:rsid w:val="00A25950"/>
    <w:rsid w:val="00A2597D"/>
    <w:rsid w:val="00A25E62"/>
    <w:rsid w:val="00A2628E"/>
    <w:rsid w:val="00A266BF"/>
    <w:rsid w:val="00A26803"/>
    <w:rsid w:val="00A2731E"/>
    <w:rsid w:val="00A309AC"/>
    <w:rsid w:val="00A30AC7"/>
    <w:rsid w:val="00A30F65"/>
    <w:rsid w:val="00A3218F"/>
    <w:rsid w:val="00A3279E"/>
    <w:rsid w:val="00A33DB1"/>
    <w:rsid w:val="00A33EEB"/>
    <w:rsid w:val="00A35900"/>
    <w:rsid w:val="00A35A0F"/>
    <w:rsid w:val="00A402EA"/>
    <w:rsid w:val="00A40EAC"/>
    <w:rsid w:val="00A411F0"/>
    <w:rsid w:val="00A418BC"/>
    <w:rsid w:val="00A419FF"/>
    <w:rsid w:val="00A41FCF"/>
    <w:rsid w:val="00A426A9"/>
    <w:rsid w:val="00A42936"/>
    <w:rsid w:val="00A4378E"/>
    <w:rsid w:val="00A43CF8"/>
    <w:rsid w:val="00A43DF2"/>
    <w:rsid w:val="00A445A8"/>
    <w:rsid w:val="00A446AE"/>
    <w:rsid w:val="00A44B0D"/>
    <w:rsid w:val="00A44D21"/>
    <w:rsid w:val="00A45087"/>
    <w:rsid w:val="00A45489"/>
    <w:rsid w:val="00A45858"/>
    <w:rsid w:val="00A45CED"/>
    <w:rsid w:val="00A465E9"/>
    <w:rsid w:val="00A468E7"/>
    <w:rsid w:val="00A46DE0"/>
    <w:rsid w:val="00A478BA"/>
    <w:rsid w:val="00A50D73"/>
    <w:rsid w:val="00A518BB"/>
    <w:rsid w:val="00A52A88"/>
    <w:rsid w:val="00A52CAD"/>
    <w:rsid w:val="00A52F9F"/>
    <w:rsid w:val="00A53FC7"/>
    <w:rsid w:val="00A55569"/>
    <w:rsid w:val="00A561A9"/>
    <w:rsid w:val="00A566A0"/>
    <w:rsid w:val="00A566AF"/>
    <w:rsid w:val="00A57AC9"/>
    <w:rsid w:val="00A601E7"/>
    <w:rsid w:val="00A60A8F"/>
    <w:rsid w:val="00A60AC1"/>
    <w:rsid w:val="00A61462"/>
    <w:rsid w:val="00A61EB1"/>
    <w:rsid w:val="00A61ED1"/>
    <w:rsid w:val="00A626FF"/>
    <w:rsid w:val="00A62C6B"/>
    <w:rsid w:val="00A62CE1"/>
    <w:rsid w:val="00A63235"/>
    <w:rsid w:val="00A65469"/>
    <w:rsid w:val="00A65528"/>
    <w:rsid w:val="00A655D3"/>
    <w:rsid w:val="00A662D9"/>
    <w:rsid w:val="00A6630C"/>
    <w:rsid w:val="00A6741E"/>
    <w:rsid w:val="00A67CB4"/>
    <w:rsid w:val="00A67E29"/>
    <w:rsid w:val="00A7016A"/>
    <w:rsid w:val="00A7018D"/>
    <w:rsid w:val="00A7191D"/>
    <w:rsid w:val="00A71FE9"/>
    <w:rsid w:val="00A72038"/>
    <w:rsid w:val="00A722F9"/>
    <w:rsid w:val="00A72D42"/>
    <w:rsid w:val="00A746C9"/>
    <w:rsid w:val="00A74C2A"/>
    <w:rsid w:val="00A75448"/>
    <w:rsid w:val="00A75658"/>
    <w:rsid w:val="00A75E40"/>
    <w:rsid w:val="00A7608E"/>
    <w:rsid w:val="00A76818"/>
    <w:rsid w:val="00A77D1D"/>
    <w:rsid w:val="00A81652"/>
    <w:rsid w:val="00A82BF0"/>
    <w:rsid w:val="00A82C91"/>
    <w:rsid w:val="00A82E9D"/>
    <w:rsid w:val="00A83150"/>
    <w:rsid w:val="00A83398"/>
    <w:rsid w:val="00A83D6E"/>
    <w:rsid w:val="00A83F27"/>
    <w:rsid w:val="00A83FD5"/>
    <w:rsid w:val="00A84AEA"/>
    <w:rsid w:val="00A8521A"/>
    <w:rsid w:val="00A857C0"/>
    <w:rsid w:val="00A85ACB"/>
    <w:rsid w:val="00A874D9"/>
    <w:rsid w:val="00A9092B"/>
    <w:rsid w:val="00A90F2C"/>
    <w:rsid w:val="00A90FED"/>
    <w:rsid w:val="00A91482"/>
    <w:rsid w:val="00A9189D"/>
    <w:rsid w:val="00A91E71"/>
    <w:rsid w:val="00A925B1"/>
    <w:rsid w:val="00A92A3E"/>
    <w:rsid w:val="00A934F9"/>
    <w:rsid w:val="00A940E3"/>
    <w:rsid w:val="00A94983"/>
    <w:rsid w:val="00A9532C"/>
    <w:rsid w:val="00A95AB2"/>
    <w:rsid w:val="00A95F1A"/>
    <w:rsid w:val="00A96116"/>
    <w:rsid w:val="00A9614E"/>
    <w:rsid w:val="00A96422"/>
    <w:rsid w:val="00A96C0F"/>
    <w:rsid w:val="00A97075"/>
    <w:rsid w:val="00AA0E80"/>
    <w:rsid w:val="00AA17CD"/>
    <w:rsid w:val="00AA182D"/>
    <w:rsid w:val="00AA1D85"/>
    <w:rsid w:val="00AA212B"/>
    <w:rsid w:val="00AA212F"/>
    <w:rsid w:val="00AA26A9"/>
    <w:rsid w:val="00AA2996"/>
    <w:rsid w:val="00AA2AF4"/>
    <w:rsid w:val="00AA4282"/>
    <w:rsid w:val="00AA43F2"/>
    <w:rsid w:val="00AA4790"/>
    <w:rsid w:val="00AA52BF"/>
    <w:rsid w:val="00AA559A"/>
    <w:rsid w:val="00AA6B3B"/>
    <w:rsid w:val="00AA6C31"/>
    <w:rsid w:val="00AA7264"/>
    <w:rsid w:val="00AA7752"/>
    <w:rsid w:val="00AA7CE8"/>
    <w:rsid w:val="00AB1457"/>
    <w:rsid w:val="00AB2587"/>
    <w:rsid w:val="00AB293A"/>
    <w:rsid w:val="00AB2AF1"/>
    <w:rsid w:val="00AB32CB"/>
    <w:rsid w:val="00AB3BA7"/>
    <w:rsid w:val="00AB3EC7"/>
    <w:rsid w:val="00AB56B1"/>
    <w:rsid w:val="00AB5A64"/>
    <w:rsid w:val="00AB5CA1"/>
    <w:rsid w:val="00AB6456"/>
    <w:rsid w:val="00AB75C5"/>
    <w:rsid w:val="00AC044E"/>
    <w:rsid w:val="00AC11EB"/>
    <w:rsid w:val="00AC1909"/>
    <w:rsid w:val="00AC2118"/>
    <w:rsid w:val="00AC2395"/>
    <w:rsid w:val="00AC2960"/>
    <w:rsid w:val="00AC2AC4"/>
    <w:rsid w:val="00AC3200"/>
    <w:rsid w:val="00AC4284"/>
    <w:rsid w:val="00AC45BD"/>
    <w:rsid w:val="00AC50BB"/>
    <w:rsid w:val="00AC70A0"/>
    <w:rsid w:val="00AD0B22"/>
    <w:rsid w:val="00AD0B67"/>
    <w:rsid w:val="00AD0EE7"/>
    <w:rsid w:val="00AD168E"/>
    <w:rsid w:val="00AD2C19"/>
    <w:rsid w:val="00AD306C"/>
    <w:rsid w:val="00AD44CD"/>
    <w:rsid w:val="00AD5AD2"/>
    <w:rsid w:val="00AD6462"/>
    <w:rsid w:val="00AD66C5"/>
    <w:rsid w:val="00AD68C4"/>
    <w:rsid w:val="00AD71F9"/>
    <w:rsid w:val="00AE09B3"/>
    <w:rsid w:val="00AE1733"/>
    <w:rsid w:val="00AE1A83"/>
    <w:rsid w:val="00AE2358"/>
    <w:rsid w:val="00AE30BE"/>
    <w:rsid w:val="00AE3E6A"/>
    <w:rsid w:val="00AE417E"/>
    <w:rsid w:val="00AE49C7"/>
    <w:rsid w:val="00AE6414"/>
    <w:rsid w:val="00AE7269"/>
    <w:rsid w:val="00AE7975"/>
    <w:rsid w:val="00AE797C"/>
    <w:rsid w:val="00AE7CE7"/>
    <w:rsid w:val="00AE7FAB"/>
    <w:rsid w:val="00AF0097"/>
    <w:rsid w:val="00AF0657"/>
    <w:rsid w:val="00AF0DE4"/>
    <w:rsid w:val="00AF12A0"/>
    <w:rsid w:val="00AF1E87"/>
    <w:rsid w:val="00AF436B"/>
    <w:rsid w:val="00AF5179"/>
    <w:rsid w:val="00AF586E"/>
    <w:rsid w:val="00AF5CC2"/>
    <w:rsid w:val="00AF6776"/>
    <w:rsid w:val="00AF6F98"/>
    <w:rsid w:val="00AF7277"/>
    <w:rsid w:val="00B00550"/>
    <w:rsid w:val="00B00913"/>
    <w:rsid w:val="00B01593"/>
    <w:rsid w:val="00B01FF9"/>
    <w:rsid w:val="00B023F2"/>
    <w:rsid w:val="00B026FE"/>
    <w:rsid w:val="00B0271F"/>
    <w:rsid w:val="00B038CA"/>
    <w:rsid w:val="00B05F00"/>
    <w:rsid w:val="00B06DB4"/>
    <w:rsid w:val="00B0750D"/>
    <w:rsid w:val="00B07850"/>
    <w:rsid w:val="00B0799C"/>
    <w:rsid w:val="00B102CE"/>
    <w:rsid w:val="00B10A4D"/>
    <w:rsid w:val="00B10C90"/>
    <w:rsid w:val="00B11002"/>
    <w:rsid w:val="00B1114F"/>
    <w:rsid w:val="00B1208C"/>
    <w:rsid w:val="00B121B2"/>
    <w:rsid w:val="00B131B1"/>
    <w:rsid w:val="00B141B6"/>
    <w:rsid w:val="00B14BC1"/>
    <w:rsid w:val="00B154DE"/>
    <w:rsid w:val="00B162C3"/>
    <w:rsid w:val="00B16DD1"/>
    <w:rsid w:val="00B16EB8"/>
    <w:rsid w:val="00B1700A"/>
    <w:rsid w:val="00B176EA"/>
    <w:rsid w:val="00B17E71"/>
    <w:rsid w:val="00B17FDE"/>
    <w:rsid w:val="00B204BA"/>
    <w:rsid w:val="00B20632"/>
    <w:rsid w:val="00B22760"/>
    <w:rsid w:val="00B2379C"/>
    <w:rsid w:val="00B23AEF"/>
    <w:rsid w:val="00B23D5D"/>
    <w:rsid w:val="00B23E6E"/>
    <w:rsid w:val="00B2450C"/>
    <w:rsid w:val="00B25A19"/>
    <w:rsid w:val="00B2687D"/>
    <w:rsid w:val="00B3108D"/>
    <w:rsid w:val="00B32535"/>
    <w:rsid w:val="00B32DDB"/>
    <w:rsid w:val="00B32F57"/>
    <w:rsid w:val="00B33336"/>
    <w:rsid w:val="00B3345C"/>
    <w:rsid w:val="00B34170"/>
    <w:rsid w:val="00B34528"/>
    <w:rsid w:val="00B34CC9"/>
    <w:rsid w:val="00B34CDA"/>
    <w:rsid w:val="00B3563B"/>
    <w:rsid w:val="00B36BDC"/>
    <w:rsid w:val="00B37D3A"/>
    <w:rsid w:val="00B37D96"/>
    <w:rsid w:val="00B402FC"/>
    <w:rsid w:val="00B416B4"/>
    <w:rsid w:val="00B422E2"/>
    <w:rsid w:val="00B422EC"/>
    <w:rsid w:val="00B42D5F"/>
    <w:rsid w:val="00B43216"/>
    <w:rsid w:val="00B439DA"/>
    <w:rsid w:val="00B4411A"/>
    <w:rsid w:val="00B45872"/>
    <w:rsid w:val="00B458B9"/>
    <w:rsid w:val="00B45FE8"/>
    <w:rsid w:val="00B46604"/>
    <w:rsid w:val="00B47089"/>
    <w:rsid w:val="00B47587"/>
    <w:rsid w:val="00B51406"/>
    <w:rsid w:val="00B5150A"/>
    <w:rsid w:val="00B52151"/>
    <w:rsid w:val="00B530CD"/>
    <w:rsid w:val="00B53639"/>
    <w:rsid w:val="00B53C7D"/>
    <w:rsid w:val="00B53E56"/>
    <w:rsid w:val="00B55149"/>
    <w:rsid w:val="00B55A97"/>
    <w:rsid w:val="00B55F5E"/>
    <w:rsid w:val="00B5601B"/>
    <w:rsid w:val="00B5642C"/>
    <w:rsid w:val="00B5658D"/>
    <w:rsid w:val="00B56B6F"/>
    <w:rsid w:val="00B5752E"/>
    <w:rsid w:val="00B60AC1"/>
    <w:rsid w:val="00B61FF6"/>
    <w:rsid w:val="00B62316"/>
    <w:rsid w:val="00B62A2F"/>
    <w:rsid w:val="00B63A11"/>
    <w:rsid w:val="00B64425"/>
    <w:rsid w:val="00B64C24"/>
    <w:rsid w:val="00B65CEF"/>
    <w:rsid w:val="00B6608F"/>
    <w:rsid w:val="00B67749"/>
    <w:rsid w:val="00B679FB"/>
    <w:rsid w:val="00B70F3B"/>
    <w:rsid w:val="00B71FBF"/>
    <w:rsid w:val="00B7252C"/>
    <w:rsid w:val="00B72725"/>
    <w:rsid w:val="00B734A0"/>
    <w:rsid w:val="00B73A14"/>
    <w:rsid w:val="00B748BD"/>
    <w:rsid w:val="00B74A99"/>
    <w:rsid w:val="00B755F7"/>
    <w:rsid w:val="00B7649A"/>
    <w:rsid w:val="00B7680F"/>
    <w:rsid w:val="00B76B48"/>
    <w:rsid w:val="00B76D1E"/>
    <w:rsid w:val="00B77543"/>
    <w:rsid w:val="00B77584"/>
    <w:rsid w:val="00B77E34"/>
    <w:rsid w:val="00B80D89"/>
    <w:rsid w:val="00B80EC6"/>
    <w:rsid w:val="00B81288"/>
    <w:rsid w:val="00B81C3B"/>
    <w:rsid w:val="00B81D70"/>
    <w:rsid w:val="00B833B9"/>
    <w:rsid w:val="00B83AAF"/>
    <w:rsid w:val="00B83E07"/>
    <w:rsid w:val="00B84CF6"/>
    <w:rsid w:val="00B85016"/>
    <w:rsid w:val="00B8561A"/>
    <w:rsid w:val="00B85943"/>
    <w:rsid w:val="00B86628"/>
    <w:rsid w:val="00B86643"/>
    <w:rsid w:val="00B868F7"/>
    <w:rsid w:val="00B90131"/>
    <w:rsid w:val="00B905D7"/>
    <w:rsid w:val="00B92951"/>
    <w:rsid w:val="00B92D1D"/>
    <w:rsid w:val="00B92D7E"/>
    <w:rsid w:val="00B930CE"/>
    <w:rsid w:val="00B938C5"/>
    <w:rsid w:val="00B940A8"/>
    <w:rsid w:val="00B9486C"/>
    <w:rsid w:val="00B9554A"/>
    <w:rsid w:val="00B95940"/>
    <w:rsid w:val="00B95ACA"/>
    <w:rsid w:val="00B96D74"/>
    <w:rsid w:val="00B9720E"/>
    <w:rsid w:val="00B97ACC"/>
    <w:rsid w:val="00B97FE2"/>
    <w:rsid w:val="00BA0E0B"/>
    <w:rsid w:val="00BA201A"/>
    <w:rsid w:val="00BA21DF"/>
    <w:rsid w:val="00BA2867"/>
    <w:rsid w:val="00BA361D"/>
    <w:rsid w:val="00BA3787"/>
    <w:rsid w:val="00BA403A"/>
    <w:rsid w:val="00BA44F9"/>
    <w:rsid w:val="00BA46E8"/>
    <w:rsid w:val="00BA4AE9"/>
    <w:rsid w:val="00BA4E19"/>
    <w:rsid w:val="00BA5237"/>
    <w:rsid w:val="00BA6436"/>
    <w:rsid w:val="00BA64F2"/>
    <w:rsid w:val="00BA684E"/>
    <w:rsid w:val="00BA6BE8"/>
    <w:rsid w:val="00BA6C2B"/>
    <w:rsid w:val="00BA7B64"/>
    <w:rsid w:val="00BB02A3"/>
    <w:rsid w:val="00BB0351"/>
    <w:rsid w:val="00BB15C3"/>
    <w:rsid w:val="00BB1AF4"/>
    <w:rsid w:val="00BB1CBB"/>
    <w:rsid w:val="00BB2202"/>
    <w:rsid w:val="00BB3C6B"/>
    <w:rsid w:val="00BB3FD6"/>
    <w:rsid w:val="00BB453F"/>
    <w:rsid w:val="00BB46F3"/>
    <w:rsid w:val="00BB4A71"/>
    <w:rsid w:val="00BB4CB1"/>
    <w:rsid w:val="00BB4F98"/>
    <w:rsid w:val="00BB50C0"/>
    <w:rsid w:val="00BB5AB2"/>
    <w:rsid w:val="00BB5ABF"/>
    <w:rsid w:val="00BB5FB6"/>
    <w:rsid w:val="00BB6EA2"/>
    <w:rsid w:val="00BB76F3"/>
    <w:rsid w:val="00BB7B5B"/>
    <w:rsid w:val="00BB7EB1"/>
    <w:rsid w:val="00BC003F"/>
    <w:rsid w:val="00BC0930"/>
    <w:rsid w:val="00BC327F"/>
    <w:rsid w:val="00BC3512"/>
    <w:rsid w:val="00BC4B35"/>
    <w:rsid w:val="00BC50BE"/>
    <w:rsid w:val="00BC5332"/>
    <w:rsid w:val="00BC5715"/>
    <w:rsid w:val="00BC5C12"/>
    <w:rsid w:val="00BC641B"/>
    <w:rsid w:val="00BC7154"/>
    <w:rsid w:val="00BC731E"/>
    <w:rsid w:val="00BC7614"/>
    <w:rsid w:val="00BD041B"/>
    <w:rsid w:val="00BD0941"/>
    <w:rsid w:val="00BD25BB"/>
    <w:rsid w:val="00BD2AA3"/>
    <w:rsid w:val="00BD2AF8"/>
    <w:rsid w:val="00BD366B"/>
    <w:rsid w:val="00BD3C09"/>
    <w:rsid w:val="00BD410B"/>
    <w:rsid w:val="00BD4A73"/>
    <w:rsid w:val="00BD4EF4"/>
    <w:rsid w:val="00BD5825"/>
    <w:rsid w:val="00BD6659"/>
    <w:rsid w:val="00BD6C75"/>
    <w:rsid w:val="00BD6D50"/>
    <w:rsid w:val="00BD73D2"/>
    <w:rsid w:val="00BD7808"/>
    <w:rsid w:val="00BE0AD1"/>
    <w:rsid w:val="00BE0EF9"/>
    <w:rsid w:val="00BE10A1"/>
    <w:rsid w:val="00BE18B9"/>
    <w:rsid w:val="00BE190A"/>
    <w:rsid w:val="00BE2495"/>
    <w:rsid w:val="00BE24DD"/>
    <w:rsid w:val="00BE2A0D"/>
    <w:rsid w:val="00BE2D28"/>
    <w:rsid w:val="00BE305A"/>
    <w:rsid w:val="00BE380D"/>
    <w:rsid w:val="00BE386D"/>
    <w:rsid w:val="00BE4DA9"/>
    <w:rsid w:val="00BE54BF"/>
    <w:rsid w:val="00BE557B"/>
    <w:rsid w:val="00BE7F5F"/>
    <w:rsid w:val="00BF02C8"/>
    <w:rsid w:val="00BF04F1"/>
    <w:rsid w:val="00BF1578"/>
    <w:rsid w:val="00BF15CA"/>
    <w:rsid w:val="00BF1D12"/>
    <w:rsid w:val="00BF1D3A"/>
    <w:rsid w:val="00BF2B5B"/>
    <w:rsid w:val="00BF2D41"/>
    <w:rsid w:val="00BF3274"/>
    <w:rsid w:val="00BF32DC"/>
    <w:rsid w:val="00BF35C9"/>
    <w:rsid w:val="00BF3D31"/>
    <w:rsid w:val="00BF4329"/>
    <w:rsid w:val="00BF4C7A"/>
    <w:rsid w:val="00BF4E0C"/>
    <w:rsid w:val="00BF4E43"/>
    <w:rsid w:val="00BF5C4C"/>
    <w:rsid w:val="00BF71E1"/>
    <w:rsid w:val="00BF77FC"/>
    <w:rsid w:val="00C0011B"/>
    <w:rsid w:val="00C00147"/>
    <w:rsid w:val="00C006D6"/>
    <w:rsid w:val="00C00BD7"/>
    <w:rsid w:val="00C0119D"/>
    <w:rsid w:val="00C01410"/>
    <w:rsid w:val="00C017B3"/>
    <w:rsid w:val="00C02D23"/>
    <w:rsid w:val="00C03796"/>
    <w:rsid w:val="00C03D4D"/>
    <w:rsid w:val="00C044F4"/>
    <w:rsid w:val="00C04B78"/>
    <w:rsid w:val="00C052AA"/>
    <w:rsid w:val="00C06CA1"/>
    <w:rsid w:val="00C06EE3"/>
    <w:rsid w:val="00C07279"/>
    <w:rsid w:val="00C073F7"/>
    <w:rsid w:val="00C07749"/>
    <w:rsid w:val="00C07C67"/>
    <w:rsid w:val="00C1117E"/>
    <w:rsid w:val="00C11244"/>
    <w:rsid w:val="00C11D48"/>
    <w:rsid w:val="00C12304"/>
    <w:rsid w:val="00C12316"/>
    <w:rsid w:val="00C1246C"/>
    <w:rsid w:val="00C144B0"/>
    <w:rsid w:val="00C1493E"/>
    <w:rsid w:val="00C14E1F"/>
    <w:rsid w:val="00C15407"/>
    <w:rsid w:val="00C15DBD"/>
    <w:rsid w:val="00C161C5"/>
    <w:rsid w:val="00C167F9"/>
    <w:rsid w:val="00C172F7"/>
    <w:rsid w:val="00C2010D"/>
    <w:rsid w:val="00C20CB5"/>
    <w:rsid w:val="00C21430"/>
    <w:rsid w:val="00C216DF"/>
    <w:rsid w:val="00C21E61"/>
    <w:rsid w:val="00C21F94"/>
    <w:rsid w:val="00C224BD"/>
    <w:rsid w:val="00C234DB"/>
    <w:rsid w:val="00C23C5C"/>
    <w:rsid w:val="00C2479A"/>
    <w:rsid w:val="00C24903"/>
    <w:rsid w:val="00C2590D"/>
    <w:rsid w:val="00C25D9C"/>
    <w:rsid w:val="00C274D1"/>
    <w:rsid w:val="00C27913"/>
    <w:rsid w:val="00C27FA7"/>
    <w:rsid w:val="00C300E2"/>
    <w:rsid w:val="00C31F21"/>
    <w:rsid w:val="00C32631"/>
    <w:rsid w:val="00C33301"/>
    <w:rsid w:val="00C33311"/>
    <w:rsid w:val="00C336F0"/>
    <w:rsid w:val="00C33B68"/>
    <w:rsid w:val="00C34AD4"/>
    <w:rsid w:val="00C35570"/>
    <w:rsid w:val="00C35A2A"/>
    <w:rsid w:val="00C36A79"/>
    <w:rsid w:val="00C401A9"/>
    <w:rsid w:val="00C401D2"/>
    <w:rsid w:val="00C4031A"/>
    <w:rsid w:val="00C405D4"/>
    <w:rsid w:val="00C419D5"/>
    <w:rsid w:val="00C41D54"/>
    <w:rsid w:val="00C428FC"/>
    <w:rsid w:val="00C42EBB"/>
    <w:rsid w:val="00C43839"/>
    <w:rsid w:val="00C43A5F"/>
    <w:rsid w:val="00C4513B"/>
    <w:rsid w:val="00C475E8"/>
    <w:rsid w:val="00C47900"/>
    <w:rsid w:val="00C50E79"/>
    <w:rsid w:val="00C5197D"/>
    <w:rsid w:val="00C525FB"/>
    <w:rsid w:val="00C5390B"/>
    <w:rsid w:val="00C53F2B"/>
    <w:rsid w:val="00C54257"/>
    <w:rsid w:val="00C545DE"/>
    <w:rsid w:val="00C54697"/>
    <w:rsid w:val="00C550CE"/>
    <w:rsid w:val="00C553A5"/>
    <w:rsid w:val="00C55402"/>
    <w:rsid w:val="00C5571B"/>
    <w:rsid w:val="00C5603B"/>
    <w:rsid w:val="00C60AE3"/>
    <w:rsid w:val="00C618D5"/>
    <w:rsid w:val="00C61F47"/>
    <w:rsid w:val="00C62828"/>
    <w:rsid w:val="00C64C25"/>
    <w:rsid w:val="00C661B4"/>
    <w:rsid w:val="00C706D2"/>
    <w:rsid w:val="00C708AA"/>
    <w:rsid w:val="00C715CC"/>
    <w:rsid w:val="00C719A3"/>
    <w:rsid w:val="00C71C93"/>
    <w:rsid w:val="00C71D2F"/>
    <w:rsid w:val="00C72133"/>
    <w:rsid w:val="00C72984"/>
    <w:rsid w:val="00C73885"/>
    <w:rsid w:val="00C73C93"/>
    <w:rsid w:val="00C7435A"/>
    <w:rsid w:val="00C747B1"/>
    <w:rsid w:val="00C747B4"/>
    <w:rsid w:val="00C75510"/>
    <w:rsid w:val="00C755F9"/>
    <w:rsid w:val="00C75752"/>
    <w:rsid w:val="00C75B60"/>
    <w:rsid w:val="00C761EC"/>
    <w:rsid w:val="00C770C9"/>
    <w:rsid w:val="00C77569"/>
    <w:rsid w:val="00C807F6"/>
    <w:rsid w:val="00C81070"/>
    <w:rsid w:val="00C8174E"/>
    <w:rsid w:val="00C82191"/>
    <w:rsid w:val="00C83134"/>
    <w:rsid w:val="00C831E7"/>
    <w:rsid w:val="00C832F3"/>
    <w:rsid w:val="00C84307"/>
    <w:rsid w:val="00C845A4"/>
    <w:rsid w:val="00C85545"/>
    <w:rsid w:val="00C855B5"/>
    <w:rsid w:val="00C85F0E"/>
    <w:rsid w:val="00C86FFC"/>
    <w:rsid w:val="00C872AA"/>
    <w:rsid w:val="00C90CF4"/>
    <w:rsid w:val="00C91C20"/>
    <w:rsid w:val="00C922DE"/>
    <w:rsid w:val="00C92843"/>
    <w:rsid w:val="00C92EB6"/>
    <w:rsid w:val="00C93389"/>
    <w:rsid w:val="00C9364A"/>
    <w:rsid w:val="00C948E6"/>
    <w:rsid w:val="00C9491D"/>
    <w:rsid w:val="00C94CDD"/>
    <w:rsid w:val="00C97588"/>
    <w:rsid w:val="00CA0346"/>
    <w:rsid w:val="00CA0DA1"/>
    <w:rsid w:val="00CA1BD6"/>
    <w:rsid w:val="00CA25CF"/>
    <w:rsid w:val="00CA375D"/>
    <w:rsid w:val="00CA37FF"/>
    <w:rsid w:val="00CA423A"/>
    <w:rsid w:val="00CA47BC"/>
    <w:rsid w:val="00CA5EAD"/>
    <w:rsid w:val="00CA644C"/>
    <w:rsid w:val="00CA6AB4"/>
    <w:rsid w:val="00CA6B65"/>
    <w:rsid w:val="00CA7255"/>
    <w:rsid w:val="00CB1BEE"/>
    <w:rsid w:val="00CB2351"/>
    <w:rsid w:val="00CB28DB"/>
    <w:rsid w:val="00CB4022"/>
    <w:rsid w:val="00CB4193"/>
    <w:rsid w:val="00CB4930"/>
    <w:rsid w:val="00CB4BA9"/>
    <w:rsid w:val="00CB4C63"/>
    <w:rsid w:val="00CB56C8"/>
    <w:rsid w:val="00CB5A48"/>
    <w:rsid w:val="00CB5E10"/>
    <w:rsid w:val="00CB613B"/>
    <w:rsid w:val="00CB6152"/>
    <w:rsid w:val="00CB64E1"/>
    <w:rsid w:val="00CB67CD"/>
    <w:rsid w:val="00CB6E4D"/>
    <w:rsid w:val="00CC009B"/>
    <w:rsid w:val="00CC0834"/>
    <w:rsid w:val="00CC0AEA"/>
    <w:rsid w:val="00CC20FE"/>
    <w:rsid w:val="00CC225C"/>
    <w:rsid w:val="00CC2E7D"/>
    <w:rsid w:val="00CC5BE8"/>
    <w:rsid w:val="00CC612B"/>
    <w:rsid w:val="00CC655F"/>
    <w:rsid w:val="00CC66F9"/>
    <w:rsid w:val="00CC6C2A"/>
    <w:rsid w:val="00CC6FE5"/>
    <w:rsid w:val="00CC7458"/>
    <w:rsid w:val="00CC76BD"/>
    <w:rsid w:val="00CC7A87"/>
    <w:rsid w:val="00CD0C7F"/>
    <w:rsid w:val="00CD0C9C"/>
    <w:rsid w:val="00CD0D6B"/>
    <w:rsid w:val="00CD1060"/>
    <w:rsid w:val="00CD10A5"/>
    <w:rsid w:val="00CD1129"/>
    <w:rsid w:val="00CD181C"/>
    <w:rsid w:val="00CD1A80"/>
    <w:rsid w:val="00CD1CB5"/>
    <w:rsid w:val="00CD2076"/>
    <w:rsid w:val="00CD24CE"/>
    <w:rsid w:val="00CD29B5"/>
    <w:rsid w:val="00CD2B78"/>
    <w:rsid w:val="00CD38C1"/>
    <w:rsid w:val="00CD3FAB"/>
    <w:rsid w:val="00CD5456"/>
    <w:rsid w:val="00CD5C3E"/>
    <w:rsid w:val="00CD5C57"/>
    <w:rsid w:val="00CD6331"/>
    <w:rsid w:val="00CE14BE"/>
    <w:rsid w:val="00CE17A4"/>
    <w:rsid w:val="00CE1BA9"/>
    <w:rsid w:val="00CE2D8F"/>
    <w:rsid w:val="00CE3532"/>
    <w:rsid w:val="00CE3E48"/>
    <w:rsid w:val="00CE46C0"/>
    <w:rsid w:val="00CE47B8"/>
    <w:rsid w:val="00CE54FD"/>
    <w:rsid w:val="00CE5945"/>
    <w:rsid w:val="00CE62FA"/>
    <w:rsid w:val="00CE63FC"/>
    <w:rsid w:val="00CE670B"/>
    <w:rsid w:val="00CE6833"/>
    <w:rsid w:val="00CE6BF7"/>
    <w:rsid w:val="00CE6D4F"/>
    <w:rsid w:val="00CE7624"/>
    <w:rsid w:val="00CF020B"/>
    <w:rsid w:val="00CF15BF"/>
    <w:rsid w:val="00CF23B7"/>
    <w:rsid w:val="00CF2E4D"/>
    <w:rsid w:val="00CF2ED5"/>
    <w:rsid w:val="00CF399E"/>
    <w:rsid w:val="00CF4205"/>
    <w:rsid w:val="00CF42F0"/>
    <w:rsid w:val="00CF4908"/>
    <w:rsid w:val="00CF51EC"/>
    <w:rsid w:val="00CF545D"/>
    <w:rsid w:val="00CF5873"/>
    <w:rsid w:val="00CF5F83"/>
    <w:rsid w:val="00CF6AB7"/>
    <w:rsid w:val="00CF73AE"/>
    <w:rsid w:val="00CF7777"/>
    <w:rsid w:val="00D00220"/>
    <w:rsid w:val="00D00287"/>
    <w:rsid w:val="00D006D3"/>
    <w:rsid w:val="00D0085A"/>
    <w:rsid w:val="00D01404"/>
    <w:rsid w:val="00D016D4"/>
    <w:rsid w:val="00D0197F"/>
    <w:rsid w:val="00D01B31"/>
    <w:rsid w:val="00D0242D"/>
    <w:rsid w:val="00D02716"/>
    <w:rsid w:val="00D03A72"/>
    <w:rsid w:val="00D040DD"/>
    <w:rsid w:val="00D04134"/>
    <w:rsid w:val="00D045CA"/>
    <w:rsid w:val="00D05C65"/>
    <w:rsid w:val="00D06B56"/>
    <w:rsid w:val="00D06BFD"/>
    <w:rsid w:val="00D06D68"/>
    <w:rsid w:val="00D075BE"/>
    <w:rsid w:val="00D07AFF"/>
    <w:rsid w:val="00D10C15"/>
    <w:rsid w:val="00D11011"/>
    <w:rsid w:val="00D11476"/>
    <w:rsid w:val="00D12C25"/>
    <w:rsid w:val="00D133B4"/>
    <w:rsid w:val="00D136CF"/>
    <w:rsid w:val="00D13986"/>
    <w:rsid w:val="00D14C5B"/>
    <w:rsid w:val="00D15FED"/>
    <w:rsid w:val="00D16712"/>
    <w:rsid w:val="00D214EF"/>
    <w:rsid w:val="00D215B0"/>
    <w:rsid w:val="00D21D6D"/>
    <w:rsid w:val="00D21D83"/>
    <w:rsid w:val="00D21F55"/>
    <w:rsid w:val="00D22A47"/>
    <w:rsid w:val="00D235B7"/>
    <w:rsid w:val="00D23FAE"/>
    <w:rsid w:val="00D245B3"/>
    <w:rsid w:val="00D2534D"/>
    <w:rsid w:val="00D25E5A"/>
    <w:rsid w:val="00D25F28"/>
    <w:rsid w:val="00D26071"/>
    <w:rsid w:val="00D260C7"/>
    <w:rsid w:val="00D269B9"/>
    <w:rsid w:val="00D27973"/>
    <w:rsid w:val="00D27F3A"/>
    <w:rsid w:val="00D30490"/>
    <w:rsid w:val="00D309E6"/>
    <w:rsid w:val="00D30A7C"/>
    <w:rsid w:val="00D31537"/>
    <w:rsid w:val="00D31E1E"/>
    <w:rsid w:val="00D31EB3"/>
    <w:rsid w:val="00D322A0"/>
    <w:rsid w:val="00D32824"/>
    <w:rsid w:val="00D334E2"/>
    <w:rsid w:val="00D350B1"/>
    <w:rsid w:val="00D35AD6"/>
    <w:rsid w:val="00D35BBB"/>
    <w:rsid w:val="00D35E1A"/>
    <w:rsid w:val="00D36B0A"/>
    <w:rsid w:val="00D36DFB"/>
    <w:rsid w:val="00D36E1C"/>
    <w:rsid w:val="00D373AF"/>
    <w:rsid w:val="00D40556"/>
    <w:rsid w:val="00D41F74"/>
    <w:rsid w:val="00D428C8"/>
    <w:rsid w:val="00D43034"/>
    <w:rsid w:val="00D43ED2"/>
    <w:rsid w:val="00D44AC8"/>
    <w:rsid w:val="00D44B44"/>
    <w:rsid w:val="00D50F46"/>
    <w:rsid w:val="00D52DB5"/>
    <w:rsid w:val="00D535A8"/>
    <w:rsid w:val="00D5384E"/>
    <w:rsid w:val="00D53D59"/>
    <w:rsid w:val="00D544E7"/>
    <w:rsid w:val="00D5499F"/>
    <w:rsid w:val="00D5560A"/>
    <w:rsid w:val="00D56FBF"/>
    <w:rsid w:val="00D57677"/>
    <w:rsid w:val="00D5781F"/>
    <w:rsid w:val="00D60415"/>
    <w:rsid w:val="00D60E3C"/>
    <w:rsid w:val="00D61777"/>
    <w:rsid w:val="00D618F5"/>
    <w:rsid w:val="00D61FAB"/>
    <w:rsid w:val="00D63BE5"/>
    <w:rsid w:val="00D6475F"/>
    <w:rsid w:val="00D655D4"/>
    <w:rsid w:val="00D6581C"/>
    <w:rsid w:val="00D65C90"/>
    <w:rsid w:val="00D66223"/>
    <w:rsid w:val="00D667B8"/>
    <w:rsid w:val="00D67D55"/>
    <w:rsid w:val="00D70289"/>
    <w:rsid w:val="00D70822"/>
    <w:rsid w:val="00D72076"/>
    <w:rsid w:val="00D721B4"/>
    <w:rsid w:val="00D726A9"/>
    <w:rsid w:val="00D72DBA"/>
    <w:rsid w:val="00D73483"/>
    <w:rsid w:val="00D743E0"/>
    <w:rsid w:val="00D7490C"/>
    <w:rsid w:val="00D74E3B"/>
    <w:rsid w:val="00D74F6E"/>
    <w:rsid w:val="00D75AC1"/>
    <w:rsid w:val="00D77252"/>
    <w:rsid w:val="00D807D7"/>
    <w:rsid w:val="00D8084C"/>
    <w:rsid w:val="00D817C9"/>
    <w:rsid w:val="00D81809"/>
    <w:rsid w:val="00D82EF1"/>
    <w:rsid w:val="00D832B9"/>
    <w:rsid w:val="00D84CC9"/>
    <w:rsid w:val="00D84F43"/>
    <w:rsid w:val="00D85114"/>
    <w:rsid w:val="00D85821"/>
    <w:rsid w:val="00D8598C"/>
    <w:rsid w:val="00D870E5"/>
    <w:rsid w:val="00D87C06"/>
    <w:rsid w:val="00D87E4D"/>
    <w:rsid w:val="00D90B4B"/>
    <w:rsid w:val="00D915EA"/>
    <w:rsid w:val="00D919ED"/>
    <w:rsid w:val="00D92277"/>
    <w:rsid w:val="00D922A1"/>
    <w:rsid w:val="00D928BE"/>
    <w:rsid w:val="00D9317C"/>
    <w:rsid w:val="00D932B8"/>
    <w:rsid w:val="00D940AB"/>
    <w:rsid w:val="00D952A1"/>
    <w:rsid w:val="00D95302"/>
    <w:rsid w:val="00D95889"/>
    <w:rsid w:val="00D95C5D"/>
    <w:rsid w:val="00D97D00"/>
    <w:rsid w:val="00DA096C"/>
    <w:rsid w:val="00DA1AB6"/>
    <w:rsid w:val="00DA1DA5"/>
    <w:rsid w:val="00DA2216"/>
    <w:rsid w:val="00DA2E65"/>
    <w:rsid w:val="00DA328B"/>
    <w:rsid w:val="00DA3ADF"/>
    <w:rsid w:val="00DA4174"/>
    <w:rsid w:val="00DA5181"/>
    <w:rsid w:val="00DA544C"/>
    <w:rsid w:val="00DA5F8E"/>
    <w:rsid w:val="00DA6364"/>
    <w:rsid w:val="00DA6ABA"/>
    <w:rsid w:val="00DA6F48"/>
    <w:rsid w:val="00DA7114"/>
    <w:rsid w:val="00DA7C0C"/>
    <w:rsid w:val="00DB03DD"/>
    <w:rsid w:val="00DB08A9"/>
    <w:rsid w:val="00DB0B33"/>
    <w:rsid w:val="00DB0FD9"/>
    <w:rsid w:val="00DB12BC"/>
    <w:rsid w:val="00DB1FF0"/>
    <w:rsid w:val="00DB2999"/>
    <w:rsid w:val="00DB2DFA"/>
    <w:rsid w:val="00DB2EC8"/>
    <w:rsid w:val="00DB321D"/>
    <w:rsid w:val="00DB3697"/>
    <w:rsid w:val="00DB405C"/>
    <w:rsid w:val="00DB459B"/>
    <w:rsid w:val="00DB47FD"/>
    <w:rsid w:val="00DB5E3A"/>
    <w:rsid w:val="00DB5E9A"/>
    <w:rsid w:val="00DB613B"/>
    <w:rsid w:val="00DB657E"/>
    <w:rsid w:val="00DB7342"/>
    <w:rsid w:val="00DB7489"/>
    <w:rsid w:val="00DC17D0"/>
    <w:rsid w:val="00DC1E5D"/>
    <w:rsid w:val="00DC2783"/>
    <w:rsid w:val="00DC2B41"/>
    <w:rsid w:val="00DC3128"/>
    <w:rsid w:val="00DC435B"/>
    <w:rsid w:val="00DC53D8"/>
    <w:rsid w:val="00DC56FE"/>
    <w:rsid w:val="00DC5B3B"/>
    <w:rsid w:val="00DC5EEF"/>
    <w:rsid w:val="00DC6C2D"/>
    <w:rsid w:val="00DC6C86"/>
    <w:rsid w:val="00DC7B1A"/>
    <w:rsid w:val="00DD04B0"/>
    <w:rsid w:val="00DD0FD2"/>
    <w:rsid w:val="00DD129F"/>
    <w:rsid w:val="00DD13FC"/>
    <w:rsid w:val="00DD1A3F"/>
    <w:rsid w:val="00DD29B5"/>
    <w:rsid w:val="00DD32DD"/>
    <w:rsid w:val="00DD33E8"/>
    <w:rsid w:val="00DD403F"/>
    <w:rsid w:val="00DD5287"/>
    <w:rsid w:val="00DD5B36"/>
    <w:rsid w:val="00DD754E"/>
    <w:rsid w:val="00DD7849"/>
    <w:rsid w:val="00DE03DE"/>
    <w:rsid w:val="00DE0D8B"/>
    <w:rsid w:val="00DE10D3"/>
    <w:rsid w:val="00DE1237"/>
    <w:rsid w:val="00DE140F"/>
    <w:rsid w:val="00DE15D5"/>
    <w:rsid w:val="00DE17E9"/>
    <w:rsid w:val="00DE2491"/>
    <w:rsid w:val="00DE3A05"/>
    <w:rsid w:val="00DE450F"/>
    <w:rsid w:val="00DE5CA6"/>
    <w:rsid w:val="00DE5DAF"/>
    <w:rsid w:val="00DE7AC8"/>
    <w:rsid w:val="00DE7F5A"/>
    <w:rsid w:val="00DF0830"/>
    <w:rsid w:val="00DF132C"/>
    <w:rsid w:val="00DF2C5D"/>
    <w:rsid w:val="00DF3643"/>
    <w:rsid w:val="00DF42FF"/>
    <w:rsid w:val="00DF4369"/>
    <w:rsid w:val="00DF4423"/>
    <w:rsid w:val="00DF4ADF"/>
    <w:rsid w:val="00DF5472"/>
    <w:rsid w:val="00DF57D6"/>
    <w:rsid w:val="00DF5D1E"/>
    <w:rsid w:val="00DF62FA"/>
    <w:rsid w:val="00DF6ABF"/>
    <w:rsid w:val="00DF77E4"/>
    <w:rsid w:val="00DF7F88"/>
    <w:rsid w:val="00E00B88"/>
    <w:rsid w:val="00E01C0E"/>
    <w:rsid w:val="00E0368F"/>
    <w:rsid w:val="00E03D73"/>
    <w:rsid w:val="00E03F9A"/>
    <w:rsid w:val="00E040DA"/>
    <w:rsid w:val="00E04694"/>
    <w:rsid w:val="00E079DE"/>
    <w:rsid w:val="00E07E59"/>
    <w:rsid w:val="00E07F2A"/>
    <w:rsid w:val="00E1168B"/>
    <w:rsid w:val="00E12191"/>
    <w:rsid w:val="00E129E7"/>
    <w:rsid w:val="00E12ABE"/>
    <w:rsid w:val="00E12B1E"/>
    <w:rsid w:val="00E135EB"/>
    <w:rsid w:val="00E13718"/>
    <w:rsid w:val="00E13995"/>
    <w:rsid w:val="00E1444C"/>
    <w:rsid w:val="00E16CD7"/>
    <w:rsid w:val="00E17262"/>
    <w:rsid w:val="00E17F36"/>
    <w:rsid w:val="00E20016"/>
    <w:rsid w:val="00E2009B"/>
    <w:rsid w:val="00E20BB9"/>
    <w:rsid w:val="00E20BCC"/>
    <w:rsid w:val="00E2182D"/>
    <w:rsid w:val="00E2251C"/>
    <w:rsid w:val="00E22F57"/>
    <w:rsid w:val="00E2363D"/>
    <w:rsid w:val="00E23C6A"/>
    <w:rsid w:val="00E2484B"/>
    <w:rsid w:val="00E253A2"/>
    <w:rsid w:val="00E260F6"/>
    <w:rsid w:val="00E269D0"/>
    <w:rsid w:val="00E27127"/>
    <w:rsid w:val="00E27233"/>
    <w:rsid w:val="00E274BB"/>
    <w:rsid w:val="00E30F15"/>
    <w:rsid w:val="00E31771"/>
    <w:rsid w:val="00E3186D"/>
    <w:rsid w:val="00E31A3E"/>
    <w:rsid w:val="00E32080"/>
    <w:rsid w:val="00E32778"/>
    <w:rsid w:val="00E32837"/>
    <w:rsid w:val="00E3309D"/>
    <w:rsid w:val="00E340FA"/>
    <w:rsid w:val="00E34E3F"/>
    <w:rsid w:val="00E350B1"/>
    <w:rsid w:val="00E35A53"/>
    <w:rsid w:val="00E3634A"/>
    <w:rsid w:val="00E3656B"/>
    <w:rsid w:val="00E3712B"/>
    <w:rsid w:val="00E3724A"/>
    <w:rsid w:val="00E378B1"/>
    <w:rsid w:val="00E37FB6"/>
    <w:rsid w:val="00E417BE"/>
    <w:rsid w:val="00E41CD5"/>
    <w:rsid w:val="00E42054"/>
    <w:rsid w:val="00E4372D"/>
    <w:rsid w:val="00E43A9E"/>
    <w:rsid w:val="00E44243"/>
    <w:rsid w:val="00E4439C"/>
    <w:rsid w:val="00E449BA"/>
    <w:rsid w:val="00E453F9"/>
    <w:rsid w:val="00E45D7D"/>
    <w:rsid w:val="00E4623F"/>
    <w:rsid w:val="00E4665D"/>
    <w:rsid w:val="00E47854"/>
    <w:rsid w:val="00E47EBA"/>
    <w:rsid w:val="00E50156"/>
    <w:rsid w:val="00E504EB"/>
    <w:rsid w:val="00E5076C"/>
    <w:rsid w:val="00E50D2E"/>
    <w:rsid w:val="00E50D7D"/>
    <w:rsid w:val="00E51423"/>
    <w:rsid w:val="00E51EF0"/>
    <w:rsid w:val="00E52D68"/>
    <w:rsid w:val="00E53470"/>
    <w:rsid w:val="00E5353B"/>
    <w:rsid w:val="00E5368D"/>
    <w:rsid w:val="00E539F6"/>
    <w:rsid w:val="00E54698"/>
    <w:rsid w:val="00E546EC"/>
    <w:rsid w:val="00E54FB4"/>
    <w:rsid w:val="00E5539A"/>
    <w:rsid w:val="00E55791"/>
    <w:rsid w:val="00E55E1A"/>
    <w:rsid w:val="00E55F64"/>
    <w:rsid w:val="00E56530"/>
    <w:rsid w:val="00E5748E"/>
    <w:rsid w:val="00E578A2"/>
    <w:rsid w:val="00E579ED"/>
    <w:rsid w:val="00E60043"/>
    <w:rsid w:val="00E61708"/>
    <w:rsid w:val="00E61740"/>
    <w:rsid w:val="00E61EB5"/>
    <w:rsid w:val="00E629F7"/>
    <w:rsid w:val="00E6324D"/>
    <w:rsid w:val="00E633BF"/>
    <w:rsid w:val="00E6402D"/>
    <w:rsid w:val="00E649F0"/>
    <w:rsid w:val="00E65084"/>
    <w:rsid w:val="00E6519D"/>
    <w:rsid w:val="00E66062"/>
    <w:rsid w:val="00E6660E"/>
    <w:rsid w:val="00E66768"/>
    <w:rsid w:val="00E67305"/>
    <w:rsid w:val="00E67601"/>
    <w:rsid w:val="00E67696"/>
    <w:rsid w:val="00E70C5F"/>
    <w:rsid w:val="00E71A58"/>
    <w:rsid w:val="00E728D7"/>
    <w:rsid w:val="00E72A26"/>
    <w:rsid w:val="00E72A7A"/>
    <w:rsid w:val="00E7335A"/>
    <w:rsid w:val="00E7467D"/>
    <w:rsid w:val="00E747DC"/>
    <w:rsid w:val="00E74A2D"/>
    <w:rsid w:val="00E75C94"/>
    <w:rsid w:val="00E76A08"/>
    <w:rsid w:val="00E76B9B"/>
    <w:rsid w:val="00E76E61"/>
    <w:rsid w:val="00E77CC0"/>
    <w:rsid w:val="00E80B3D"/>
    <w:rsid w:val="00E80CA3"/>
    <w:rsid w:val="00E82618"/>
    <w:rsid w:val="00E84E09"/>
    <w:rsid w:val="00E85512"/>
    <w:rsid w:val="00E87CE2"/>
    <w:rsid w:val="00E90CA8"/>
    <w:rsid w:val="00E911C6"/>
    <w:rsid w:val="00E930A1"/>
    <w:rsid w:val="00E93820"/>
    <w:rsid w:val="00E93DE5"/>
    <w:rsid w:val="00E94722"/>
    <w:rsid w:val="00E94A86"/>
    <w:rsid w:val="00E9504F"/>
    <w:rsid w:val="00E951AB"/>
    <w:rsid w:val="00E953F6"/>
    <w:rsid w:val="00E96143"/>
    <w:rsid w:val="00E96833"/>
    <w:rsid w:val="00E97506"/>
    <w:rsid w:val="00E975C2"/>
    <w:rsid w:val="00E97BB5"/>
    <w:rsid w:val="00E97F14"/>
    <w:rsid w:val="00EA0122"/>
    <w:rsid w:val="00EA0C68"/>
    <w:rsid w:val="00EA0E39"/>
    <w:rsid w:val="00EA1D0E"/>
    <w:rsid w:val="00EA2072"/>
    <w:rsid w:val="00EA2841"/>
    <w:rsid w:val="00EA32BC"/>
    <w:rsid w:val="00EA35A7"/>
    <w:rsid w:val="00EA3B32"/>
    <w:rsid w:val="00EA3CEB"/>
    <w:rsid w:val="00EA3D05"/>
    <w:rsid w:val="00EA4402"/>
    <w:rsid w:val="00EA4409"/>
    <w:rsid w:val="00EA4B8D"/>
    <w:rsid w:val="00EA5051"/>
    <w:rsid w:val="00EA513E"/>
    <w:rsid w:val="00EA7419"/>
    <w:rsid w:val="00EB0948"/>
    <w:rsid w:val="00EB0E32"/>
    <w:rsid w:val="00EB1FC0"/>
    <w:rsid w:val="00EB3B2B"/>
    <w:rsid w:val="00EB3E60"/>
    <w:rsid w:val="00EB4511"/>
    <w:rsid w:val="00EB48D7"/>
    <w:rsid w:val="00EB49F1"/>
    <w:rsid w:val="00EB4A8E"/>
    <w:rsid w:val="00EB4B8C"/>
    <w:rsid w:val="00EB4BC5"/>
    <w:rsid w:val="00EB5BF7"/>
    <w:rsid w:val="00EB5E79"/>
    <w:rsid w:val="00EB6FAC"/>
    <w:rsid w:val="00EB7BAC"/>
    <w:rsid w:val="00EB7CC9"/>
    <w:rsid w:val="00EC03D7"/>
    <w:rsid w:val="00EC1101"/>
    <w:rsid w:val="00EC13A7"/>
    <w:rsid w:val="00EC1F02"/>
    <w:rsid w:val="00EC2EB6"/>
    <w:rsid w:val="00EC4FFF"/>
    <w:rsid w:val="00EC69A2"/>
    <w:rsid w:val="00EC6D30"/>
    <w:rsid w:val="00EC6E8C"/>
    <w:rsid w:val="00ED0EF0"/>
    <w:rsid w:val="00ED12B9"/>
    <w:rsid w:val="00ED16B8"/>
    <w:rsid w:val="00ED1959"/>
    <w:rsid w:val="00ED1A00"/>
    <w:rsid w:val="00ED1DF0"/>
    <w:rsid w:val="00ED2386"/>
    <w:rsid w:val="00ED2DBD"/>
    <w:rsid w:val="00ED2EA1"/>
    <w:rsid w:val="00ED3851"/>
    <w:rsid w:val="00ED3A8B"/>
    <w:rsid w:val="00ED3E51"/>
    <w:rsid w:val="00ED3F10"/>
    <w:rsid w:val="00ED3F9B"/>
    <w:rsid w:val="00ED451F"/>
    <w:rsid w:val="00ED46F2"/>
    <w:rsid w:val="00ED47EE"/>
    <w:rsid w:val="00ED4D04"/>
    <w:rsid w:val="00ED566D"/>
    <w:rsid w:val="00ED5907"/>
    <w:rsid w:val="00ED5F5B"/>
    <w:rsid w:val="00ED62C6"/>
    <w:rsid w:val="00ED649B"/>
    <w:rsid w:val="00ED64C1"/>
    <w:rsid w:val="00ED781F"/>
    <w:rsid w:val="00EE0E7E"/>
    <w:rsid w:val="00EE249F"/>
    <w:rsid w:val="00EE2EB4"/>
    <w:rsid w:val="00EE3446"/>
    <w:rsid w:val="00EE3E78"/>
    <w:rsid w:val="00EE41FD"/>
    <w:rsid w:val="00EE460E"/>
    <w:rsid w:val="00EE4B1B"/>
    <w:rsid w:val="00EE5572"/>
    <w:rsid w:val="00EE5D97"/>
    <w:rsid w:val="00EE5FBA"/>
    <w:rsid w:val="00EE6E06"/>
    <w:rsid w:val="00EE7179"/>
    <w:rsid w:val="00EF042A"/>
    <w:rsid w:val="00EF0A6D"/>
    <w:rsid w:val="00EF0D90"/>
    <w:rsid w:val="00EF150D"/>
    <w:rsid w:val="00EF1F5A"/>
    <w:rsid w:val="00EF23B5"/>
    <w:rsid w:val="00EF2CA7"/>
    <w:rsid w:val="00EF326A"/>
    <w:rsid w:val="00EF3898"/>
    <w:rsid w:val="00EF3C97"/>
    <w:rsid w:val="00EF47BF"/>
    <w:rsid w:val="00EF52F7"/>
    <w:rsid w:val="00EF59B1"/>
    <w:rsid w:val="00EF5A13"/>
    <w:rsid w:val="00EF5F53"/>
    <w:rsid w:val="00EF5FF9"/>
    <w:rsid w:val="00EF65B5"/>
    <w:rsid w:val="00EF7624"/>
    <w:rsid w:val="00EF77D4"/>
    <w:rsid w:val="00EF7CC7"/>
    <w:rsid w:val="00F00853"/>
    <w:rsid w:val="00F00866"/>
    <w:rsid w:val="00F00EC8"/>
    <w:rsid w:val="00F0160B"/>
    <w:rsid w:val="00F0193E"/>
    <w:rsid w:val="00F01F13"/>
    <w:rsid w:val="00F02982"/>
    <w:rsid w:val="00F03E2F"/>
    <w:rsid w:val="00F03F8D"/>
    <w:rsid w:val="00F04811"/>
    <w:rsid w:val="00F0488C"/>
    <w:rsid w:val="00F073ED"/>
    <w:rsid w:val="00F07C4C"/>
    <w:rsid w:val="00F10F11"/>
    <w:rsid w:val="00F11159"/>
    <w:rsid w:val="00F115E4"/>
    <w:rsid w:val="00F11AC4"/>
    <w:rsid w:val="00F11BD5"/>
    <w:rsid w:val="00F120A5"/>
    <w:rsid w:val="00F12197"/>
    <w:rsid w:val="00F12CFB"/>
    <w:rsid w:val="00F13E60"/>
    <w:rsid w:val="00F13FDB"/>
    <w:rsid w:val="00F15AAA"/>
    <w:rsid w:val="00F15BEF"/>
    <w:rsid w:val="00F1729B"/>
    <w:rsid w:val="00F17898"/>
    <w:rsid w:val="00F204BF"/>
    <w:rsid w:val="00F207C2"/>
    <w:rsid w:val="00F207E5"/>
    <w:rsid w:val="00F209D1"/>
    <w:rsid w:val="00F21337"/>
    <w:rsid w:val="00F219A1"/>
    <w:rsid w:val="00F23E20"/>
    <w:rsid w:val="00F24407"/>
    <w:rsid w:val="00F24FAA"/>
    <w:rsid w:val="00F25040"/>
    <w:rsid w:val="00F25486"/>
    <w:rsid w:val="00F2618F"/>
    <w:rsid w:val="00F26770"/>
    <w:rsid w:val="00F27071"/>
    <w:rsid w:val="00F27331"/>
    <w:rsid w:val="00F276D3"/>
    <w:rsid w:val="00F27EE5"/>
    <w:rsid w:val="00F27FB1"/>
    <w:rsid w:val="00F27FD6"/>
    <w:rsid w:val="00F307CB"/>
    <w:rsid w:val="00F30C65"/>
    <w:rsid w:val="00F321D2"/>
    <w:rsid w:val="00F32649"/>
    <w:rsid w:val="00F32785"/>
    <w:rsid w:val="00F32EC0"/>
    <w:rsid w:val="00F33523"/>
    <w:rsid w:val="00F3364D"/>
    <w:rsid w:val="00F33914"/>
    <w:rsid w:val="00F345C7"/>
    <w:rsid w:val="00F349BF"/>
    <w:rsid w:val="00F34DDC"/>
    <w:rsid w:val="00F36191"/>
    <w:rsid w:val="00F3629F"/>
    <w:rsid w:val="00F36930"/>
    <w:rsid w:val="00F36DF3"/>
    <w:rsid w:val="00F37362"/>
    <w:rsid w:val="00F37EDC"/>
    <w:rsid w:val="00F437CC"/>
    <w:rsid w:val="00F44537"/>
    <w:rsid w:val="00F445EE"/>
    <w:rsid w:val="00F46185"/>
    <w:rsid w:val="00F46423"/>
    <w:rsid w:val="00F4648F"/>
    <w:rsid w:val="00F4696A"/>
    <w:rsid w:val="00F47067"/>
    <w:rsid w:val="00F47234"/>
    <w:rsid w:val="00F47F8D"/>
    <w:rsid w:val="00F51AA9"/>
    <w:rsid w:val="00F51ADD"/>
    <w:rsid w:val="00F525AB"/>
    <w:rsid w:val="00F525EB"/>
    <w:rsid w:val="00F52CB5"/>
    <w:rsid w:val="00F53378"/>
    <w:rsid w:val="00F53A68"/>
    <w:rsid w:val="00F54934"/>
    <w:rsid w:val="00F55A92"/>
    <w:rsid w:val="00F5615B"/>
    <w:rsid w:val="00F568A1"/>
    <w:rsid w:val="00F575D3"/>
    <w:rsid w:val="00F57D57"/>
    <w:rsid w:val="00F62BFF"/>
    <w:rsid w:val="00F63092"/>
    <w:rsid w:val="00F63AAE"/>
    <w:rsid w:val="00F63D6E"/>
    <w:rsid w:val="00F63DDE"/>
    <w:rsid w:val="00F63FB7"/>
    <w:rsid w:val="00F6421B"/>
    <w:rsid w:val="00F647F1"/>
    <w:rsid w:val="00F649D2"/>
    <w:rsid w:val="00F64D5A"/>
    <w:rsid w:val="00F65EB4"/>
    <w:rsid w:val="00F6602B"/>
    <w:rsid w:val="00F6799D"/>
    <w:rsid w:val="00F70D82"/>
    <w:rsid w:val="00F7150B"/>
    <w:rsid w:val="00F717E4"/>
    <w:rsid w:val="00F7189A"/>
    <w:rsid w:val="00F71DE6"/>
    <w:rsid w:val="00F72104"/>
    <w:rsid w:val="00F72662"/>
    <w:rsid w:val="00F72849"/>
    <w:rsid w:val="00F72D71"/>
    <w:rsid w:val="00F7381C"/>
    <w:rsid w:val="00F73A0C"/>
    <w:rsid w:val="00F752DC"/>
    <w:rsid w:val="00F7549F"/>
    <w:rsid w:val="00F756DB"/>
    <w:rsid w:val="00F75E30"/>
    <w:rsid w:val="00F766BE"/>
    <w:rsid w:val="00F767A8"/>
    <w:rsid w:val="00F77590"/>
    <w:rsid w:val="00F82D14"/>
    <w:rsid w:val="00F836DA"/>
    <w:rsid w:val="00F84E7D"/>
    <w:rsid w:val="00F85066"/>
    <w:rsid w:val="00F87A4D"/>
    <w:rsid w:val="00F90AB1"/>
    <w:rsid w:val="00F92623"/>
    <w:rsid w:val="00F93688"/>
    <w:rsid w:val="00F936CF"/>
    <w:rsid w:val="00F939F3"/>
    <w:rsid w:val="00F93C6E"/>
    <w:rsid w:val="00F93F2C"/>
    <w:rsid w:val="00F9533C"/>
    <w:rsid w:val="00F962AD"/>
    <w:rsid w:val="00F9644E"/>
    <w:rsid w:val="00F96E1F"/>
    <w:rsid w:val="00FA00D4"/>
    <w:rsid w:val="00FA0105"/>
    <w:rsid w:val="00FA05A0"/>
    <w:rsid w:val="00FA0AEF"/>
    <w:rsid w:val="00FA17CC"/>
    <w:rsid w:val="00FA1CFE"/>
    <w:rsid w:val="00FA1F01"/>
    <w:rsid w:val="00FA26DF"/>
    <w:rsid w:val="00FA2A90"/>
    <w:rsid w:val="00FA32BC"/>
    <w:rsid w:val="00FA3FA8"/>
    <w:rsid w:val="00FA4059"/>
    <w:rsid w:val="00FA4574"/>
    <w:rsid w:val="00FA48A4"/>
    <w:rsid w:val="00FA4CB7"/>
    <w:rsid w:val="00FA4E3E"/>
    <w:rsid w:val="00FA5112"/>
    <w:rsid w:val="00FA5526"/>
    <w:rsid w:val="00FA5D4D"/>
    <w:rsid w:val="00FA6CB6"/>
    <w:rsid w:val="00FA70D3"/>
    <w:rsid w:val="00FA7AEC"/>
    <w:rsid w:val="00FA7F11"/>
    <w:rsid w:val="00FB0AC3"/>
    <w:rsid w:val="00FB0AEA"/>
    <w:rsid w:val="00FB0EE2"/>
    <w:rsid w:val="00FB1135"/>
    <w:rsid w:val="00FB1A79"/>
    <w:rsid w:val="00FB208B"/>
    <w:rsid w:val="00FB2B2D"/>
    <w:rsid w:val="00FB542E"/>
    <w:rsid w:val="00FB5580"/>
    <w:rsid w:val="00FB564F"/>
    <w:rsid w:val="00FB6532"/>
    <w:rsid w:val="00FB77F5"/>
    <w:rsid w:val="00FB7DBB"/>
    <w:rsid w:val="00FC05F8"/>
    <w:rsid w:val="00FC077B"/>
    <w:rsid w:val="00FC0E5F"/>
    <w:rsid w:val="00FC1266"/>
    <w:rsid w:val="00FC1A95"/>
    <w:rsid w:val="00FC1ED4"/>
    <w:rsid w:val="00FC3BEC"/>
    <w:rsid w:val="00FC3DB2"/>
    <w:rsid w:val="00FC440B"/>
    <w:rsid w:val="00FC4640"/>
    <w:rsid w:val="00FC56DE"/>
    <w:rsid w:val="00FC583C"/>
    <w:rsid w:val="00FC63D9"/>
    <w:rsid w:val="00FC64DE"/>
    <w:rsid w:val="00FC6785"/>
    <w:rsid w:val="00FC684B"/>
    <w:rsid w:val="00FC7D98"/>
    <w:rsid w:val="00FD0344"/>
    <w:rsid w:val="00FD1135"/>
    <w:rsid w:val="00FD1910"/>
    <w:rsid w:val="00FD2D20"/>
    <w:rsid w:val="00FD3265"/>
    <w:rsid w:val="00FD38C6"/>
    <w:rsid w:val="00FD3CF7"/>
    <w:rsid w:val="00FD4916"/>
    <w:rsid w:val="00FD4D12"/>
    <w:rsid w:val="00FD4F73"/>
    <w:rsid w:val="00FD595E"/>
    <w:rsid w:val="00FD7802"/>
    <w:rsid w:val="00FE27C7"/>
    <w:rsid w:val="00FE2BC0"/>
    <w:rsid w:val="00FE2C7E"/>
    <w:rsid w:val="00FE2F78"/>
    <w:rsid w:val="00FE3137"/>
    <w:rsid w:val="00FE346B"/>
    <w:rsid w:val="00FE346F"/>
    <w:rsid w:val="00FE48E4"/>
    <w:rsid w:val="00FE5DC9"/>
    <w:rsid w:val="00FE634C"/>
    <w:rsid w:val="00FE6E69"/>
    <w:rsid w:val="00FE6F59"/>
    <w:rsid w:val="00FF01B6"/>
    <w:rsid w:val="00FF1136"/>
    <w:rsid w:val="00FF3D76"/>
    <w:rsid w:val="00FF5B8C"/>
    <w:rsid w:val="00FF63E6"/>
    <w:rsid w:val="00FF77F9"/>
    <w:rsid w:val="00FF7B96"/>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ecf4dd,#eaecee,#fcec0a,#fcecdb,#f1daf5"/>
    </o:shapedefaults>
    <o:shapelayout v:ext="edit">
      <o:idmap v:ext="edit" data="1"/>
    </o:shapelayout>
  </w:shapeDefaults>
  <w:decimalSymbol w:val=","/>
  <w:listSeparator w:val=";"/>
  <w14:docId w14:val="5D395025"/>
  <w15:docId w15:val="{65A7C2A9-88C6-491F-A56E-5229398B3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64FA0"/>
    <w:pPr>
      <w:spacing w:after="240" w:line="276" w:lineRule="auto"/>
      <w:jc w:val="both"/>
    </w:pPr>
    <w:rPr>
      <w:rFonts w:ascii="Arial" w:eastAsia="Times New Roman" w:hAnsi="Arial"/>
      <w:szCs w:val="24"/>
      <w:lang w:eastAsia="cs-CZ"/>
    </w:rPr>
  </w:style>
  <w:style w:type="paragraph" w:styleId="Nadpis1">
    <w:name w:val="heading 1"/>
    <w:next w:val="Normln"/>
    <w:link w:val="Nadpis1Char"/>
    <w:uiPriority w:val="9"/>
    <w:qFormat/>
    <w:rsid w:val="00A25216"/>
    <w:pPr>
      <w:keepNext/>
      <w:keepLines/>
      <w:spacing w:after="100" w:line="276" w:lineRule="auto"/>
      <w:contextualSpacing/>
      <w:outlineLvl w:val="0"/>
    </w:pPr>
    <w:rPr>
      <w:rFonts w:ascii="Arial" w:eastAsia="MS Gothic" w:hAnsi="Arial"/>
      <w:b/>
      <w:bCs/>
      <w:color w:val="71818C"/>
      <w:sz w:val="32"/>
      <w:szCs w:val="28"/>
      <w:lang w:eastAsia="cs-CZ"/>
    </w:rPr>
  </w:style>
  <w:style w:type="paragraph" w:styleId="Nadpis2">
    <w:name w:val="heading 2"/>
    <w:next w:val="Normln"/>
    <w:link w:val="Nadpis2Char"/>
    <w:uiPriority w:val="9"/>
    <w:qFormat/>
    <w:rsid w:val="00A25216"/>
    <w:pPr>
      <w:keepNext/>
      <w:keepLines/>
      <w:spacing w:line="276" w:lineRule="auto"/>
      <w:outlineLvl w:val="1"/>
    </w:pPr>
    <w:rPr>
      <w:rFonts w:ascii="Arial" w:eastAsia="MS Gothic" w:hAnsi="Arial"/>
      <w:b/>
      <w:bCs/>
      <w:color w:val="71818C"/>
      <w:sz w:val="28"/>
      <w:szCs w:val="26"/>
      <w:lang w:eastAsia="cs-CZ"/>
    </w:rPr>
  </w:style>
  <w:style w:type="paragraph" w:styleId="Nadpis3">
    <w:name w:val="heading 3"/>
    <w:next w:val="Normln"/>
    <w:link w:val="Nadpis3Char"/>
    <w:uiPriority w:val="9"/>
    <w:qFormat/>
    <w:rsid w:val="00A25216"/>
    <w:pPr>
      <w:keepNext/>
      <w:keepLines/>
      <w:spacing w:line="276" w:lineRule="auto"/>
      <w:outlineLvl w:val="2"/>
    </w:pPr>
    <w:rPr>
      <w:rFonts w:ascii="Arial" w:eastAsia="MS Gothic" w:hAnsi="Arial"/>
      <w:b/>
      <w:bCs/>
      <w:color w:val="71818C"/>
      <w:sz w:val="24"/>
      <w:szCs w:val="24"/>
      <w:lang w:eastAsia="cs-CZ"/>
    </w:rPr>
  </w:style>
  <w:style w:type="paragraph" w:styleId="Nadpis4">
    <w:name w:val="heading 4"/>
    <w:next w:val="Normln"/>
    <w:link w:val="Nadpis4Char"/>
    <w:uiPriority w:val="9"/>
    <w:qFormat/>
    <w:rsid w:val="00A25216"/>
    <w:pPr>
      <w:keepNext/>
      <w:keepLines/>
      <w:spacing w:line="276" w:lineRule="auto"/>
      <w:outlineLvl w:val="3"/>
    </w:pPr>
    <w:rPr>
      <w:rFonts w:ascii="Arial" w:eastAsia="MS Gothic" w:hAnsi="Arial"/>
      <w:b/>
      <w:bCs/>
      <w:iCs/>
      <w:color w:val="71818C"/>
      <w:szCs w:val="24"/>
      <w:lang w:eastAsia="cs-CZ"/>
    </w:rPr>
  </w:style>
  <w:style w:type="paragraph" w:styleId="Nadpis5">
    <w:name w:val="heading 5"/>
    <w:basedOn w:val="Normln"/>
    <w:next w:val="Normln"/>
    <w:link w:val="Nadpis5Char"/>
    <w:uiPriority w:val="9"/>
    <w:semiHidden/>
    <w:unhideWhenUsed/>
    <w:rsid w:val="007A516D"/>
    <w:pPr>
      <w:keepNext/>
      <w:keepLines/>
      <w:numPr>
        <w:ilvl w:val="4"/>
        <w:numId w:val="14"/>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7A516D"/>
    <w:pPr>
      <w:keepNext/>
      <w:keepLines/>
      <w:numPr>
        <w:ilvl w:val="5"/>
        <w:numId w:val="14"/>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7A516D"/>
    <w:pPr>
      <w:keepNext/>
      <w:keepLines/>
      <w:numPr>
        <w:ilvl w:val="6"/>
        <w:numId w:val="14"/>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7A516D"/>
    <w:pPr>
      <w:keepNext/>
      <w:keepLines/>
      <w:numPr>
        <w:ilvl w:val="7"/>
        <w:numId w:val="14"/>
      </w:numPr>
      <w:spacing w:before="200" w:after="0"/>
      <w:outlineLvl w:val="7"/>
    </w:pPr>
    <w:rPr>
      <w:rFonts w:asciiTheme="majorHAnsi" w:eastAsiaTheme="majorEastAsia" w:hAnsiTheme="majorHAnsi" w:cstheme="majorBidi"/>
      <w:color w:val="404040" w:themeColor="text1" w:themeTint="BF"/>
      <w:szCs w:val="20"/>
    </w:rPr>
  </w:style>
  <w:style w:type="paragraph" w:styleId="Nadpis9">
    <w:name w:val="heading 9"/>
    <w:basedOn w:val="Normln"/>
    <w:next w:val="Normln"/>
    <w:link w:val="Nadpis9Char"/>
    <w:uiPriority w:val="9"/>
    <w:semiHidden/>
    <w:unhideWhenUsed/>
    <w:qFormat/>
    <w:rsid w:val="007A516D"/>
    <w:pPr>
      <w:numPr>
        <w:ilvl w:val="8"/>
        <w:numId w:val="14"/>
      </w:num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qFormat/>
    <w:rsid w:val="00364FA0"/>
    <w:rPr>
      <w:rFonts w:ascii="Arial" w:eastAsia="MS Gothic" w:hAnsi="Arial"/>
      <w:b/>
      <w:bCs/>
      <w:color w:val="71818C"/>
      <w:sz w:val="32"/>
      <w:szCs w:val="28"/>
      <w:lang w:eastAsia="cs-CZ"/>
    </w:rPr>
  </w:style>
  <w:style w:type="character" w:customStyle="1" w:styleId="Nadpis2Char">
    <w:name w:val="Nadpis 2 Char"/>
    <w:link w:val="Nadpis2"/>
    <w:uiPriority w:val="9"/>
    <w:rsid w:val="00364FA0"/>
    <w:rPr>
      <w:rFonts w:ascii="Arial" w:eastAsia="MS Gothic" w:hAnsi="Arial"/>
      <w:b/>
      <w:bCs/>
      <w:color w:val="71818C"/>
      <w:sz w:val="28"/>
      <w:szCs w:val="26"/>
      <w:lang w:eastAsia="cs-CZ"/>
    </w:rPr>
  </w:style>
  <w:style w:type="character" w:customStyle="1" w:styleId="Nadpis3Char">
    <w:name w:val="Nadpis 3 Char"/>
    <w:link w:val="Nadpis3"/>
    <w:uiPriority w:val="9"/>
    <w:rsid w:val="00364FA0"/>
    <w:rPr>
      <w:rFonts w:ascii="Arial" w:eastAsia="MS Gothic" w:hAnsi="Arial"/>
      <w:b/>
      <w:bCs/>
      <w:color w:val="71818C"/>
      <w:sz w:val="24"/>
      <w:szCs w:val="24"/>
      <w:lang w:eastAsia="cs-CZ"/>
    </w:rPr>
  </w:style>
  <w:style w:type="character" w:customStyle="1" w:styleId="Nadpis4Char">
    <w:name w:val="Nadpis 4 Char"/>
    <w:link w:val="Nadpis4"/>
    <w:uiPriority w:val="9"/>
    <w:rsid w:val="00364FA0"/>
    <w:rPr>
      <w:rFonts w:ascii="Arial" w:eastAsia="MS Gothic" w:hAnsi="Arial"/>
      <w:b/>
      <w:bCs/>
      <w:iCs/>
      <w:color w:val="71818C"/>
      <w:szCs w:val="24"/>
      <w:lang w:eastAsia="cs-CZ"/>
    </w:rPr>
  </w:style>
  <w:style w:type="character" w:customStyle="1" w:styleId="Nadpis9Char">
    <w:name w:val="Nadpis 9 Char"/>
    <w:link w:val="Nadpis9"/>
    <w:uiPriority w:val="9"/>
    <w:semiHidden/>
    <w:rsid w:val="007A516D"/>
    <w:rPr>
      <w:rFonts w:ascii="Cambria" w:eastAsia="Times New Roman" w:hAnsi="Cambria"/>
      <w:sz w:val="22"/>
      <w:szCs w:val="22"/>
      <w:lang w:eastAsia="cs-CZ"/>
    </w:rPr>
  </w:style>
  <w:style w:type="character" w:styleId="Hypertextovodkaz">
    <w:name w:val="Hyperlink"/>
    <w:uiPriority w:val="99"/>
    <w:rsid w:val="00E71A58"/>
    <w:rPr>
      <w:color w:val="0000FF"/>
      <w:u w:val="single"/>
    </w:rPr>
  </w:style>
  <w:style w:type="paragraph" w:styleId="Zhlav">
    <w:name w:val="header"/>
    <w:link w:val="ZhlavChar"/>
    <w:uiPriority w:val="99"/>
    <w:unhideWhenUsed/>
    <w:qFormat/>
    <w:rsid w:val="00A418BC"/>
    <w:pPr>
      <w:spacing w:line="288" w:lineRule="auto"/>
    </w:pPr>
    <w:rPr>
      <w:rFonts w:ascii="Arial" w:hAnsi="Arial"/>
      <w:sz w:val="16"/>
      <w:szCs w:val="22"/>
    </w:rPr>
  </w:style>
  <w:style w:type="character" w:customStyle="1" w:styleId="ZhlavChar">
    <w:name w:val="Záhlaví Char"/>
    <w:link w:val="Zhlav"/>
    <w:uiPriority w:val="99"/>
    <w:rsid w:val="00A418BC"/>
    <w:rPr>
      <w:rFonts w:ascii="Arial" w:hAnsi="Arial"/>
      <w:sz w:val="16"/>
      <w:szCs w:val="22"/>
      <w:lang w:eastAsia="en-US"/>
    </w:rPr>
  </w:style>
  <w:style w:type="paragraph" w:styleId="Zpat">
    <w:name w:val="footer"/>
    <w:link w:val="ZpatChar"/>
    <w:uiPriority w:val="99"/>
    <w:unhideWhenUsed/>
    <w:qFormat/>
    <w:rsid w:val="00031AE0"/>
    <w:pPr>
      <w:tabs>
        <w:tab w:val="center" w:pos="4820"/>
        <w:tab w:val="right" w:pos="9639"/>
      </w:tabs>
    </w:pPr>
    <w:rPr>
      <w:rFonts w:ascii="Arial" w:hAnsi="Arial" w:cs="Arial"/>
      <w:noProof/>
      <w:sz w:val="16"/>
    </w:rPr>
  </w:style>
  <w:style w:type="character" w:customStyle="1" w:styleId="ZpatChar">
    <w:name w:val="Zápatí Char"/>
    <w:link w:val="Zpat"/>
    <w:uiPriority w:val="99"/>
    <w:rsid w:val="00031AE0"/>
    <w:rPr>
      <w:rFonts w:ascii="Arial" w:hAnsi="Arial" w:cs="Arial"/>
      <w:noProof/>
      <w:sz w:val="16"/>
      <w:lang w:eastAsia="en-US"/>
    </w:rPr>
  </w:style>
  <w:style w:type="paragraph" w:styleId="Textbubliny">
    <w:name w:val="Balloon Text"/>
    <w:basedOn w:val="Normln"/>
    <w:link w:val="TextbublinyChar"/>
    <w:uiPriority w:val="99"/>
    <w:semiHidden/>
    <w:unhideWhenUsed/>
    <w:rsid w:val="00E71A58"/>
    <w:rPr>
      <w:rFonts w:ascii="Tahoma" w:eastAsia="Calibri" w:hAnsi="Tahoma"/>
      <w:sz w:val="16"/>
      <w:szCs w:val="16"/>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link w:val="ZkladnodstavecChar"/>
    <w:uiPriority w:val="99"/>
    <w:rsid w:val="0008263E"/>
    <w:pPr>
      <w:autoSpaceDE w:val="0"/>
      <w:autoSpaceDN w:val="0"/>
      <w:adjustRightInd w:val="0"/>
      <w:spacing w:line="276" w:lineRule="auto"/>
      <w:textAlignment w:val="center"/>
    </w:pPr>
    <w:rPr>
      <w:rFonts w:ascii="Arial" w:hAnsi="Arial" w:cs="Minion Pro"/>
      <w:color w:val="000000"/>
      <w:szCs w:val="24"/>
      <w:lang w:eastAsia="cs-CZ"/>
    </w:rPr>
  </w:style>
  <w:style w:type="character" w:customStyle="1" w:styleId="ZkladnodstavecChar">
    <w:name w:val="[Základní odstavec] Char"/>
    <w:link w:val="Zkladnodstavec"/>
    <w:uiPriority w:val="99"/>
    <w:rsid w:val="0008263E"/>
    <w:rPr>
      <w:rFonts w:ascii="Arial" w:hAnsi="Arial" w:cs="Minion Pro"/>
      <w:color w:val="000000"/>
      <w:szCs w:val="24"/>
    </w:rPr>
  </w:style>
  <w:style w:type="paragraph" w:styleId="Obsah1">
    <w:name w:val="toc 1"/>
    <w:basedOn w:val="Obsahpoloky"/>
    <w:next w:val="Obsahpoloky"/>
    <w:autoRedefine/>
    <w:uiPriority w:val="39"/>
    <w:unhideWhenUsed/>
    <w:rsid w:val="00FC1A95"/>
  </w:style>
  <w:style w:type="paragraph" w:customStyle="1" w:styleId="TLIdentifikace-sted">
    <w:name w:val="TL Identifikace - střed"/>
    <w:qFormat/>
    <w:rsid w:val="009A60D1"/>
    <w:pPr>
      <w:spacing w:after="200" w:line="288" w:lineRule="auto"/>
    </w:pPr>
    <w:rPr>
      <w:rFonts w:ascii="Arial" w:eastAsia="Times New Roman" w:hAnsi="Arial"/>
      <w:sz w:val="24"/>
      <w:szCs w:val="24"/>
      <w:lang w:eastAsia="cs-CZ"/>
    </w:rPr>
  </w:style>
  <w:style w:type="paragraph" w:customStyle="1" w:styleId="Obsah">
    <w:name w:val="Obsah"/>
    <w:next w:val="Normln"/>
    <w:qFormat/>
    <w:rsid w:val="00846121"/>
    <w:pPr>
      <w:spacing w:after="80" w:line="288" w:lineRule="auto"/>
    </w:pPr>
    <w:rPr>
      <w:rFonts w:ascii="Arial" w:eastAsia="Times New Roman" w:hAnsi="Arial"/>
      <w:b/>
      <w:color w:val="71818C"/>
      <w:sz w:val="32"/>
      <w:szCs w:val="24"/>
      <w:lang w:eastAsia="cs-CZ"/>
    </w:rPr>
  </w:style>
  <w:style w:type="paragraph" w:customStyle="1" w:styleId="Obsahpoloky">
    <w:name w:val="Obsah položky"/>
    <w:qFormat/>
    <w:rsid w:val="00616E05"/>
    <w:pPr>
      <w:tabs>
        <w:tab w:val="right" w:leader="dot" w:pos="9639"/>
      </w:tabs>
      <w:spacing w:line="288" w:lineRule="auto"/>
    </w:pPr>
    <w:rPr>
      <w:rFonts w:ascii="Arial" w:eastAsia="Times New Roman" w:hAnsi="Arial"/>
      <w:szCs w:val="24"/>
      <w:lang w:eastAsia="cs-CZ"/>
    </w:rPr>
  </w:style>
  <w:style w:type="paragraph" w:customStyle="1" w:styleId="A-Box1">
    <w:name w:val="A-Box 1"/>
    <w:next w:val="Normln"/>
    <w:qFormat/>
    <w:rsid w:val="00F84E7D"/>
    <w:pPr>
      <w:shd w:val="clear" w:color="auto" w:fill="EAECEE"/>
      <w:spacing w:before="240" w:after="240" w:line="276" w:lineRule="auto"/>
      <w:contextualSpacing/>
      <w:jc w:val="both"/>
    </w:pPr>
    <w:rPr>
      <w:rFonts w:ascii="Arial" w:hAnsi="Arial" w:cs="Arial"/>
      <w:lang w:eastAsia="cs-CZ"/>
    </w:rPr>
  </w:style>
  <w:style w:type="paragraph" w:customStyle="1" w:styleId="A-Box2">
    <w:name w:val="A-Box 2"/>
    <w:next w:val="Normln"/>
    <w:qFormat/>
    <w:rsid w:val="00D075BE"/>
    <w:pPr>
      <w:spacing w:before="240" w:after="240" w:line="276" w:lineRule="auto"/>
      <w:contextualSpacing/>
      <w:jc w:val="both"/>
    </w:pPr>
    <w:rPr>
      <w:rFonts w:ascii="Arial" w:hAnsi="Arial" w:cs="Arial"/>
      <w:color w:val="71818C"/>
      <w:lang w:eastAsia="cs-CZ"/>
    </w:rPr>
  </w:style>
  <w:style w:type="paragraph" w:styleId="Seznam">
    <w:name w:val="List"/>
    <w:basedOn w:val="Normln"/>
    <w:uiPriority w:val="99"/>
    <w:unhideWhenUsed/>
    <w:qFormat/>
    <w:rsid w:val="00481E40"/>
    <w:pPr>
      <w:contextualSpacing/>
    </w:pPr>
  </w:style>
  <w:style w:type="character" w:styleId="Siln">
    <w:name w:val="Strong"/>
    <w:aliases w:val="Tučné"/>
    <w:uiPriority w:val="22"/>
    <w:qFormat/>
    <w:rsid w:val="00EC03D7"/>
    <w:rPr>
      <w:rFonts w:ascii="Arial" w:hAnsi="Arial"/>
      <w:b/>
      <w:bCs/>
      <w:sz w:val="20"/>
    </w:rPr>
  </w:style>
  <w:style w:type="paragraph" w:customStyle="1" w:styleId="TLKontaktyerven">
    <w:name w:val="TL Kontakty červené"/>
    <w:basedOn w:val="Normln"/>
    <w:qFormat/>
    <w:rsid w:val="00104C4C"/>
    <w:pPr>
      <w:spacing w:after="40"/>
      <w:contextualSpacing/>
    </w:pPr>
    <w:rPr>
      <w:b/>
      <w:caps/>
      <w:color w:val="BD1B21"/>
      <w:sz w:val="24"/>
    </w:rPr>
  </w:style>
  <w:style w:type="paragraph" w:customStyle="1" w:styleId="TLKontakty">
    <w:name w:val="TL Kontakty"/>
    <w:qFormat/>
    <w:rsid w:val="008E6F06"/>
    <w:pPr>
      <w:spacing w:after="160" w:line="259" w:lineRule="auto"/>
      <w:contextualSpacing/>
    </w:pPr>
    <w:rPr>
      <w:rFonts w:ascii="Arial" w:eastAsia="Times New Roman" w:hAnsi="Arial"/>
      <w:b/>
      <w:color w:val="0071BC"/>
      <w:lang w:eastAsia="cs-CZ"/>
    </w:rPr>
  </w:style>
  <w:style w:type="paragraph" w:styleId="Nzev">
    <w:name w:val="Title"/>
    <w:link w:val="NzevChar"/>
    <w:uiPriority w:val="10"/>
    <w:qFormat/>
    <w:rsid w:val="00846121"/>
    <w:pPr>
      <w:spacing w:line="288" w:lineRule="auto"/>
    </w:pPr>
    <w:rPr>
      <w:rFonts w:ascii="Arial" w:eastAsia="Times New Roman" w:hAnsi="Arial"/>
      <w:b/>
      <w:bCs/>
      <w:caps/>
      <w:color w:val="71818C"/>
      <w:kern w:val="28"/>
      <w:sz w:val="56"/>
      <w:szCs w:val="32"/>
      <w:lang w:eastAsia="cs-CZ"/>
    </w:rPr>
  </w:style>
  <w:style w:type="character" w:customStyle="1" w:styleId="NzevChar">
    <w:name w:val="Název Char"/>
    <w:link w:val="Nzev"/>
    <w:uiPriority w:val="10"/>
    <w:rsid w:val="00846121"/>
    <w:rPr>
      <w:rFonts w:ascii="Arial" w:eastAsia="Times New Roman" w:hAnsi="Arial"/>
      <w:b/>
      <w:bCs/>
      <w:caps/>
      <w:color w:val="71818C"/>
      <w:kern w:val="28"/>
      <w:sz w:val="56"/>
      <w:szCs w:val="32"/>
    </w:rPr>
  </w:style>
  <w:style w:type="paragraph" w:styleId="Podnadpis">
    <w:name w:val="Subtitle"/>
    <w:link w:val="PodnadpisChar"/>
    <w:uiPriority w:val="11"/>
    <w:qFormat/>
    <w:rsid w:val="00846121"/>
    <w:pPr>
      <w:spacing w:line="288" w:lineRule="auto"/>
    </w:pPr>
    <w:rPr>
      <w:rFonts w:ascii="Arial" w:eastAsia="Times New Roman" w:hAnsi="Arial" w:cs="Arial"/>
      <w:b/>
      <w:color w:val="71818C"/>
      <w:sz w:val="28"/>
      <w:szCs w:val="24"/>
      <w:lang w:eastAsia="cs-CZ"/>
    </w:rPr>
  </w:style>
  <w:style w:type="character" w:customStyle="1" w:styleId="PodnadpisChar">
    <w:name w:val="Podnadpis Char"/>
    <w:link w:val="Podnadpis"/>
    <w:uiPriority w:val="11"/>
    <w:rsid w:val="00846121"/>
    <w:rPr>
      <w:rFonts w:ascii="Arial" w:eastAsia="Times New Roman" w:hAnsi="Arial" w:cs="Arial"/>
      <w:b/>
      <w:color w:val="71818C"/>
      <w:sz w:val="28"/>
      <w:szCs w:val="24"/>
    </w:rPr>
  </w:style>
  <w:style w:type="paragraph" w:styleId="Obsah2">
    <w:name w:val="toc 2"/>
    <w:basedOn w:val="Obsahpoloky"/>
    <w:next w:val="Obsahpoloky"/>
    <w:autoRedefine/>
    <w:uiPriority w:val="39"/>
    <w:unhideWhenUsed/>
    <w:rsid w:val="00FC1A95"/>
    <w:pPr>
      <w:ind w:left="200"/>
    </w:pPr>
  </w:style>
  <w:style w:type="paragraph" w:styleId="Obsah3">
    <w:name w:val="toc 3"/>
    <w:basedOn w:val="Obsahpoloky"/>
    <w:next w:val="Obsahpoloky"/>
    <w:autoRedefine/>
    <w:uiPriority w:val="39"/>
    <w:unhideWhenUsed/>
    <w:rsid w:val="00FC1A95"/>
    <w:pPr>
      <w:ind w:left="400"/>
    </w:pPr>
  </w:style>
  <w:style w:type="paragraph" w:styleId="Obsah4">
    <w:name w:val="toc 4"/>
    <w:basedOn w:val="Obsahpoloky"/>
    <w:next w:val="Obsahpoloky"/>
    <w:autoRedefine/>
    <w:uiPriority w:val="39"/>
    <w:unhideWhenUsed/>
    <w:rsid w:val="00FC1A95"/>
    <w:pPr>
      <w:ind w:left="600"/>
    </w:pPr>
  </w:style>
  <w:style w:type="paragraph" w:styleId="Obsah5">
    <w:name w:val="toc 5"/>
    <w:basedOn w:val="Obsahpoloky"/>
    <w:next w:val="Obsahpoloky"/>
    <w:autoRedefine/>
    <w:uiPriority w:val="39"/>
    <w:semiHidden/>
    <w:unhideWhenUsed/>
    <w:rsid w:val="00FC1A95"/>
    <w:pPr>
      <w:ind w:left="800"/>
    </w:pPr>
  </w:style>
  <w:style w:type="paragraph" w:styleId="Obsah6">
    <w:name w:val="toc 6"/>
    <w:basedOn w:val="Obsahpoloky"/>
    <w:next w:val="Obsahpoloky"/>
    <w:autoRedefine/>
    <w:uiPriority w:val="39"/>
    <w:semiHidden/>
    <w:unhideWhenUsed/>
    <w:rsid w:val="00FC1A95"/>
    <w:pPr>
      <w:ind w:left="1000"/>
    </w:pPr>
  </w:style>
  <w:style w:type="paragraph" w:styleId="Obsah7">
    <w:name w:val="toc 7"/>
    <w:basedOn w:val="Obsahpoloky"/>
    <w:next w:val="Obsahpoloky"/>
    <w:autoRedefine/>
    <w:uiPriority w:val="39"/>
    <w:semiHidden/>
    <w:unhideWhenUsed/>
    <w:rsid w:val="00FC1A95"/>
    <w:pPr>
      <w:ind w:left="1200"/>
    </w:pPr>
  </w:style>
  <w:style w:type="paragraph" w:styleId="Obsah8">
    <w:name w:val="toc 8"/>
    <w:basedOn w:val="Obsahpoloky"/>
    <w:next w:val="Obsahpoloky"/>
    <w:autoRedefine/>
    <w:uiPriority w:val="39"/>
    <w:semiHidden/>
    <w:unhideWhenUsed/>
    <w:rsid w:val="00FC1A95"/>
    <w:pPr>
      <w:ind w:left="1400"/>
    </w:pPr>
  </w:style>
  <w:style w:type="paragraph" w:styleId="Obsah9">
    <w:name w:val="toc 9"/>
    <w:basedOn w:val="Obsahpoloky"/>
    <w:next w:val="Obsahpoloky"/>
    <w:autoRedefine/>
    <w:uiPriority w:val="39"/>
    <w:semiHidden/>
    <w:unhideWhenUsed/>
    <w:rsid w:val="00924AC8"/>
    <w:pPr>
      <w:ind w:left="1600"/>
    </w:pPr>
  </w:style>
  <w:style w:type="character" w:customStyle="1" w:styleId="Nadpis5Char">
    <w:name w:val="Nadpis 5 Char"/>
    <w:basedOn w:val="Standardnpsmoodstavce"/>
    <w:link w:val="Nadpis5"/>
    <w:uiPriority w:val="9"/>
    <w:semiHidden/>
    <w:rsid w:val="007A516D"/>
    <w:rPr>
      <w:rFonts w:asciiTheme="majorHAnsi" w:eastAsiaTheme="majorEastAsia" w:hAnsiTheme="majorHAnsi" w:cstheme="majorBidi"/>
      <w:color w:val="243F60" w:themeColor="accent1" w:themeShade="7F"/>
      <w:szCs w:val="24"/>
      <w:lang w:eastAsia="cs-CZ"/>
    </w:rPr>
  </w:style>
  <w:style w:type="character" w:customStyle="1" w:styleId="Nadpis6Char">
    <w:name w:val="Nadpis 6 Char"/>
    <w:basedOn w:val="Standardnpsmoodstavce"/>
    <w:link w:val="Nadpis6"/>
    <w:uiPriority w:val="9"/>
    <w:semiHidden/>
    <w:rsid w:val="007A516D"/>
    <w:rPr>
      <w:rFonts w:asciiTheme="majorHAnsi" w:eastAsiaTheme="majorEastAsia" w:hAnsiTheme="majorHAnsi" w:cstheme="majorBidi"/>
      <w:i/>
      <w:iCs/>
      <w:color w:val="243F60" w:themeColor="accent1" w:themeShade="7F"/>
      <w:szCs w:val="24"/>
      <w:lang w:eastAsia="cs-CZ"/>
    </w:rPr>
  </w:style>
  <w:style w:type="character" w:customStyle="1" w:styleId="Nadpis7Char">
    <w:name w:val="Nadpis 7 Char"/>
    <w:basedOn w:val="Standardnpsmoodstavce"/>
    <w:link w:val="Nadpis7"/>
    <w:uiPriority w:val="9"/>
    <w:semiHidden/>
    <w:rsid w:val="007A516D"/>
    <w:rPr>
      <w:rFonts w:asciiTheme="majorHAnsi" w:eastAsiaTheme="majorEastAsia" w:hAnsiTheme="majorHAnsi" w:cstheme="majorBidi"/>
      <w:i/>
      <w:iCs/>
      <w:color w:val="404040" w:themeColor="text1" w:themeTint="BF"/>
      <w:szCs w:val="24"/>
      <w:lang w:eastAsia="cs-CZ"/>
    </w:rPr>
  </w:style>
  <w:style w:type="character" w:customStyle="1" w:styleId="Nadpis8Char">
    <w:name w:val="Nadpis 8 Char"/>
    <w:basedOn w:val="Standardnpsmoodstavce"/>
    <w:link w:val="Nadpis8"/>
    <w:uiPriority w:val="9"/>
    <w:semiHidden/>
    <w:rsid w:val="007A516D"/>
    <w:rPr>
      <w:rFonts w:asciiTheme="majorHAnsi" w:eastAsiaTheme="majorEastAsia" w:hAnsiTheme="majorHAnsi" w:cstheme="majorBidi"/>
      <w:color w:val="404040" w:themeColor="text1" w:themeTint="BF"/>
      <w:lang w:eastAsia="cs-CZ"/>
    </w:rPr>
  </w:style>
  <w:style w:type="paragraph" w:styleId="Textpoznpodarou">
    <w:name w:val="footnote text"/>
    <w:aliases w:val="Text pozn. pod čarou_martin_ang"/>
    <w:basedOn w:val="Normln"/>
    <w:link w:val="TextpoznpodarouChar"/>
    <w:qFormat/>
    <w:rsid w:val="008E7FC9"/>
    <w:pPr>
      <w:spacing w:after="0" w:line="240" w:lineRule="auto"/>
      <w:jc w:val="left"/>
    </w:pPr>
    <w:rPr>
      <w:rFonts w:eastAsia="Calibri"/>
      <w:szCs w:val="20"/>
    </w:rPr>
  </w:style>
  <w:style w:type="character" w:customStyle="1" w:styleId="TextpoznpodarouChar">
    <w:name w:val="Text pozn. pod čarou Char"/>
    <w:aliases w:val="Text pozn. pod čarou_martin_ang Char"/>
    <w:basedOn w:val="Standardnpsmoodstavce"/>
    <w:link w:val="Textpoznpodarou"/>
    <w:qFormat/>
    <w:rsid w:val="008E7FC9"/>
    <w:rPr>
      <w:rFonts w:ascii="Arial" w:hAnsi="Arial"/>
      <w:lang w:eastAsia="cs-CZ"/>
    </w:rPr>
  </w:style>
  <w:style w:type="paragraph" w:styleId="Bezmezer">
    <w:name w:val="No Spacing"/>
    <w:uiPriority w:val="1"/>
    <w:qFormat/>
    <w:rsid w:val="00AD68C4"/>
    <w:pPr>
      <w:jc w:val="both"/>
    </w:pPr>
    <w:rPr>
      <w:rFonts w:ascii="Arial" w:eastAsia="Times New Roman" w:hAnsi="Arial"/>
      <w:szCs w:val="24"/>
      <w:lang w:eastAsia="cs-CZ"/>
    </w:rPr>
  </w:style>
  <w:style w:type="paragraph" w:customStyle="1" w:styleId="Marginlie">
    <w:name w:val="Marginálie"/>
    <w:basedOn w:val="Normln"/>
    <w:qFormat/>
    <w:rsid w:val="0089296D"/>
    <w:pPr>
      <w:spacing w:after="0"/>
      <w:jc w:val="left"/>
    </w:pPr>
    <w:rPr>
      <w:spacing w:val="-2"/>
      <w:sz w:val="16"/>
      <w:szCs w:val="16"/>
    </w:rPr>
  </w:style>
  <w:style w:type="paragraph" w:styleId="Odstavecseseznamem">
    <w:name w:val="List Paragraph"/>
    <w:basedOn w:val="Normln"/>
    <w:uiPriority w:val="34"/>
    <w:rsid w:val="006B0F92"/>
    <w:pPr>
      <w:ind w:left="720"/>
      <w:contextualSpacing/>
    </w:pPr>
  </w:style>
  <w:style w:type="paragraph" w:customStyle="1" w:styleId="Normalodrka">
    <w:name w:val="Normal odrážka"/>
    <w:qFormat/>
    <w:rsid w:val="006B0F92"/>
    <w:pPr>
      <w:numPr>
        <w:numId w:val="20"/>
      </w:numPr>
      <w:spacing w:after="240" w:line="276" w:lineRule="auto"/>
      <w:ind w:left="357" w:hanging="357"/>
      <w:jc w:val="both"/>
    </w:pPr>
    <w:rPr>
      <w:rFonts w:ascii="Arial" w:eastAsia="Times New Roman" w:hAnsi="Arial"/>
      <w:szCs w:val="24"/>
      <w:lang w:eastAsia="cs-CZ"/>
    </w:rPr>
  </w:style>
  <w:style w:type="paragraph" w:customStyle="1" w:styleId="Box1">
    <w:name w:val="Box 1"/>
    <w:next w:val="Normln"/>
    <w:qFormat/>
    <w:rsid w:val="00A17D5B"/>
    <w:pPr>
      <w:shd w:val="clear" w:color="auto" w:fill="EBEBEB"/>
      <w:spacing w:before="240" w:after="240" w:line="276" w:lineRule="auto"/>
      <w:ind w:left="709"/>
      <w:contextualSpacing/>
    </w:pPr>
    <w:rPr>
      <w:rFonts w:ascii="Arial" w:hAnsi="Arial" w:cs="Arial"/>
      <w:lang w:eastAsia="cs-CZ"/>
    </w:rPr>
  </w:style>
  <w:style w:type="paragraph" w:customStyle="1" w:styleId="Box2">
    <w:name w:val="Box 2"/>
    <w:next w:val="Normln"/>
    <w:qFormat/>
    <w:rsid w:val="00A17D5B"/>
    <w:pPr>
      <w:spacing w:before="240" w:after="240" w:line="276" w:lineRule="auto"/>
      <w:ind w:left="709"/>
      <w:contextualSpacing/>
    </w:pPr>
    <w:rPr>
      <w:rFonts w:ascii="Arial" w:hAnsi="Arial" w:cs="Arial"/>
      <w:b/>
      <w:color w:val="71818C"/>
      <w:lang w:eastAsia="cs-CZ"/>
    </w:rPr>
  </w:style>
  <w:style w:type="character" w:styleId="Odkaznakoment">
    <w:name w:val="annotation reference"/>
    <w:basedOn w:val="Standardnpsmoodstavce"/>
    <w:uiPriority w:val="99"/>
    <w:semiHidden/>
    <w:unhideWhenUsed/>
    <w:rsid w:val="00E76E61"/>
    <w:rPr>
      <w:sz w:val="16"/>
      <w:szCs w:val="16"/>
    </w:rPr>
  </w:style>
  <w:style w:type="paragraph" w:styleId="Textkomente">
    <w:name w:val="annotation text"/>
    <w:basedOn w:val="Normln"/>
    <w:link w:val="TextkomenteChar"/>
    <w:uiPriority w:val="99"/>
    <w:semiHidden/>
    <w:unhideWhenUsed/>
    <w:rsid w:val="00E76E61"/>
    <w:pPr>
      <w:spacing w:line="240" w:lineRule="auto"/>
    </w:pPr>
    <w:rPr>
      <w:szCs w:val="20"/>
    </w:rPr>
  </w:style>
  <w:style w:type="character" w:customStyle="1" w:styleId="TextkomenteChar">
    <w:name w:val="Text komentáře Char"/>
    <w:basedOn w:val="Standardnpsmoodstavce"/>
    <w:link w:val="Textkomente"/>
    <w:uiPriority w:val="99"/>
    <w:semiHidden/>
    <w:rsid w:val="00E76E61"/>
    <w:rPr>
      <w:rFonts w:ascii="Arial" w:eastAsia="Times New Roman" w:hAnsi="Arial"/>
      <w:lang w:eastAsia="cs-CZ"/>
    </w:rPr>
  </w:style>
  <w:style w:type="paragraph" w:styleId="Pedmtkomente">
    <w:name w:val="annotation subject"/>
    <w:basedOn w:val="Textkomente"/>
    <w:next w:val="Textkomente"/>
    <w:link w:val="PedmtkomenteChar"/>
    <w:uiPriority w:val="99"/>
    <w:semiHidden/>
    <w:unhideWhenUsed/>
    <w:rsid w:val="00E76E61"/>
    <w:rPr>
      <w:b/>
      <w:bCs/>
    </w:rPr>
  </w:style>
  <w:style w:type="character" w:customStyle="1" w:styleId="PedmtkomenteChar">
    <w:name w:val="Předmět komentáře Char"/>
    <w:basedOn w:val="TextkomenteChar"/>
    <w:link w:val="Pedmtkomente"/>
    <w:uiPriority w:val="99"/>
    <w:semiHidden/>
    <w:rsid w:val="00E76E61"/>
    <w:rPr>
      <w:rFonts w:ascii="Arial" w:eastAsia="Times New Roman" w:hAnsi="Arial"/>
      <w:b/>
      <w:bCs/>
      <w:lang w:eastAsia="cs-CZ"/>
    </w:rPr>
  </w:style>
  <w:style w:type="paragraph" w:customStyle="1" w:styleId="Nadpis11">
    <w:name w:val="Nadpis 11"/>
    <w:basedOn w:val="Normln"/>
    <w:uiPriority w:val="9"/>
    <w:qFormat/>
    <w:rsid w:val="00C62828"/>
    <w:pPr>
      <w:keepNext/>
      <w:keepLines/>
      <w:spacing w:after="100"/>
      <w:contextualSpacing/>
      <w:jc w:val="left"/>
      <w:outlineLvl w:val="0"/>
    </w:pPr>
    <w:rPr>
      <w:rFonts w:eastAsia="MS Gothic"/>
      <w:b/>
      <w:bCs/>
      <w:color w:val="71818C"/>
      <w:sz w:val="32"/>
      <w:szCs w:val="28"/>
    </w:rPr>
  </w:style>
  <w:style w:type="character" w:styleId="Znakapoznpodarou">
    <w:name w:val="footnote reference"/>
    <w:basedOn w:val="Standardnpsmoodstavce"/>
    <w:rsid w:val="00C62828"/>
    <w:rPr>
      <w:rFonts w:cs="Times New Roman"/>
      <w:vertAlign w:val="superscript"/>
    </w:rPr>
  </w:style>
  <w:style w:type="paragraph" w:styleId="Nadpisobsahu">
    <w:name w:val="TOC Heading"/>
    <w:basedOn w:val="Nadpis1"/>
    <w:next w:val="Normln"/>
    <w:uiPriority w:val="39"/>
    <w:semiHidden/>
    <w:unhideWhenUsed/>
    <w:qFormat/>
    <w:rsid w:val="001554C2"/>
    <w:pPr>
      <w:spacing w:before="480" w:after="0"/>
      <w:contextualSpacing w:val="0"/>
      <w:outlineLvl w:val="9"/>
    </w:pPr>
    <w:rPr>
      <w:rFonts w:asciiTheme="majorHAnsi" w:eastAsiaTheme="majorEastAsia" w:hAnsiTheme="majorHAnsi" w:cstheme="majorBidi"/>
      <w:color w:val="365F91" w:themeColor="accent1" w:themeShade="BF"/>
      <w:sz w:val="28"/>
      <w:lang w:eastAsia="en-US"/>
    </w:rPr>
  </w:style>
  <w:style w:type="character" w:styleId="Zdraznn">
    <w:name w:val="Emphasis"/>
    <w:basedOn w:val="Standardnpsmoodstavce"/>
    <w:uiPriority w:val="20"/>
    <w:qFormat/>
    <w:rsid w:val="00965797"/>
    <w:rPr>
      <w:i/>
      <w:iCs/>
    </w:rPr>
  </w:style>
  <w:style w:type="paragraph" w:styleId="Rozloendokumentu">
    <w:name w:val="Document Map"/>
    <w:basedOn w:val="Normln"/>
    <w:link w:val="RozloendokumentuChar"/>
    <w:uiPriority w:val="99"/>
    <w:semiHidden/>
    <w:rsid w:val="00AD5AD2"/>
    <w:pPr>
      <w:spacing w:after="0" w:line="288" w:lineRule="auto"/>
      <w:jc w:val="left"/>
    </w:pPr>
    <w:rPr>
      <w:rFonts w:ascii="Tahoma" w:eastAsia="Calibri" w:hAnsi="Tahoma" w:cs="Tahoma"/>
      <w:sz w:val="16"/>
      <w:szCs w:val="16"/>
    </w:rPr>
  </w:style>
  <w:style w:type="character" w:customStyle="1" w:styleId="RozloendokumentuChar">
    <w:name w:val="Rozložení dokumentu Char"/>
    <w:basedOn w:val="Standardnpsmoodstavce"/>
    <w:link w:val="Rozloendokumentu"/>
    <w:uiPriority w:val="99"/>
    <w:semiHidden/>
    <w:rsid w:val="00AD5AD2"/>
    <w:rPr>
      <w:rFonts w:ascii="Tahoma" w:hAnsi="Tahoma" w:cs="Tahoma"/>
      <w:sz w:val="16"/>
      <w:szCs w:val="16"/>
      <w:lang w:eastAsia="cs-CZ"/>
    </w:rPr>
  </w:style>
  <w:style w:type="paragraph" w:customStyle="1" w:styleId="Nadpis12">
    <w:name w:val="Nadpis 12"/>
    <w:basedOn w:val="Normln"/>
    <w:uiPriority w:val="9"/>
    <w:qFormat/>
    <w:rsid w:val="00E747DC"/>
    <w:pPr>
      <w:keepNext/>
      <w:keepLines/>
      <w:spacing w:after="100"/>
      <w:contextualSpacing/>
      <w:jc w:val="left"/>
      <w:outlineLvl w:val="0"/>
    </w:pPr>
    <w:rPr>
      <w:rFonts w:eastAsia="MS Gothic"/>
      <w:b/>
      <w:bCs/>
      <w:color w:val="71818C"/>
      <w:sz w:val="32"/>
      <w:szCs w:val="28"/>
    </w:rPr>
  </w:style>
  <w:style w:type="paragraph" w:customStyle="1" w:styleId="Textpoznpodarou1">
    <w:name w:val="Text pozn. pod čarou1"/>
    <w:basedOn w:val="Normln"/>
    <w:qFormat/>
    <w:rsid w:val="002F4AD8"/>
    <w:pPr>
      <w:spacing w:after="0" w:line="240" w:lineRule="auto"/>
      <w:jc w:val="left"/>
    </w:pPr>
    <w:rPr>
      <w:rFonts w:eastAsia="Calibri"/>
      <w:szCs w:val="20"/>
    </w:rPr>
  </w:style>
  <w:style w:type="character" w:customStyle="1" w:styleId="spelle">
    <w:name w:val="spelle"/>
    <w:basedOn w:val="Standardnpsmoodstavce"/>
    <w:rsid w:val="00830AEA"/>
  </w:style>
  <w:style w:type="paragraph" w:styleId="Revize">
    <w:name w:val="Revision"/>
    <w:hidden/>
    <w:uiPriority w:val="99"/>
    <w:semiHidden/>
    <w:rsid w:val="005D66E6"/>
    <w:rPr>
      <w:rFonts w:ascii="Arial" w:eastAsia="Times New Roman" w:hAnsi="Arial"/>
      <w:szCs w:val="24"/>
      <w:lang w:eastAsia="cs-CZ"/>
    </w:rPr>
  </w:style>
  <w:style w:type="character" w:customStyle="1" w:styleId="odkaz-style-wrapper">
    <w:name w:val="odkaz-style-wrapper"/>
    <w:basedOn w:val="Standardnpsmoodstavce"/>
    <w:rsid w:val="00524385"/>
  </w:style>
  <w:style w:type="character" w:customStyle="1" w:styleId="tabulka">
    <w:name w:val="tabulka"/>
    <w:basedOn w:val="Standardnpsmoodstavce"/>
    <w:rsid w:val="0074499B"/>
  </w:style>
  <w:style w:type="paragraph" w:customStyle="1" w:styleId="Default">
    <w:name w:val="Default"/>
    <w:rsid w:val="00100A8B"/>
    <w:pPr>
      <w:autoSpaceDE w:val="0"/>
      <w:autoSpaceDN w:val="0"/>
      <w:adjustRightInd w:val="0"/>
    </w:pPr>
    <w:rPr>
      <w:rFonts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264115308">
      <w:bodyDiv w:val="1"/>
      <w:marLeft w:val="0"/>
      <w:marRight w:val="0"/>
      <w:marTop w:val="0"/>
      <w:marBottom w:val="0"/>
      <w:divBdr>
        <w:top w:val="none" w:sz="0" w:space="0" w:color="auto"/>
        <w:left w:val="none" w:sz="0" w:space="0" w:color="auto"/>
        <w:bottom w:val="none" w:sz="0" w:space="0" w:color="auto"/>
        <w:right w:val="none" w:sz="0" w:space="0" w:color="auto"/>
      </w:divBdr>
    </w:div>
    <w:div w:id="331496633">
      <w:bodyDiv w:val="1"/>
      <w:marLeft w:val="40"/>
      <w:marRight w:val="40"/>
      <w:marTop w:val="40"/>
      <w:marBottom w:val="10"/>
      <w:divBdr>
        <w:top w:val="none" w:sz="0" w:space="0" w:color="auto"/>
        <w:left w:val="none" w:sz="0" w:space="0" w:color="auto"/>
        <w:bottom w:val="none" w:sz="0" w:space="0" w:color="auto"/>
        <w:right w:val="none" w:sz="0" w:space="0" w:color="auto"/>
      </w:divBdr>
      <w:divsChild>
        <w:div w:id="497160460">
          <w:marLeft w:val="0"/>
          <w:marRight w:val="0"/>
          <w:marTop w:val="0"/>
          <w:marBottom w:val="0"/>
          <w:divBdr>
            <w:top w:val="none" w:sz="0" w:space="0" w:color="auto"/>
            <w:left w:val="none" w:sz="0" w:space="0" w:color="auto"/>
            <w:bottom w:val="none" w:sz="0" w:space="0" w:color="auto"/>
            <w:right w:val="none" w:sz="0" w:space="0" w:color="auto"/>
          </w:divBdr>
        </w:div>
      </w:divsChild>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533806547">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764961210">
      <w:bodyDiv w:val="1"/>
      <w:marLeft w:val="0"/>
      <w:marRight w:val="0"/>
      <w:marTop w:val="0"/>
      <w:marBottom w:val="0"/>
      <w:divBdr>
        <w:top w:val="none" w:sz="0" w:space="0" w:color="auto"/>
        <w:left w:val="none" w:sz="0" w:space="0" w:color="auto"/>
        <w:bottom w:val="none" w:sz="0" w:space="0" w:color="auto"/>
        <w:right w:val="none" w:sz="0" w:space="0" w:color="auto"/>
      </w:divBdr>
    </w:div>
    <w:div w:id="932319695">
      <w:bodyDiv w:val="1"/>
      <w:marLeft w:val="0"/>
      <w:marRight w:val="0"/>
      <w:marTop w:val="0"/>
      <w:marBottom w:val="0"/>
      <w:divBdr>
        <w:top w:val="none" w:sz="0" w:space="0" w:color="auto"/>
        <w:left w:val="none" w:sz="0" w:space="0" w:color="auto"/>
        <w:bottom w:val="none" w:sz="0" w:space="0" w:color="auto"/>
        <w:right w:val="none" w:sz="0" w:space="0" w:color="auto"/>
      </w:divBdr>
    </w:div>
    <w:div w:id="1208487203">
      <w:bodyDiv w:val="1"/>
      <w:marLeft w:val="0"/>
      <w:marRight w:val="0"/>
      <w:marTop w:val="0"/>
      <w:marBottom w:val="0"/>
      <w:divBdr>
        <w:top w:val="none" w:sz="0" w:space="0" w:color="auto"/>
        <w:left w:val="none" w:sz="0" w:space="0" w:color="auto"/>
        <w:bottom w:val="none" w:sz="0" w:space="0" w:color="auto"/>
        <w:right w:val="none" w:sz="0" w:space="0" w:color="auto"/>
      </w:divBdr>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613050718">
      <w:bodyDiv w:val="1"/>
      <w:marLeft w:val="0"/>
      <w:marRight w:val="0"/>
      <w:marTop w:val="0"/>
      <w:marBottom w:val="0"/>
      <w:divBdr>
        <w:top w:val="none" w:sz="0" w:space="0" w:color="auto"/>
        <w:left w:val="none" w:sz="0" w:space="0" w:color="auto"/>
        <w:bottom w:val="none" w:sz="0" w:space="0" w:color="auto"/>
        <w:right w:val="none" w:sz="0" w:space="0" w:color="auto"/>
      </w:divBdr>
    </w:div>
    <w:div w:id="1840269645">
      <w:bodyDiv w:val="1"/>
      <w:marLeft w:val="0"/>
      <w:marRight w:val="0"/>
      <w:marTop w:val="0"/>
      <w:marBottom w:val="0"/>
      <w:divBdr>
        <w:top w:val="none" w:sz="0" w:space="0" w:color="auto"/>
        <w:left w:val="none" w:sz="0" w:space="0" w:color="auto"/>
        <w:bottom w:val="none" w:sz="0" w:space="0" w:color="auto"/>
        <w:right w:val="none" w:sz="0" w:space="0" w:color="auto"/>
      </w:divBdr>
    </w:div>
    <w:div w:id="1893350832">
      <w:bodyDiv w:val="1"/>
      <w:marLeft w:val="0"/>
      <w:marRight w:val="0"/>
      <w:marTop w:val="0"/>
      <w:marBottom w:val="0"/>
      <w:divBdr>
        <w:top w:val="none" w:sz="0" w:space="0" w:color="auto"/>
        <w:left w:val="none" w:sz="0" w:space="0" w:color="auto"/>
        <w:bottom w:val="none" w:sz="0" w:space="0" w:color="auto"/>
        <w:right w:val="none" w:sz="0" w:space="0" w:color="auto"/>
      </w:divBdr>
    </w:div>
    <w:div w:id="1933080669">
      <w:bodyDiv w:val="1"/>
      <w:marLeft w:val="40"/>
      <w:marRight w:val="40"/>
      <w:marTop w:val="40"/>
      <w:marBottom w:val="10"/>
      <w:divBdr>
        <w:top w:val="none" w:sz="0" w:space="0" w:color="auto"/>
        <w:left w:val="none" w:sz="0" w:space="0" w:color="auto"/>
        <w:bottom w:val="none" w:sz="0" w:space="0" w:color="auto"/>
        <w:right w:val="none" w:sz="0" w:space="0" w:color="auto"/>
      </w:divBdr>
      <w:divsChild>
        <w:div w:id="1067263202">
          <w:marLeft w:val="0"/>
          <w:marRight w:val="0"/>
          <w:marTop w:val="0"/>
          <w:marBottom w:val="0"/>
          <w:divBdr>
            <w:top w:val="none" w:sz="0" w:space="0" w:color="auto"/>
            <w:left w:val="none" w:sz="0" w:space="0" w:color="auto"/>
            <w:bottom w:val="none" w:sz="0" w:space="0" w:color="auto"/>
            <w:right w:val="none" w:sz="0" w:space="0" w:color="auto"/>
          </w:divBdr>
        </w:div>
      </w:divsChild>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chart" Target="charts/chart2.xml"/><Relationship Id="rId4" Type="http://schemas.openxmlformats.org/officeDocument/2006/relationships/styles" Target="styles.xml"/><Relationship Id="rId9" Type="http://schemas.openxmlformats.org/officeDocument/2006/relationships/chart" Target="charts/chart1.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kumenty\Anal&#253;za\Q\2018Q1\Publikace\Q_analyza_Q12018.dotx"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D:\kamenicky3604\Documents\JKAM%20CSU\PUBLIKACE\PUBLIKACE\2021\Qmakro\ENGL-1.poloet&#237;-2021\ENGL-Odv&#283;tv&#237;%20grafy-2q-2021-nov&#253;.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kamenicky3604\Documents\JKAM%20CSU\PUBLIKACE\PUBLIKACE\2021\Qmakro\ENGL-1.poloet&#237;-2021\ENGL-Odv&#283;tv&#237;%20grafy-2q-2021-nov&#253;.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kamenicky3604\Documents\JKAM%20CSU\PUBLIKACE\PUBLIKACE\2021\Qmakro\ENGL-1.poloet&#237;-2021\ENGL-Odv&#283;tv&#237;%20grafy-2q-2021-nov&#253;.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kamenicky3604\Documents\JKAM%20CSU\PUBLIKACE\PUBLIKACE\2021\Qmakro\ENGL-1.poloet&#237;-2021\ENGL-Odv&#283;tv&#237;%20grafy-2q-2021-nov&#25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3688042665536843E-2"/>
          <c:y val="1.6203544707895996E-2"/>
          <c:w val="0.84974974879787502"/>
          <c:h val="0.71911425331511469"/>
        </c:manualLayout>
      </c:layout>
      <c:barChart>
        <c:barDir val="col"/>
        <c:grouping val="stacked"/>
        <c:varyColors val="0"/>
        <c:ser>
          <c:idx val="0"/>
          <c:order val="0"/>
          <c:tx>
            <c:strRef>
              <c:f>'GRAF příspěvky IPP'!$A$27</c:f>
              <c:strCache>
                <c:ptCount val="1"/>
                <c:pt idx="0">
                  <c:v>Manufact. of transport equipment (29, 30)</c:v>
                </c:pt>
              </c:strCache>
            </c:strRef>
          </c:tx>
          <c:spPr>
            <a:solidFill>
              <a:srgbClr val="E8AFB2"/>
            </a:solidFill>
          </c:spPr>
          <c:invertIfNegative val="0"/>
          <c:cat>
            <c:multiLvlStrRef>
              <c:f>'GRAF příspěvky IPP'!$R$25:$AR$26</c:f>
              <c:multiLvlStrCache>
                <c:ptCount val="27"/>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lvl>
                <c:lvl>
                  <c:pt idx="0">
                    <c:v>2015</c:v>
                  </c:pt>
                  <c:pt idx="4">
                    <c:v>2016</c:v>
                  </c:pt>
                  <c:pt idx="8">
                    <c:v>2017</c:v>
                  </c:pt>
                  <c:pt idx="12">
                    <c:v>2018</c:v>
                  </c:pt>
                  <c:pt idx="16">
                    <c:v>2019</c:v>
                  </c:pt>
                  <c:pt idx="20">
                    <c:v>2020</c:v>
                  </c:pt>
                  <c:pt idx="24">
                    <c:v>2021</c:v>
                  </c:pt>
                </c:lvl>
              </c:multiLvlStrCache>
            </c:multiLvlStrRef>
          </c:cat>
          <c:val>
            <c:numRef>
              <c:f>'GRAF příspěvky IPP'!$R$27:$AR$27</c:f>
              <c:numCache>
                <c:formatCode>0.0</c:formatCode>
                <c:ptCount val="27"/>
                <c:pt idx="0">
                  <c:v>1.5428898176392496</c:v>
                </c:pt>
                <c:pt idx="1">
                  <c:v>2.1743718256924107</c:v>
                </c:pt>
                <c:pt idx="2">
                  <c:v>2.3590492908960439</c:v>
                </c:pt>
                <c:pt idx="3">
                  <c:v>2.8772486090638396</c:v>
                </c:pt>
                <c:pt idx="4">
                  <c:v>3.3183568360577667</c:v>
                </c:pt>
                <c:pt idx="5">
                  <c:v>2.726135980015763</c:v>
                </c:pt>
                <c:pt idx="6">
                  <c:v>1.4737639394577176</c:v>
                </c:pt>
                <c:pt idx="7">
                  <c:v>1.0298153192049733</c:v>
                </c:pt>
                <c:pt idx="8">
                  <c:v>1.7609137024842152</c:v>
                </c:pt>
                <c:pt idx="9">
                  <c:v>2.1167862077962001</c:v>
                </c:pt>
                <c:pt idx="10">
                  <c:v>1.5869964664235507</c:v>
                </c:pt>
                <c:pt idx="11">
                  <c:v>1.681411454669806</c:v>
                </c:pt>
                <c:pt idx="12">
                  <c:v>0.74237714955218947</c:v>
                </c:pt>
                <c:pt idx="13">
                  <c:v>0.54613557309892891</c:v>
                </c:pt>
                <c:pt idx="14">
                  <c:v>0.23904640916369443</c:v>
                </c:pt>
                <c:pt idx="15">
                  <c:v>0.98490029941942658</c:v>
                </c:pt>
                <c:pt idx="16">
                  <c:v>-0.22712700654221288</c:v>
                </c:pt>
                <c:pt idx="17">
                  <c:v>0.47876328427856657</c:v>
                </c:pt>
                <c:pt idx="18">
                  <c:v>0.83775598681488828</c:v>
                </c:pt>
                <c:pt idx="19">
                  <c:v>-1.1010749377233835</c:v>
                </c:pt>
                <c:pt idx="20">
                  <c:v>-1.5400994508720254</c:v>
                </c:pt>
                <c:pt idx="21">
                  <c:v>-9.3996605775771389</c:v>
                </c:pt>
                <c:pt idx="22">
                  <c:v>-0.1984331735847174</c:v>
                </c:pt>
                <c:pt idx="23">
                  <c:v>2.0419884732728906</c:v>
                </c:pt>
                <c:pt idx="24">
                  <c:v>1.783245169103493</c:v>
                </c:pt>
                <c:pt idx="25">
                  <c:v>11.457884985980385</c:v>
                </c:pt>
              </c:numCache>
            </c:numRef>
          </c:val>
          <c:extLst>
            <c:ext xmlns:c16="http://schemas.microsoft.com/office/drawing/2014/chart" uri="{C3380CC4-5D6E-409C-BE32-E72D297353CC}">
              <c16:uniqueId val="{00000000-75E4-4E38-9B2F-7CBE18603D3E}"/>
            </c:ext>
          </c:extLst>
        </c:ser>
        <c:ser>
          <c:idx val="1"/>
          <c:order val="1"/>
          <c:tx>
            <c:strRef>
              <c:f>'GRAF příspěvky IPP'!$A$28</c:f>
              <c:strCache>
                <c:ptCount val="1"/>
                <c:pt idx="0">
                  <c:v>Rubber, electro technical ind. (22, 27)</c:v>
                </c:pt>
              </c:strCache>
            </c:strRef>
          </c:tx>
          <c:spPr>
            <a:solidFill>
              <a:srgbClr val="BD1B21"/>
            </a:solidFill>
          </c:spPr>
          <c:invertIfNegative val="0"/>
          <c:cat>
            <c:multiLvlStrRef>
              <c:f>'GRAF příspěvky IPP'!$R$25:$AR$26</c:f>
              <c:multiLvlStrCache>
                <c:ptCount val="27"/>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lvl>
                <c:lvl>
                  <c:pt idx="0">
                    <c:v>2015</c:v>
                  </c:pt>
                  <c:pt idx="4">
                    <c:v>2016</c:v>
                  </c:pt>
                  <c:pt idx="8">
                    <c:v>2017</c:v>
                  </c:pt>
                  <c:pt idx="12">
                    <c:v>2018</c:v>
                  </c:pt>
                  <c:pt idx="16">
                    <c:v>2019</c:v>
                  </c:pt>
                  <c:pt idx="20">
                    <c:v>2020</c:v>
                  </c:pt>
                  <c:pt idx="24">
                    <c:v>2021</c:v>
                  </c:pt>
                </c:lvl>
              </c:multiLvlStrCache>
            </c:multiLvlStrRef>
          </c:cat>
          <c:val>
            <c:numRef>
              <c:f>'GRAF příspěvky IPP'!$R$28:$AR$28</c:f>
              <c:numCache>
                <c:formatCode>0.0</c:formatCode>
                <c:ptCount val="27"/>
                <c:pt idx="0">
                  <c:v>1.034672951175343</c:v>
                </c:pt>
                <c:pt idx="1">
                  <c:v>1.2402872249055439</c:v>
                </c:pt>
                <c:pt idx="2">
                  <c:v>1.3942884794721908</c:v>
                </c:pt>
                <c:pt idx="3">
                  <c:v>0.63756976588884984</c:v>
                </c:pt>
                <c:pt idx="4">
                  <c:v>0.7944903405734538</c:v>
                </c:pt>
                <c:pt idx="5">
                  <c:v>0.20047553290148593</c:v>
                </c:pt>
                <c:pt idx="6">
                  <c:v>0.26203247933087592</c:v>
                </c:pt>
                <c:pt idx="7">
                  <c:v>0.42925022381945577</c:v>
                </c:pt>
                <c:pt idx="8">
                  <c:v>0.85509469319178899</c:v>
                </c:pt>
                <c:pt idx="9">
                  <c:v>1.4003096522077234</c:v>
                </c:pt>
                <c:pt idx="10">
                  <c:v>0.85542183955477147</c:v>
                </c:pt>
                <c:pt idx="11">
                  <c:v>1.6527257176884005</c:v>
                </c:pt>
                <c:pt idx="12">
                  <c:v>0.96912614591005941</c:v>
                </c:pt>
                <c:pt idx="13">
                  <c:v>0.34015391143850388</c:v>
                </c:pt>
                <c:pt idx="14">
                  <c:v>0.42914077951440655</c:v>
                </c:pt>
                <c:pt idx="15">
                  <c:v>-4.0280326098931243E-2</c:v>
                </c:pt>
                <c:pt idx="16">
                  <c:v>0.52468036745672719</c:v>
                </c:pt>
                <c:pt idx="17">
                  <c:v>0.40727721709233999</c:v>
                </c:pt>
                <c:pt idx="18">
                  <c:v>0.23777798772963615</c:v>
                </c:pt>
                <c:pt idx="19">
                  <c:v>0.39315489791744185</c:v>
                </c:pt>
                <c:pt idx="20">
                  <c:v>-0.5336834932447807</c:v>
                </c:pt>
                <c:pt idx="21">
                  <c:v>-4.0591767538544659</c:v>
                </c:pt>
                <c:pt idx="22">
                  <c:v>-0.43318739953820484</c:v>
                </c:pt>
                <c:pt idx="23">
                  <c:v>0.56877492176088063</c:v>
                </c:pt>
                <c:pt idx="24">
                  <c:v>0.90068361305567801</c:v>
                </c:pt>
                <c:pt idx="25">
                  <c:v>5.5137038592871939</c:v>
                </c:pt>
              </c:numCache>
            </c:numRef>
          </c:val>
          <c:extLst>
            <c:ext xmlns:c16="http://schemas.microsoft.com/office/drawing/2014/chart" uri="{C3380CC4-5D6E-409C-BE32-E72D297353CC}">
              <c16:uniqueId val="{00000001-75E4-4E38-9B2F-7CBE18603D3E}"/>
            </c:ext>
          </c:extLst>
        </c:ser>
        <c:ser>
          <c:idx val="2"/>
          <c:order val="2"/>
          <c:tx>
            <c:strRef>
              <c:f>'GRAF příspěvky IPP'!$A$29</c:f>
              <c:strCache>
                <c:ptCount val="1"/>
                <c:pt idx="0">
                  <c:v>Machinery (28)</c:v>
                </c:pt>
              </c:strCache>
            </c:strRef>
          </c:tx>
          <c:spPr>
            <a:solidFill>
              <a:srgbClr val="BFE3F7"/>
            </a:solidFill>
          </c:spPr>
          <c:invertIfNegative val="0"/>
          <c:cat>
            <c:multiLvlStrRef>
              <c:f>'GRAF příspěvky IPP'!$R$25:$AR$26</c:f>
              <c:multiLvlStrCache>
                <c:ptCount val="27"/>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lvl>
                <c:lvl>
                  <c:pt idx="0">
                    <c:v>2015</c:v>
                  </c:pt>
                  <c:pt idx="4">
                    <c:v>2016</c:v>
                  </c:pt>
                  <c:pt idx="8">
                    <c:v>2017</c:v>
                  </c:pt>
                  <c:pt idx="12">
                    <c:v>2018</c:v>
                  </c:pt>
                  <c:pt idx="16">
                    <c:v>2019</c:v>
                  </c:pt>
                  <c:pt idx="20">
                    <c:v>2020</c:v>
                  </c:pt>
                  <c:pt idx="24">
                    <c:v>2021</c:v>
                  </c:pt>
                </c:lvl>
              </c:multiLvlStrCache>
            </c:multiLvlStrRef>
          </c:cat>
          <c:val>
            <c:numRef>
              <c:f>'GRAF příspěvky IPP'!$R$29:$AR$29</c:f>
              <c:numCache>
                <c:formatCode>0.0</c:formatCode>
                <c:ptCount val="27"/>
                <c:pt idx="0">
                  <c:v>0.27254464463314693</c:v>
                </c:pt>
                <c:pt idx="1">
                  <c:v>0.29396963786095853</c:v>
                </c:pt>
                <c:pt idx="2">
                  <c:v>0.39152523509606818</c:v>
                </c:pt>
                <c:pt idx="3">
                  <c:v>1.6200417736821196E-2</c:v>
                </c:pt>
                <c:pt idx="4">
                  <c:v>0.36694942006841863</c:v>
                </c:pt>
                <c:pt idx="5">
                  <c:v>-7.7911792574484814E-2</c:v>
                </c:pt>
                <c:pt idx="6">
                  <c:v>0.1987099016441323</c:v>
                </c:pt>
                <c:pt idx="7">
                  <c:v>0.31990708238357735</c:v>
                </c:pt>
                <c:pt idx="8">
                  <c:v>0.34959411680822744</c:v>
                </c:pt>
                <c:pt idx="9">
                  <c:v>1.0827590636445108</c:v>
                </c:pt>
                <c:pt idx="10">
                  <c:v>0.85295353330611445</c:v>
                </c:pt>
                <c:pt idx="11">
                  <c:v>0.80087396958540291</c:v>
                </c:pt>
                <c:pt idx="12">
                  <c:v>0.479471307913379</c:v>
                </c:pt>
                <c:pt idx="13">
                  <c:v>0.1423157226032094</c:v>
                </c:pt>
                <c:pt idx="14">
                  <c:v>0.18574582107238052</c:v>
                </c:pt>
                <c:pt idx="15">
                  <c:v>-0.19599700087649827</c:v>
                </c:pt>
                <c:pt idx="16">
                  <c:v>0.14262071470057108</c:v>
                </c:pt>
                <c:pt idx="17">
                  <c:v>-1.7720632744717035E-2</c:v>
                </c:pt>
                <c:pt idx="18">
                  <c:v>-0.26820737830766378</c:v>
                </c:pt>
                <c:pt idx="19">
                  <c:v>-0.13470183553131065</c:v>
                </c:pt>
                <c:pt idx="20">
                  <c:v>-0.70067449755996181</c:v>
                </c:pt>
                <c:pt idx="21">
                  <c:v>-2.1429229667168639</c:v>
                </c:pt>
                <c:pt idx="22">
                  <c:v>-0.79850670146483804</c:v>
                </c:pt>
                <c:pt idx="23">
                  <c:v>-0.53309088102789204</c:v>
                </c:pt>
                <c:pt idx="24">
                  <c:v>6.0882399541106913E-2</c:v>
                </c:pt>
                <c:pt idx="25">
                  <c:v>2.1284857067707743</c:v>
                </c:pt>
              </c:numCache>
            </c:numRef>
          </c:val>
          <c:extLst>
            <c:ext xmlns:c16="http://schemas.microsoft.com/office/drawing/2014/chart" uri="{C3380CC4-5D6E-409C-BE32-E72D297353CC}">
              <c16:uniqueId val="{00000002-75E4-4E38-9B2F-7CBE18603D3E}"/>
            </c:ext>
          </c:extLst>
        </c:ser>
        <c:ser>
          <c:idx val="3"/>
          <c:order val="3"/>
          <c:tx>
            <c:strRef>
              <c:f>'GRAF příspěvky IPP'!$A$30</c:f>
              <c:strCache>
                <c:ptCount val="1"/>
                <c:pt idx="0">
                  <c:v>Fabricated metal product industry (25)</c:v>
                </c:pt>
              </c:strCache>
            </c:strRef>
          </c:tx>
          <c:spPr>
            <a:solidFill>
              <a:srgbClr val="48AEE7"/>
            </a:solidFill>
          </c:spPr>
          <c:invertIfNegative val="0"/>
          <c:cat>
            <c:multiLvlStrRef>
              <c:f>'GRAF příspěvky IPP'!$R$25:$AR$26</c:f>
              <c:multiLvlStrCache>
                <c:ptCount val="27"/>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lvl>
                <c:lvl>
                  <c:pt idx="0">
                    <c:v>2015</c:v>
                  </c:pt>
                  <c:pt idx="4">
                    <c:v>2016</c:v>
                  </c:pt>
                  <c:pt idx="8">
                    <c:v>2017</c:v>
                  </c:pt>
                  <c:pt idx="12">
                    <c:v>2018</c:v>
                  </c:pt>
                  <c:pt idx="16">
                    <c:v>2019</c:v>
                  </c:pt>
                  <c:pt idx="20">
                    <c:v>2020</c:v>
                  </c:pt>
                  <c:pt idx="24">
                    <c:v>2021</c:v>
                  </c:pt>
                </c:lvl>
              </c:multiLvlStrCache>
            </c:multiLvlStrRef>
          </c:cat>
          <c:val>
            <c:numRef>
              <c:f>'GRAF příspěvky IPP'!$R$30:$AR$30</c:f>
              <c:numCache>
                <c:formatCode>0.0</c:formatCode>
                <c:ptCount val="27"/>
                <c:pt idx="0">
                  <c:v>0.69598466412593474</c:v>
                </c:pt>
                <c:pt idx="1">
                  <c:v>0.78523209830157625</c:v>
                </c:pt>
                <c:pt idx="2">
                  <c:v>0.97812808698582676</c:v>
                </c:pt>
                <c:pt idx="3">
                  <c:v>0.60585855548016065</c:v>
                </c:pt>
                <c:pt idx="4">
                  <c:v>0.7974142567928203</c:v>
                </c:pt>
                <c:pt idx="5">
                  <c:v>0.39435941300086852</c:v>
                </c:pt>
                <c:pt idx="6">
                  <c:v>0.22320292471013239</c:v>
                </c:pt>
                <c:pt idx="7">
                  <c:v>0.25093421694411544</c:v>
                </c:pt>
                <c:pt idx="8">
                  <c:v>0.420593323359785</c:v>
                </c:pt>
                <c:pt idx="9">
                  <c:v>0.91449350181259326</c:v>
                </c:pt>
                <c:pt idx="10">
                  <c:v>0.85069745323039048</c:v>
                </c:pt>
                <c:pt idx="11">
                  <c:v>0.96475784711286927</c:v>
                </c:pt>
                <c:pt idx="12">
                  <c:v>0.6496282287639249</c:v>
                </c:pt>
                <c:pt idx="13">
                  <c:v>0.47190400503104318</c:v>
                </c:pt>
                <c:pt idx="14">
                  <c:v>0.40332248383604502</c:v>
                </c:pt>
                <c:pt idx="15">
                  <c:v>0.15276873851363962</c:v>
                </c:pt>
                <c:pt idx="16">
                  <c:v>0.25794025853962294</c:v>
                </c:pt>
                <c:pt idx="17">
                  <c:v>8.1804977725853222E-3</c:v>
                </c:pt>
                <c:pt idx="18">
                  <c:v>-0.23678308583363922</c:v>
                </c:pt>
                <c:pt idx="19">
                  <c:v>-0.3569761365718796</c:v>
                </c:pt>
                <c:pt idx="20">
                  <c:v>-0.60279608093648751</c:v>
                </c:pt>
                <c:pt idx="21">
                  <c:v>-2.0867839126509864</c:v>
                </c:pt>
                <c:pt idx="22">
                  <c:v>-0.54628616828783072</c:v>
                </c:pt>
                <c:pt idx="23">
                  <c:v>0.14233966871529949</c:v>
                </c:pt>
                <c:pt idx="24">
                  <c:v>0.5024976254118193</c:v>
                </c:pt>
                <c:pt idx="25">
                  <c:v>3.0678936722203458</c:v>
                </c:pt>
              </c:numCache>
            </c:numRef>
          </c:val>
          <c:extLst>
            <c:ext xmlns:c16="http://schemas.microsoft.com/office/drawing/2014/chart" uri="{C3380CC4-5D6E-409C-BE32-E72D297353CC}">
              <c16:uniqueId val="{00000003-75E4-4E38-9B2F-7CBE18603D3E}"/>
            </c:ext>
          </c:extLst>
        </c:ser>
        <c:ser>
          <c:idx val="4"/>
          <c:order val="4"/>
          <c:tx>
            <c:strRef>
              <c:f>'GRAF příspěvky IPP'!$A$31</c:f>
              <c:strCache>
                <c:ptCount val="1"/>
                <c:pt idx="0">
                  <c:v>Manufact. of PC, electron.,optic. prod. (26)</c:v>
                </c:pt>
              </c:strCache>
            </c:strRef>
          </c:tx>
          <c:spPr>
            <a:solidFill>
              <a:srgbClr val="FDDEB3"/>
            </a:solidFill>
          </c:spPr>
          <c:invertIfNegative val="0"/>
          <c:cat>
            <c:multiLvlStrRef>
              <c:f>'GRAF příspěvky IPP'!$R$25:$AR$26</c:f>
              <c:multiLvlStrCache>
                <c:ptCount val="27"/>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lvl>
                <c:lvl>
                  <c:pt idx="0">
                    <c:v>2015</c:v>
                  </c:pt>
                  <c:pt idx="4">
                    <c:v>2016</c:v>
                  </c:pt>
                  <c:pt idx="8">
                    <c:v>2017</c:v>
                  </c:pt>
                  <c:pt idx="12">
                    <c:v>2018</c:v>
                  </c:pt>
                  <c:pt idx="16">
                    <c:v>2019</c:v>
                  </c:pt>
                  <c:pt idx="20">
                    <c:v>2020</c:v>
                  </c:pt>
                  <c:pt idx="24">
                    <c:v>2021</c:v>
                  </c:pt>
                </c:lvl>
              </c:multiLvlStrCache>
            </c:multiLvlStrRef>
          </c:cat>
          <c:val>
            <c:numRef>
              <c:f>'GRAF příspěvky IPP'!$R$31:$AR$31</c:f>
              <c:numCache>
                <c:formatCode>0.0</c:formatCode>
                <c:ptCount val="27"/>
                <c:pt idx="0">
                  <c:v>0.10174478910853679</c:v>
                </c:pt>
                <c:pt idx="1">
                  <c:v>1.5828953523061507E-2</c:v>
                </c:pt>
                <c:pt idx="2">
                  <c:v>4.099582748163963E-2</c:v>
                </c:pt>
                <c:pt idx="3">
                  <c:v>-7.2764071813088554E-2</c:v>
                </c:pt>
                <c:pt idx="4">
                  <c:v>-5.3199772200864092E-3</c:v>
                </c:pt>
                <c:pt idx="5">
                  <c:v>6.0334021815885465E-2</c:v>
                </c:pt>
                <c:pt idx="6">
                  <c:v>5.0638983184188399E-2</c:v>
                </c:pt>
                <c:pt idx="7">
                  <c:v>0.16208161104378524</c:v>
                </c:pt>
                <c:pt idx="8">
                  <c:v>0.14164406764460333</c:v>
                </c:pt>
                <c:pt idx="9">
                  <c:v>0.36084600241723092</c:v>
                </c:pt>
                <c:pt idx="10">
                  <c:v>0.23025191154693395</c:v>
                </c:pt>
                <c:pt idx="11">
                  <c:v>0.23490510719047802</c:v>
                </c:pt>
                <c:pt idx="12">
                  <c:v>0.39487785017355559</c:v>
                </c:pt>
                <c:pt idx="13">
                  <c:v>0.15525543720367532</c:v>
                </c:pt>
                <c:pt idx="14">
                  <c:v>0.63668466142391178</c:v>
                </c:pt>
                <c:pt idx="15">
                  <c:v>0.31239835694712781</c:v>
                </c:pt>
                <c:pt idx="16">
                  <c:v>-0.11382932295885198</c:v>
                </c:pt>
                <c:pt idx="17">
                  <c:v>-4.341493446561568E-2</c:v>
                </c:pt>
                <c:pt idx="18">
                  <c:v>-0.61087240850785662</c:v>
                </c:pt>
                <c:pt idx="19">
                  <c:v>-0.34647971068415334</c:v>
                </c:pt>
                <c:pt idx="20">
                  <c:v>-9.3262273282259972E-2</c:v>
                </c:pt>
                <c:pt idx="21">
                  <c:v>-0.27991365476515007</c:v>
                </c:pt>
                <c:pt idx="22">
                  <c:v>3.7480674787972556E-3</c:v>
                </c:pt>
                <c:pt idx="23">
                  <c:v>-5.8376761155660142E-3</c:v>
                </c:pt>
                <c:pt idx="24">
                  <c:v>9.3943210027643706E-2</c:v>
                </c:pt>
                <c:pt idx="25">
                  <c:v>0.15306612055432237</c:v>
                </c:pt>
              </c:numCache>
            </c:numRef>
          </c:val>
          <c:extLst>
            <c:ext xmlns:c16="http://schemas.microsoft.com/office/drawing/2014/chart" uri="{C3380CC4-5D6E-409C-BE32-E72D297353CC}">
              <c16:uniqueId val="{00000004-75E4-4E38-9B2F-7CBE18603D3E}"/>
            </c:ext>
          </c:extLst>
        </c:ser>
        <c:ser>
          <c:idx val="5"/>
          <c:order val="5"/>
          <c:tx>
            <c:strRef>
              <c:f>'GRAF příspěvky IPP'!$A$32</c:f>
              <c:strCache>
                <c:ptCount val="1"/>
                <c:pt idx="0">
                  <c:v>Chemical and pharmaceutical ind. (20, 21)</c:v>
                </c:pt>
              </c:strCache>
            </c:strRef>
          </c:tx>
          <c:spPr>
            <a:solidFill>
              <a:srgbClr val="F8A124"/>
            </a:solidFill>
          </c:spPr>
          <c:invertIfNegative val="0"/>
          <c:cat>
            <c:multiLvlStrRef>
              <c:f>'GRAF příspěvky IPP'!$R$25:$AR$26</c:f>
              <c:multiLvlStrCache>
                <c:ptCount val="27"/>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lvl>
                <c:lvl>
                  <c:pt idx="0">
                    <c:v>2015</c:v>
                  </c:pt>
                  <c:pt idx="4">
                    <c:v>2016</c:v>
                  </c:pt>
                  <c:pt idx="8">
                    <c:v>2017</c:v>
                  </c:pt>
                  <c:pt idx="12">
                    <c:v>2018</c:v>
                  </c:pt>
                  <c:pt idx="16">
                    <c:v>2019</c:v>
                  </c:pt>
                  <c:pt idx="20">
                    <c:v>2020</c:v>
                  </c:pt>
                  <c:pt idx="24">
                    <c:v>2021</c:v>
                  </c:pt>
                </c:lvl>
              </c:multiLvlStrCache>
            </c:multiLvlStrRef>
          </c:cat>
          <c:val>
            <c:numRef>
              <c:f>'GRAF příspěvky IPP'!$R$32:$AR$32</c:f>
              <c:numCache>
                <c:formatCode>0.0</c:formatCode>
                <c:ptCount val="27"/>
                <c:pt idx="0">
                  <c:v>7.7143378794105238E-2</c:v>
                </c:pt>
                <c:pt idx="1">
                  <c:v>0.23593739633638305</c:v>
                </c:pt>
                <c:pt idx="2">
                  <c:v>-0.1618035309720528</c:v>
                </c:pt>
                <c:pt idx="3">
                  <c:v>-0.33496224531375707</c:v>
                </c:pt>
                <c:pt idx="4">
                  <c:v>-0.41674583594172754</c:v>
                </c:pt>
                <c:pt idx="5">
                  <c:v>-0.4282443957917389</c:v>
                </c:pt>
                <c:pt idx="6">
                  <c:v>-0.10705569687500868</c:v>
                </c:pt>
                <c:pt idx="7">
                  <c:v>0.23734613396913962</c:v>
                </c:pt>
                <c:pt idx="8">
                  <c:v>0.52004631375398047</c:v>
                </c:pt>
                <c:pt idx="9">
                  <c:v>0.82674096187567125</c:v>
                </c:pt>
                <c:pt idx="10">
                  <c:v>0.6516009273870198</c:v>
                </c:pt>
                <c:pt idx="11">
                  <c:v>0.50475413241681488</c:v>
                </c:pt>
                <c:pt idx="12">
                  <c:v>0.40512406777705501</c:v>
                </c:pt>
                <c:pt idx="13">
                  <c:v>7.9522592595157926E-2</c:v>
                </c:pt>
                <c:pt idx="14">
                  <c:v>-5.31759637412869E-2</c:v>
                </c:pt>
                <c:pt idx="15">
                  <c:v>-6.9085533222069381E-2</c:v>
                </c:pt>
                <c:pt idx="16">
                  <c:v>0.10389114606048008</c:v>
                </c:pt>
                <c:pt idx="17">
                  <c:v>4.8518655211085254E-2</c:v>
                </c:pt>
                <c:pt idx="18">
                  <c:v>0.22788597854650419</c:v>
                </c:pt>
                <c:pt idx="19">
                  <c:v>3.146341110732534E-2</c:v>
                </c:pt>
                <c:pt idx="20">
                  <c:v>-3.2343833499911212E-2</c:v>
                </c:pt>
                <c:pt idx="21">
                  <c:v>-0.54875551656759858</c:v>
                </c:pt>
                <c:pt idx="22">
                  <c:v>-0.21314624785035269</c:v>
                </c:pt>
                <c:pt idx="23">
                  <c:v>0.43258748242153289</c:v>
                </c:pt>
                <c:pt idx="24">
                  <c:v>0.26430043366619738</c:v>
                </c:pt>
                <c:pt idx="25">
                  <c:v>0.80015964881321644</c:v>
                </c:pt>
              </c:numCache>
            </c:numRef>
          </c:val>
          <c:extLst>
            <c:ext xmlns:c16="http://schemas.microsoft.com/office/drawing/2014/chart" uri="{C3380CC4-5D6E-409C-BE32-E72D297353CC}">
              <c16:uniqueId val="{00000005-75E4-4E38-9B2F-7CBE18603D3E}"/>
            </c:ext>
          </c:extLst>
        </c:ser>
        <c:ser>
          <c:idx val="6"/>
          <c:order val="6"/>
          <c:tx>
            <c:strRef>
              <c:f>'GRAF příspěvky IPP'!$A$33</c:f>
              <c:strCache>
                <c:ptCount val="1"/>
                <c:pt idx="0">
                  <c:v>Remaining manufacturing industries</c:v>
                </c:pt>
              </c:strCache>
            </c:strRef>
          </c:tx>
          <c:spPr>
            <a:solidFill>
              <a:schemeClr val="bg1">
                <a:lumMod val="85000"/>
              </a:schemeClr>
            </a:solidFill>
          </c:spPr>
          <c:invertIfNegative val="0"/>
          <c:cat>
            <c:multiLvlStrRef>
              <c:f>'GRAF příspěvky IPP'!$R$25:$AR$26</c:f>
              <c:multiLvlStrCache>
                <c:ptCount val="27"/>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lvl>
                <c:lvl>
                  <c:pt idx="0">
                    <c:v>2015</c:v>
                  </c:pt>
                  <c:pt idx="4">
                    <c:v>2016</c:v>
                  </c:pt>
                  <c:pt idx="8">
                    <c:v>2017</c:v>
                  </c:pt>
                  <c:pt idx="12">
                    <c:v>2018</c:v>
                  </c:pt>
                  <c:pt idx="16">
                    <c:v>2019</c:v>
                  </c:pt>
                  <c:pt idx="20">
                    <c:v>2020</c:v>
                  </c:pt>
                  <c:pt idx="24">
                    <c:v>2021</c:v>
                  </c:pt>
                </c:lvl>
              </c:multiLvlStrCache>
            </c:multiLvlStrRef>
          </c:cat>
          <c:val>
            <c:numRef>
              <c:f>'GRAF příspěvky IPP'!$R$33:$AR$33</c:f>
              <c:numCache>
                <c:formatCode>0.0</c:formatCode>
                <c:ptCount val="27"/>
                <c:pt idx="0">
                  <c:v>0.99790191745106882</c:v>
                </c:pt>
                <c:pt idx="1">
                  <c:v>0.89869551924785085</c:v>
                </c:pt>
                <c:pt idx="2">
                  <c:v>1.0140985408551135</c:v>
                </c:pt>
                <c:pt idx="3">
                  <c:v>-0.23144536420896189</c:v>
                </c:pt>
                <c:pt idx="4">
                  <c:v>0.26284587339298521</c:v>
                </c:pt>
                <c:pt idx="5">
                  <c:v>-0.36379862472242158</c:v>
                </c:pt>
                <c:pt idx="6">
                  <c:v>6.0778320295188704E-2</c:v>
                </c:pt>
                <c:pt idx="7">
                  <c:v>0.57462664260793739</c:v>
                </c:pt>
                <c:pt idx="8">
                  <c:v>7.0021742223497829E-2</c:v>
                </c:pt>
                <c:pt idx="9">
                  <c:v>1.4968765381346332</c:v>
                </c:pt>
                <c:pt idx="10">
                  <c:v>0.75563441850938817</c:v>
                </c:pt>
                <c:pt idx="11">
                  <c:v>0.97414760712501969</c:v>
                </c:pt>
                <c:pt idx="12">
                  <c:v>1.1572391799219797</c:v>
                </c:pt>
                <c:pt idx="13">
                  <c:v>0.6725057701913375</c:v>
                </c:pt>
                <c:pt idx="14">
                  <c:v>1.1043020585420495</c:v>
                </c:pt>
                <c:pt idx="15">
                  <c:v>0.49003903449396968</c:v>
                </c:pt>
                <c:pt idx="16">
                  <c:v>-4.5073361183030347E-2</c:v>
                </c:pt>
                <c:pt idx="17">
                  <c:v>4.2642071767505327E-2</c:v>
                </c:pt>
                <c:pt idx="18">
                  <c:v>-0.66202289851528051</c:v>
                </c:pt>
                <c:pt idx="19">
                  <c:v>-0.22564017800563624</c:v>
                </c:pt>
                <c:pt idx="20">
                  <c:v>7.6841219891765677E-2</c:v>
                </c:pt>
                <c:pt idx="21">
                  <c:v>-2.8313423651484886</c:v>
                </c:pt>
                <c:pt idx="22">
                  <c:v>8.2797121426130077E-2</c:v>
                </c:pt>
                <c:pt idx="23">
                  <c:v>9.7557088121208529E-2</c:v>
                </c:pt>
                <c:pt idx="24">
                  <c:v>-0.15110672459180577</c:v>
                </c:pt>
                <c:pt idx="25">
                  <c:v>4.133502245600396</c:v>
                </c:pt>
              </c:numCache>
            </c:numRef>
          </c:val>
          <c:extLst>
            <c:ext xmlns:c16="http://schemas.microsoft.com/office/drawing/2014/chart" uri="{C3380CC4-5D6E-409C-BE32-E72D297353CC}">
              <c16:uniqueId val="{00000006-75E4-4E38-9B2F-7CBE18603D3E}"/>
            </c:ext>
          </c:extLst>
        </c:ser>
        <c:ser>
          <c:idx val="7"/>
          <c:order val="7"/>
          <c:tx>
            <c:strRef>
              <c:f>'GRAF příspěvky IPP'!$A$34</c:f>
              <c:strCache>
                <c:ptCount val="1"/>
                <c:pt idx="0">
                  <c:v>Mining and energetics (B, D)</c:v>
                </c:pt>
              </c:strCache>
            </c:strRef>
          </c:tx>
          <c:spPr>
            <a:solidFill>
              <a:srgbClr val="808080"/>
            </a:solidFill>
          </c:spPr>
          <c:invertIfNegative val="0"/>
          <c:cat>
            <c:multiLvlStrRef>
              <c:f>'GRAF příspěvky IPP'!$R$25:$AR$26</c:f>
              <c:multiLvlStrCache>
                <c:ptCount val="27"/>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lvl>
                <c:lvl>
                  <c:pt idx="0">
                    <c:v>2015</c:v>
                  </c:pt>
                  <c:pt idx="4">
                    <c:v>2016</c:v>
                  </c:pt>
                  <c:pt idx="8">
                    <c:v>2017</c:v>
                  </c:pt>
                  <c:pt idx="12">
                    <c:v>2018</c:v>
                  </c:pt>
                  <c:pt idx="16">
                    <c:v>2019</c:v>
                  </c:pt>
                  <c:pt idx="20">
                    <c:v>2020</c:v>
                  </c:pt>
                  <c:pt idx="24">
                    <c:v>2021</c:v>
                  </c:pt>
                </c:lvl>
              </c:multiLvlStrCache>
            </c:multiLvlStrRef>
          </c:cat>
          <c:val>
            <c:numRef>
              <c:f>'GRAF příspěvky IPP'!$R$34:$AR$34</c:f>
              <c:numCache>
                <c:formatCode>0.0</c:formatCode>
                <c:ptCount val="27"/>
                <c:pt idx="0">
                  <c:v>0.14536369337262112</c:v>
                </c:pt>
                <c:pt idx="1">
                  <c:v>-0.33984851886778389</c:v>
                </c:pt>
                <c:pt idx="2">
                  <c:v>-0.39719330301482159</c:v>
                </c:pt>
                <c:pt idx="3">
                  <c:v>-1.1146161627338653</c:v>
                </c:pt>
                <c:pt idx="4">
                  <c:v>-0.64581780602362893</c:v>
                </c:pt>
                <c:pt idx="5">
                  <c:v>9.8757674154636987E-2</c:v>
                </c:pt>
                <c:pt idx="6">
                  <c:v>-0.47678822664722548</c:v>
                </c:pt>
                <c:pt idx="7">
                  <c:v>0.5038061309270212</c:v>
                </c:pt>
                <c:pt idx="8">
                  <c:v>0.66217224583389844</c:v>
                </c:pt>
                <c:pt idx="9">
                  <c:v>-0.18248944438855802</c:v>
                </c:pt>
                <c:pt idx="10">
                  <c:v>0.77178193644183435</c:v>
                </c:pt>
                <c:pt idx="11">
                  <c:v>0.73275070181120505</c:v>
                </c:pt>
                <c:pt idx="12">
                  <c:v>-0.53887865891214681</c:v>
                </c:pt>
                <c:pt idx="13">
                  <c:v>4.2205690381435096E-3</c:v>
                </c:pt>
                <c:pt idx="14">
                  <c:v>0.78780707738879552</c:v>
                </c:pt>
                <c:pt idx="15">
                  <c:v>0.33124326032333173</c:v>
                </c:pt>
                <c:pt idx="16">
                  <c:v>0.21326016962669453</c:v>
                </c:pt>
                <c:pt idx="17">
                  <c:v>4.593311018825097E-2</c:v>
                </c:pt>
                <c:pt idx="18">
                  <c:v>-0.66562135602659178</c:v>
                </c:pt>
                <c:pt idx="19">
                  <c:v>-0.33090067760840614</c:v>
                </c:pt>
                <c:pt idx="20">
                  <c:v>-0.97349114199634235</c:v>
                </c:pt>
                <c:pt idx="21">
                  <c:v>-1.5874404115193026</c:v>
                </c:pt>
                <c:pt idx="22">
                  <c:v>-0.71569504087898972</c:v>
                </c:pt>
                <c:pt idx="23">
                  <c:v>-0.6949618157483497</c:v>
                </c:pt>
                <c:pt idx="24">
                  <c:v>0.45638788328587099</c:v>
                </c:pt>
                <c:pt idx="25">
                  <c:v>0.4715212296733623</c:v>
                </c:pt>
              </c:numCache>
            </c:numRef>
          </c:val>
          <c:extLst>
            <c:ext xmlns:c16="http://schemas.microsoft.com/office/drawing/2014/chart" uri="{C3380CC4-5D6E-409C-BE32-E72D297353CC}">
              <c16:uniqueId val="{00000007-75E4-4E38-9B2F-7CBE18603D3E}"/>
            </c:ext>
          </c:extLst>
        </c:ser>
        <c:dLbls>
          <c:showLegendKey val="0"/>
          <c:showVal val="0"/>
          <c:showCatName val="0"/>
          <c:showSerName val="0"/>
          <c:showPercent val="0"/>
          <c:showBubbleSize val="0"/>
        </c:dLbls>
        <c:gapWidth val="15"/>
        <c:overlap val="100"/>
        <c:axId val="112768128"/>
        <c:axId val="112769664"/>
      </c:barChart>
      <c:lineChart>
        <c:grouping val="standard"/>
        <c:varyColors val="0"/>
        <c:ser>
          <c:idx val="8"/>
          <c:order val="8"/>
          <c:tx>
            <c:strRef>
              <c:f>'GRAF příspěvky IPP'!$A$35</c:f>
              <c:strCache>
                <c:ptCount val="1"/>
                <c:pt idx="0">
                  <c:v>Total industry (NACE B, C, D)</c:v>
                </c:pt>
              </c:strCache>
            </c:strRef>
          </c:tx>
          <c:spPr>
            <a:ln w="19050">
              <a:noFill/>
            </a:ln>
          </c:spPr>
          <c:marker>
            <c:symbol val="circle"/>
            <c:size val="4"/>
            <c:spPr>
              <a:solidFill>
                <a:schemeClr val="bg1"/>
              </a:solidFill>
              <a:ln>
                <a:solidFill>
                  <a:schemeClr val="tx1">
                    <a:lumMod val="95000"/>
                    <a:lumOff val="5000"/>
                  </a:schemeClr>
                </a:solidFill>
              </a:ln>
            </c:spPr>
          </c:marker>
          <c:cat>
            <c:multiLvlStrRef>
              <c:f>'GRAF příspěvky IPP'!$R$25:$AR$26</c:f>
              <c:multiLvlStrCache>
                <c:ptCount val="27"/>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lvl>
                <c:lvl>
                  <c:pt idx="0">
                    <c:v>2015</c:v>
                  </c:pt>
                  <c:pt idx="4">
                    <c:v>2016</c:v>
                  </c:pt>
                  <c:pt idx="8">
                    <c:v>2017</c:v>
                  </c:pt>
                  <c:pt idx="12">
                    <c:v>2018</c:v>
                  </c:pt>
                  <c:pt idx="16">
                    <c:v>2019</c:v>
                  </c:pt>
                  <c:pt idx="20">
                    <c:v>2020</c:v>
                  </c:pt>
                  <c:pt idx="24">
                    <c:v>2021</c:v>
                  </c:pt>
                </c:lvl>
              </c:multiLvlStrCache>
            </c:multiLvlStrRef>
          </c:cat>
          <c:val>
            <c:numRef>
              <c:f>'GRAF příspěvky IPP'!$R$35:$AR$35</c:f>
              <c:numCache>
                <c:formatCode>0.0</c:formatCode>
                <c:ptCount val="27"/>
                <c:pt idx="0">
                  <c:v>4.8682458563000068</c:v>
                </c:pt>
                <c:pt idx="1">
                  <c:v>5.3044741369999997</c:v>
                </c:pt>
                <c:pt idx="2">
                  <c:v>5.6190886268000071</c:v>
                </c:pt>
                <c:pt idx="3">
                  <c:v>2.3830895040999991</c:v>
                </c:pt>
                <c:pt idx="4">
                  <c:v>4.4721731077000015</c:v>
                </c:pt>
                <c:pt idx="5">
                  <c:v>2.6101078087999952</c:v>
                </c:pt>
                <c:pt idx="6">
                  <c:v>1.685282625100001</c:v>
                </c:pt>
                <c:pt idx="7">
                  <c:v>3.5077673609000044</c:v>
                </c:pt>
                <c:pt idx="8">
                  <c:v>4.7800802052999956</c:v>
                </c:pt>
                <c:pt idx="9">
                  <c:v>8.0163224835000051</c:v>
                </c:pt>
                <c:pt idx="10">
                  <c:v>6.5553384864000037</c:v>
                </c:pt>
                <c:pt idx="11">
                  <c:v>7.5463265375999953</c:v>
                </c:pt>
                <c:pt idx="12">
                  <c:v>4.2589652710999957</c:v>
                </c:pt>
                <c:pt idx="13">
                  <c:v>2.4120135812000001</c:v>
                </c:pt>
                <c:pt idx="14">
                  <c:v>3.7328733271999965</c:v>
                </c:pt>
                <c:pt idx="15">
                  <c:v>1.9659868294999967</c:v>
                </c:pt>
                <c:pt idx="16">
                  <c:v>0.8563629657000007</c:v>
                </c:pt>
                <c:pt idx="17">
                  <c:v>0.97017926910000085</c:v>
                </c:pt>
                <c:pt idx="18">
                  <c:v>-1.1400871741000032</c:v>
                </c:pt>
                <c:pt idx="19">
                  <c:v>-2.0711551671000024</c:v>
                </c:pt>
                <c:pt idx="20">
                  <c:v>-4.3995095515000031</c:v>
                </c:pt>
                <c:pt idx="21">
                  <c:v>-22.935996158799995</c:v>
                </c:pt>
                <c:pt idx="22">
                  <c:v>-2.818709542700006</c:v>
                </c:pt>
                <c:pt idx="23">
                  <c:v>2.0493572614000044</c:v>
                </c:pt>
                <c:pt idx="24">
                  <c:v>3.9108336095000027</c:v>
                </c:pt>
                <c:pt idx="25">
                  <c:v>27.726217468900003</c:v>
                </c:pt>
              </c:numCache>
            </c:numRef>
          </c:val>
          <c:smooth val="0"/>
          <c:extLst>
            <c:ext xmlns:c16="http://schemas.microsoft.com/office/drawing/2014/chart" uri="{C3380CC4-5D6E-409C-BE32-E72D297353CC}">
              <c16:uniqueId val="{00000008-75E4-4E38-9B2F-7CBE18603D3E}"/>
            </c:ext>
          </c:extLst>
        </c:ser>
        <c:dLbls>
          <c:showLegendKey val="0"/>
          <c:showVal val="0"/>
          <c:showCatName val="0"/>
          <c:showSerName val="0"/>
          <c:showPercent val="0"/>
          <c:showBubbleSize val="0"/>
        </c:dLbls>
        <c:marker val="1"/>
        <c:smooth val="0"/>
        <c:axId val="112768128"/>
        <c:axId val="112769664"/>
      </c:lineChart>
      <c:lineChart>
        <c:grouping val="standard"/>
        <c:varyColors val="0"/>
        <c:ser>
          <c:idx val="9"/>
          <c:order val="9"/>
          <c:tx>
            <c:strRef>
              <c:f>'GRAF příspěvky IPP'!$A$36</c:f>
              <c:strCache>
                <c:ptCount val="1"/>
                <c:pt idx="0">
                  <c:v>Balance of confidence indicator in industry</c:v>
                </c:pt>
              </c:strCache>
            </c:strRef>
          </c:tx>
          <c:spPr>
            <a:ln w="15875">
              <a:solidFill>
                <a:schemeClr val="bg1">
                  <a:lumMod val="65000"/>
                </a:schemeClr>
              </a:solidFill>
              <a:prstDash val="sysDot"/>
            </a:ln>
          </c:spPr>
          <c:marker>
            <c:symbol val="circle"/>
            <c:size val="5"/>
            <c:spPr>
              <a:solidFill>
                <a:srgbClr val="FFFF00"/>
              </a:solidFill>
              <a:ln>
                <a:solidFill>
                  <a:schemeClr val="tx1">
                    <a:lumMod val="50000"/>
                    <a:lumOff val="50000"/>
                  </a:schemeClr>
                </a:solidFill>
              </a:ln>
            </c:spPr>
          </c:marker>
          <c:cat>
            <c:multiLvlStrRef>
              <c:f>'GRAF příspěvky IPP'!$R$25:$AR$26</c:f>
              <c:multiLvlStrCache>
                <c:ptCount val="27"/>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lvl>
                <c:lvl>
                  <c:pt idx="0">
                    <c:v>2015</c:v>
                  </c:pt>
                  <c:pt idx="4">
                    <c:v>2016</c:v>
                  </c:pt>
                  <c:pt idx="8">
                    <c:v>2017</c:v>
                  </c:pt>
                  <c:pt idx="12">
                    <c:v>2018</c:v>
                  </c:pt>
                  <c:pt idx="16">
                    <c:v>2019</c:v>
                  </c:pt>
                  <c:pt idx="20">
                    <c:v>2020</c:v>
                  </c:pt>
                  <c:pt idx="24">
                    <c:v>2021</c:v>
                  </c:pt>
                </c:lvl>
              </c:multiLvlStrCache>
            </c:multiLvlStrRef>
          </c:cat>
          <c:val>
            <c:numRef>
              <c:f>'GRAF příspěvky IPP'!$R$36:$AR$36</c:f>
              <c:numCache>
                <c:formatCode>0.0</c:formatCode>
                <c:ptCount val="27"/>
                <c:pt idx="0">
                  <c:v>2.2999999999999998</c:v>
                </c:pt>
                <c:pt idx="1">
                  <c:v>3.3</c:v>
                </c:pt>
                <c:pt idx="2">
                  <c:v>3</c:v>
                </c:pt>
                <c:pt idx="3">
                  <c:v>1</c:v>
                </c:pt>
                <c:pt idx="4">
                  <c:v>3.7</c:v>
                </c:pt>
                <c:pt idx="5">
                  <c:v>2.7</c:v>
                </c:pt>
                <c:pt idx="6">
                  <c:v>5</c:v>
                </c:pt>
                <c:pt idx="7">
                  <c:v>6.3</c:v>
                </c:pt>
                <c:pt idx="8">
                  <c:v>3.7</c:v>
                </c:pt>
                <c:pt idx="9">
                  <c:v>0.5</c:v>
                </c:pt>
                <c:pt idx="10">
                  <c:v>4</c:v>
                </c:pt>
                <c:pt idx="11">
                  <c:v>4.7</c:v>
                </c:pt>
                <c:pt idx="12">
                  <c:v>3.7</c:v>
                </c:pt>
                <c:pt idx="13">
                  <c:v>2</c:v>
                </c:pt>
                <c:pt idx="14">
                  <c:v>2.2999999999999998</c:v>
                </c:pt>
                <c:pt idx="15">
                  <c:v>2.2999999999999998</c:v>
                </c:pt>
                <c:pt idx="16">
                  <c:v>0.3</c:v>
                </c:pt>
                <c:pt idx="17">
                  <c:v>-2</c:v>
                </c:pt>
                <c:pt idx="18">
                  <c:v>-3</c:v>
                </c:pt>
                <c:pt idx="19">
                  <c:v>-6.7</c:v>
                </c:pt>
                <c:pt idx="20">
                  <c:v>-5</c:v>
                </c:pt>
                <c:pt idx="21">
                  <c:v>-25</c:v>
                </c:pt>
                <c:pt idx="22">
                  <c:v>-6.3</c:v>
                </c:pt>
                <c:pt idx="23">
                  <c:v>-10</c:v>
                </c:pt>
                <c:pt idx="24">
                  <c:v>-1.3</c:v>
                </c:pt>
                <c:pt idx="25">
                  <c:v>5.3</c:v>
                </c:pt>
                <c:pt idx="26">
                  <c:v>-1.3</c:v>
                </c:pt>
              </c:numCache>
            </c:numRef>
          </c:val>
          <c:smooth val="0"/>
          <c:extLst>
            <c:ext xmlns:c16="http://schemas.microsoft.com/office/drawing/2014/chart" uri="{C3380CC4-5D6E-409C-BE32-E72D297353CC}">
              <c16:uniqueId val="{00000009-75E4-4E38-9B2F-7CBE18603D3E}"/>
            </c:ext>
          </c:extLst>
        </c:ser>
        <c:dLbls>
          <c:showLegendKey val="0"/>
          <c:showVal val="0"/>
          <c:showCatName val="0"/>
          <c:showSerName val="0"/>
          <c:showPercent val="0"/>
          <c:showBubbleSize val="0"/>
        </c:dLbls>
        <c:marker val="1"/>
        <c:smooth val="0"/>
        <c:axId val="1513731104"/>
        <c:axId val="1513729024"/>
      </c:lineChart>
      <c:catAx>
        <c:axId val="112768128"/>
        <c:scaling>
          <c:orientation val="minMax"/>
        </c:scaling>
        <c:delete val="0"/>
        <c:axPos val="b"/>
        <c:numFmt formatCode="General" sourceLinked="1"/>
        <c:majorTickMark val="out"/>
        <c:minorTickMark val="none"/>
        <c:tickLblPos val="low"/>
        <c:txPr>
          <a:bodyPr/>
          <a:lstStyle/>
          <a:p>
            <a:pPr>
              <a:defRPr sz="800">
                <a:latin typeface="Arial" pitchFamily="34" charset="0"/>
                <a:cs typeface="Arial" pitchFamily="34" charset="0"/>
              </a:defRPr>
            </a:pPr>
            <a:endParaRPr lang="cs-CZ"/>
          </a:p>
        </c:txPr>
        <c:crossAx val="112769664"/>
        <c:crosses val="autoZero"/>
        <c:auto val="1"/>
        <c:lblAlgn val="ctr"/>
        <c:lblOffset val="0"/>
        <c:noMultiLvlLbl val="0"/>
      </c:catAx>
      <c:valAx>
        <c:axId val="112769664"/>
        <c:scaling>
          <c:orientation val="minMax"/>
          <c:max val="28"/>
          <c:min val="-24"/>
        </c:scaling>
        <c:delete val="0"/>
        <c:axPos val="l"/>
        <c:majorGridlines>
          <c:spPr>
            <a:ln>
              <a:solidFill>
                <a:srgbClr val="BEBEBE"/>
              </a:solidFill>
            </a:ln>
          </c:spPr>
        </c:majorGridlines>
        <c:title>
          <c:tx>
            <c:rich>
              <a:bodyPr/>
              <a:lstStyle/>
              <a:p>
                <a:pPr marL="0" marR="0" lvl="0" indent="0" algn="ctr" defTabSz="914400" rtl="0" eaLnBrk="1" fontAlgn="auto" latinLnBrk="0" hangingPunct="1">
                  <a:lnSpc>
                    <a:spcPct val="100000"/>
                  </a:lnSpc>
                  <a:spcBef>
                    <a:spcPts val="0"/>
                  </a:spcBef>
                  <a:spcAft>
                    <a:spcPts val="0"/>
                  </a:spcAft>
                  <a:buClrTx/>
                  <a:buSzTx/>
                  <a:buFontTx/>
                  <a:buNone/>
                  <a:tabLst/>
                  <a:defRPr sz="700" b="0" i="1"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GB" sz="700" i="1">
                    <a:effectLst/>
                  </a:rPr>
                  <a:t>Industrial production</a:t>
                </a:r>
                <a:endParaRPr lang="cs-CZ" sz="700">
                  <a:effectLst/>
                </a:endParaRPr>
              </a:p>
            </c:rich>
          </c:tx>
          <c:layout>
            <c:manualLayout>
              <c:xMode val="edge"/>
              <c:yMode val="edge"/>
              <c:x val="0"/>
              <c:y val="0.20244534603198014"/>
            </c:manualLayout>
          </c:layout>
          <c:overlay val="0"/>
        </c:title>
        <c:numFmt formatCode="0" sourceLinked="0"/>
        <c:majorTickMark val="out"/>
        <c:minorTickMark val="none"/>
        <c:tickLblPos val="nextTo"/>
        <c:txPr>
          <a:bodyPr/>
          <a:lstStyle/>
          <a:p>
            <a:pPr>
              <a:defRPr sz="800">
                <a:latin typeface="Arial" pitchFamily="34" charset="0"/>
                <a:cs typeface="Arial" pitchFamily="34" charset="0"/>
              </a:defRPr>
            </a:pPr>
            <a:endParaRPr lang="cs-CZ"/>
          </a:p>
        </c:txPr>
        <c:crossAx val="112768128"/>
        <c:crosses val="autoZero"/>
        <c:crossBetween val="between"/>
        <c:majorUnit val="4"/>
      </c:valAx>
      <c:valAx>
        <c:axId val="1513729024"/>
        <c:scaling>
          <c:orientation val="minMax"/>
          <c:max val="15"/>
          <c:min val="-50"/>
        </c:scaling>
        <c:delete val="0"/>
        <c:axPos val="r"/>
        <c:title>
          <c:tx>
            <c:rich>
              <a:bodyPr/>
              <a:lstStyle/>
              <a:p>
                <a:pPr>
                  <a:defRPr sz="700" b="0" i="1">
                    <a:latin typeface="Arial" panose="020B0604020202020204" pitchFamily="34" charset="0"/>
                    <a:cs typeface="Arial" panose="020B0604020202020204" pitchFamily="34" charset="0"/>
                  </a:defRPr>
                </a:pPr>
                <a:r>
                  <a:rPr lang="cs-CZ" sz="700" b="0" i="1">
                    <a:latin typeface="Arial" panose="020B0604020202020204" pitchFamily="34" charset="0"/>
                    <a:cs typeface="Arial" panose="020B0604020202020204" pitchFamily="34" charset="0"/>
                  </a:rPr>
                  <a:t>Balance of confidence indicator</a:t>
                </a:r>
              </a:p>
            </c:rich>
          </c:tx>
          <c:layout>
            <c:manualLayout>
              <c:xMode val="edge"/>
              <c:yMode val="edge"/>
              <c:x val="0.97073916983354047"/>
              <c:y val="0.1919156077545873"/>
            </c:manualLayout>
          </c:layout>
          <c:overlay val="0"/>
        </c:title>
        <c:numFmt formatCode="0" sourceLinked="0"/>
        <c:majorTickMark val="out"/>
        <c:minorTickMark val="none"/>
        <c:tickLblPos val="nextTo"/>
        <c:txPr>
          <a:bodyPr/>
          <a:lstStyle/>
          <a:p>
            <a:pPr>
              <a:defRPr sz="800">
                <a:latin typeface="Arial" panose="020B0604020202020204" pitchFamily="34" charset="0"/>
                <a:cs typeface="Arial" panose="020B0604020202020204" pitchFamily="34" charset="0"/>
              </a:defRPr>
            </a:pPr>
            <a:endParaRPr lang="cs-CZ"/>
          </a:p>
        </c:txPr>
        <c:crossAx val="1513731104"/>
        <c:crosses val="max"/>
        <c:crossBetween val="between"/>
        <c:majorUnit val="5"/>
      </c:valAx>
      <c:catAx>
        <c:axId val="1513731104"/>
        <c:scaling>
          <c:orientation val="minMax"/>
        </c:scaling>
        <c:delete val="1"/>
        <c:axPos val="b"/>
        <c:numFmt formatCode="General" sourceLinked="1"/>
        <c:majorTickMark val="out"/>
        <c:minorTickMark val="none"/>
        <c:tickLblPos val="nextTo"/>
        <c:crossAx val="1513729024"/>
        <c:crosses val="autoZero"/>
        <c:auto val="1"/>
        <c:lblAlgn val="ctr"/>
        <c:lblOffset val="100"/>
        <c:noMultiLvlLbl val="0"/>
      </c:catAx>
      <c:spPr>
        <a:noFill/>
        <a:ln w="6350">
          <a:solidFill>
            <a:prstClr val="black">
              <a:lumMod val="95000"/>
              <a:lumOff val="5000"/>
            </a:prstClr>
          </a:solidFill>
        </a:ln>
      </c:spPr>
    </c:plotArea>
    <c:legend>
      <c:legendPos val="r"/>
      <c:layout>
        <c:manualLayout>
          <c:xMode val="edge"/>
          <c:yMode val="edge"/>
          <c:x val="5.3674313143127631E-3"/>
          <c:y val="0.8208401379824497"/>
          <c:w val="0.99049246182308814"/>
          <c:h val="0.1680903527628885"/>
        </c:manualLayout>
      </c:layout>
      <c:overlay val="0"/>
      <c:spPr>
        <a:ln w="6350">
          <a:solidFill>
            <a:prstClr val="black">
              <a:lumMod val="95000"/>
              <a:lumOff val="5000"/>
            </a:prstClr>
          </a:solidFill>
        </a:ln>
      </c:spPr>
      <c:txPr>
        <a:bodyPr/>
        <a:lstStyle/>
        <a:p>
          <a:pPr>
            <a:defRPr sz="800">
              <a:latin typeface="Arial" pitchFamily="34" charset="0"/>
              <a:cs typeface="Arial" pitchFamily="34" charset="0"/>
            </a:defRPr>
          </a:pPr>
          <a:endParaRPr lang="cs-CZ"/>
        </a:p>
      </c:txPr>
    </c:legend>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6.9015582501720615E-2"/>
          <c:y val="1.643251153889452E-2"/>
          <c:w val="0.86254083709606399"/>
          <c:h val="0.69721555813437708"/>
        </c:manualLayout>
      </c:layout>
      <c:barChart>
        <c:barDir val="col"/>
        <c:grouping val="clustered"/>
        <c:varyColors val="0"/>
        <c:ser>
          <c:idx val="0"/>
          <c:order val="0"/>
          <c:tx>
            <c:strRef>
              <c:f>'[ENGL-Odvětví grafy-2q-2021-nový.xlsx]výkonnost odvětví 2'!$A$31</c:f>
              <c:strCache>
                <c:ptCount val="1"/>
                <c:pt idx="0">
                  <c:v>Total orders (all industry)</c:v>
                </c:pt>
              </c:strCache>
            </c:strRef>
          </c:tx>
          <c:spPr>
            <a:solidFill>
              <a:schemeClr val="bg1">
                <a:lumMod val="65000"/>
              </a:schemeClr>
            </a:solidFill>
            <a:ln w="12700">
              <a:noFill/>
              <a:prstDash val="solid"/>
            </a:ln>
          </c:spPr>
          <c:invertIfNegative val="0"/>
          <c:cat>
            <c:multiLvlStrRef>
              <c:f>'[ENGL-Odvětví grafy-2q-2021-nový.xlsx]výkonnost odvětví 2'!$R$29:$AR$30</c:f>
              <c:multiLvlStrCache>
                <c:ptCount val="27"/>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lvl>
                <c:lvl>
                  <c:pt idx="0">
                    <c:v>2015</c:v>
                  </c:pt>
                  <c:pt idx="4">
                    <c:v>2016</c:v>
                  </c:pt>
                  <c:pt idx="8">
                    <c:v>2017</c:v>
                  </c:pt>
                  <c:pt idx="12">
                    <c:v>2018</c:v>
                  </c:pt>
                  <c:pt idx="16">
                    <c:v>2019</c:v>
                  </c:pt>
                  <c:pt idx="20">
                    <c:v>2020</c:v>
                  </c:pt>
                  <c:pt idx="24">
                    <c:v>2021</c:v>
                  </c:pt>
                </c:lvl>
              </c:multiLvlStrCache>
            </c:multiLvlStrRef>
          </c:cat>
          <c:val>
            <c:numRef>
              <c:f>'[ENGL-Odvětví grafy-2q-2021-nový.xlsx]výkonnost odvětví 2'!$R$31:$AR$31</c:f>
              <c:numCache>
                <c:formatCode>#\ ##0.0__</c:formatCode>
                <c:ptCount val="27"/>
                <c:pt idx="0">
                  <c:v>8.5397251010390391</c:v>
                </c:pt>
                <c:pt idx="1">
                  <c:v>6.4894834031568251</c:v>
                </c:pt>
                <c:pt idx="2">
                  <c:v>4.1045761314248068</c:v>
                </c:pt>
                <c:pt idx="3">
                  <c:v>6.0151063810169205</c:v>
                </c:pt>
                <c:pt idx="4">
                  <c:v>1.3550678522953064</c:v>
                </c:pt>
                <c:pt idx="5">
                  <c:v>10.856046878525433</c:v>
                </c:pt>
                <c:pt idx="6">
                  <c:v>1.6431282237439291</c:v>
                </c:pt>
                <c:pt idx="7">
                  <c:v>6.7220844736941103</c:v>
                </c:pt>
                <c:pt idx="8">
                  <c:v>10.841479121555906</c:v>
                </c:pt>
                <c:pt idx="9">
                  <c:v>4.5315942367003714</c:v>
                </c:pt>
                <c:pt idx="10">
                  <c:v>6.9082617878945598</c:v>
                </c:pt>
                <c:pt idx="11">
                  <c:v>7.5112613571588724</c:v>
                </c:pt>
                <c:pt idx="12">
                  <c:v>1.6339188767607453</c:v>
                </c:pt>
                <c:pt idx="13">
                  <c:v>4.6301209797549205</c:v>
                </c:pt>
                <c:pt idx="14">
                  <c:v>3.6945404784506337</c:v>
                </c:pt>
                <c:pt idx="15">
                  <c:v>4.2467023509658759</c:v>
                </c:pt>
                <c:pt idx="16">
                  <c:v>3.2159327201169816</c:v>
                </c:pt>
                <c:pt idx="17">
                  <c:v>0.65858715061426665</c:v>
                </c:pt>
                <c:pt idx="18">
                  <c:v>2.2747163836690305</c:v>
                </c:pt>
                <c:pt idx="19">
                  <c:v>-4.7832000111320241</c:v>
                </c:pt>
                <c:pt idx="20">
                  <c:v>-1.2762466132796817</c:v>
                </c:pt>
                <c:pt idx="21">
                  <c:v>-27.685678861776282</c:v>
                </c:pt>
                <c:pt idx="22">
                  <c:v>-2.0849225069869703</c:v>
                </c:pt>
                <c:pt idx="23">
                  <c:v>6.882954384462451</c:v>
                </c:pt>
                <c:pt idx="24">
                  <c:v>7.4402517572367941</c:v>
                </c:pt>
                <c:pt idx="25">
                  <c:v>50.150616494159699</c:v>
                </c:pt>
              </c:numCache>
            </c:numRef>
          </c:val>
          <c:extLst>
            <c:ext xmlns:c16="http://schemas.microsoft.com/office/drawing/2014/chart" uri="{C3380CC4-5D6E-409C-BE32-E72D297353CC}">
              <c16:uniqueId val="{00000000-A255-4EA1-88CA-B40AC04BC7AA}"/>
            </c:ext>
          </c:extLst>
        </c:ser>
        <c:dLbls>
          <c:showLegendKey val="0"/>
          <c:showVal val="0"/>
          <c:showCatName val="0"/>
          <c:showSerName val="0"/>
          <c:showPercent val="0"/>
          <c:showBubbleSize val="0"/>
        </c:dLbls>
        <c:gapWidth val="34"/>
        <c:overlap val="28"/>
        <c:axId val="139174272"/>
        <c:axId val="139175808"/>
      </c:barChart>
      <c:lineChart>
        <c:grouping val="standard"/>
        <c:varyColors val="0"/>
        <c:ser>
          <c:idx val="2"/>
          <c:order val="1"/>
          <c:tx>
            <c:strRef>
              <c:f>'[ENGL-Odvětví grafy-2q-2021-nový.xlsx]výkonnost odvětví 2'!$A$32</c:f>
              <c:strCache>
                <c:ptCount val="1"/>
                <c:pt idx="0">
                  <c:v>Total orders (motor vehicles)</c:v>
                </c:pt>
              </c:strCache>
            </c:strRef>
          </c:tx>
          <c:spPr>
            <a:ln w="15875">
              <a:solidFill>
                <a:srgbClr val="984807"/>
              </a:solidFill>
              <a:prstDash val="sysDot"/>
            </a:ln>
          </c:spPr>
          <c:marker>
            <c:symbol val="diamond"/>
            <c:size val="5"/>
            <c:spPr>
              <a:solidFill>
                <a:srgbClr val="984807"/>
              </a:solidFill>
              <a:ln>
                <a:noFill/>
              </a:ln>
            </c:spPr>
          </c:marker>
          <c:cat>
            <c:multiLvlStrRef>
              <c:f>'[ENGL-Odvětví grafy-2q-2021-nový.xlsx]výkonnost odvětví 2'!$R$29:$AR$30</c:f>
              <c:multiLvlStrCache>
                <c:ptCount val="27"/>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lvl>
                <c:lvl>
                  <c:pt idx="0">
                    <c:v>2015</c:v>
                  </c:pt>
                  <c:pt idx="4">
                    <c:v>2016</c:v>
                  </c:pt>
                  <c:pt idx="8">
                    <c:v>2017</c:v>
                  </c:pt>
                  <c:pt idx="12">
                    <c:v>2018</c:v>
                  </c:pt>
                  <c:pt idx="16">
                    <c:v>2019</c:v>
                  </c:pt>
                  <c:pt idx="20">
                    <c:v>2020</c:v>
                  </c:pt>
                  <c:pt idx="24">
                    <c:v>2021</c:v>
                  </c:pt>
                </c:lvl>
              </c:multiLvlStrCache>
            </c:multiLvlStrRef>
          </c:cat>
          <c:val>
            <c:numRef>
              <c:f>'[ENGL-Odvětví grafy-2q-2021-nový.xlsx]výkonnost odvětví 2'!$R$32:$AR$32</c:f>
              <c:numCache>
                <c:formatCode>#\ ##0.0__</c:formatCode>
                <c:ptCount val="27"/>
                <c:pt idx="0">
                  <c:v>15.316352438277931</c:v>
                </c:pt>
                <c:pt idx="1">
                  <c:v>5.584343456517459</c:v>
                </c:pt>
                <c:pt idx="2">
                  <c:v>13.898535777390734</c:v>
                </c:pt>
                <c:pt idx="3">
                  <c:v>18.975191723154538</c:v>
                </c:pt>
                <c:pt idx="4">
                  <c:v>11.460497347422447</c:v>
                </c:pt>
                <c:pt idx="5">
                  <c:v>33.085131031292235</c:v>
                </c:pt>
                <c:pt idx="6">
                  <c:v>5.912380139380474</c:v>
                </c:pt>
                <c:pt idx="7">
                  <c:v>12.001000805244416</c:v>
                </c:pt>
                <c:pt idx="8">
                  <c:v>7.9804719471503205</c:v>
                </c:pt>
                <c:pt idx="9">
                  <c:v>-1.7592612473364966</c:v>
                </c:pt>
                <c:pt idx="10">
                  <c:v>3.8626497182263222</c:v>
                </c:pt>
                <c:pt idx="11">
                  <c:v>0.37376710568412364</c:v>
                </c:pt>
                <c:pt idx="12">
                  <c:v>0.60861960894675349</c:v>
                </c:pt>
                <c:pt idx="13">
                  <c:v>3.6675371997157811</c:v>
                </c:pt>
                <c:pt idx="14">
                  <c:v>0.69699979014031044</c:v>
                </c:pt>
                <c:pt idx="15">
                  <c:v>1.0371076901644045</c:v>
                </c:pt>
                <c:pt idx="16">
                  <c:v>2.3844519038519962</c:v>
                </c:pt>
                <c:pt idx="17">
                  <c:v>3.1505861553301884</c:v>
                </c:pt>
                <c:pt idx="18">
                  <c:v>7.8772894879504776</c:v>
                </c:pt>
                <c:pt idx="19">
                  <c:v>-0.27078960340936931</c:v>
                </c:pt>
                <c:pt idx="20">
                  <c:v>-6.5941090261626556</c:v>
                </c:pt>
                <c:pt idx="21">
                  <c:v>-43.297757603226039</c:v>
                </c:pt>
                <c:pt idx="22">
                  <c:v>3.6539438072891244</c:v>
                </c:pt>
                <c:pt idx="23">
                  <c:v>8.0597939162845336</c:v>
                </c:pt>
                <c:pt idx="24">
                  <c:v>16.785005657074436</c:v>
                </c:pt>
                <c:pt idx="25">
                  <c:v>87.30774154401422</c:v>
                </c:pt>
              </c:numCache>
            </c:numRef>
          </c:val>
          <c:smooth val="0"/>
          <c:extLst>
            <c:ext xmlns:c16="http://schemas.microsoft.com/office/drawing/2014/chart" uri="{C3380CC4-5D6E-409C-BE32-E72D297353CC}">
              <c16:uniqueId val="{00000001-A255-4EA1-88CA-B40AC04BC7AA}"/>
            </c:ext>
          </c:extLst>
        </c:ser>
        <c:dLbls>
          <c:showLegendKey val="0"/>
          <c:showVal val="0"/>
          <c:showCatName val="0"/>
          <c:showSerName val="0"/>
          <c:showPercent val="0"/>
          <c:showBubbleSize val="0"/>
        </c:dLbls>
        <c:marker val="1"/>
        <c:smooth val="0"/>
        <c:axId val="139174272"/>
        <c:axId val="139175808"/>
      </c:lineChart>
      <c:lineChart>
        <c:grouping val="standard"/>
        <c:varyColors val="0"/>
        <c:ser>
          <c:idx val="5"/>
          <c:order val="2"/>
          <c:tx>
            <c:strRef>
              <c:f>'[ENGL-Odvětví grafy-2q-2021-nový.xlsx]výkonnost odvětví 2'!$A$33</c:f>
              <c:strCache>
                <c:ptCount val="1"/>
                <c:pt idx="0">
                  <c:v>Utilisation of production capacities in industry</c:v>
                </c:pt>
              </c:strCache>
            </c:strRef>
          </c:tx>
          <c:spPr>
            <a:ln w="15875">
              <a:solidFill>
                <a:srgbClr val="D2CD00"/>
              </a:solidFill>
              <a:prstDash val="solid"/>
            </a:ln>
          </c:spPr>
          <c:marker>
            <c:symbol val="none"/>
          </c:marker>
          <c:cat>
            <c:multiLvlStrRef>
              <c:f>'[ENGL-Odvětví grafy-2q-2021-nový.xlsx]výkonnost odvětví 2'!$R$29:$AR$30</c:f>
              <c:multiLvlStrCache>
                <c:ptCount val="27"/>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lvl>
                <c:lvl>
                  <c:pt idx="0">
                    <c:v>2015</c:v>
                  </c:pt>
                  <c:pt idx="4">
                    <c:v>2016</c:v>
                  </c:pt>
                  <c:pt idx="8">
                    <c:v>2017</c:v>
                  </c:pt>
                  <c:pt idx="12">
                    <c:v>2018</c:v>
                  </c:pt>
                  <c:pt idx="16">
                    <c:v>2019</c:v>
                  </c:pt>
                  <c:pt idx="20">
                    <c:v>2020</c:v>
                  </c:pt>
                  <c:pt idx="24">
                    <c:v>2021</c:v>
                  </c:pt>
                </c:lvl>
              </c:multiLvlStrCache>
            </c:multiLvlStrRef>
          </c:cat>
          <c:val>
            <c:numRef>
              <c:f>'[ENGL-Odvětví grafy-2q-2021-nový.xlsx]výkonnost odvětví 2'!$R$33:$AR$33</c:f>
              <c:numCache>
                <c:formatCode>#\ ##0.0</c:formatCode>
                <c:ptCount val="27"/>
                <c:pt idx="0">
                  <c:v>86.2</c:v>
                </c:pt>
                <c:pt idx="1">
                  <c:v>85</c:v>
                </c:pt>
                <c:pt idx="2">
                  <c:v>85.6</c:v>
                </c:pt>
                <c:pt idx="3">
                  <c:v>83.9</c:v>
                </c:pt>
                <c:pt idx="4">
                  <c:v>84.5</c:v>
                </c:pt>
                <c:pt idx="5">
                  <c:v>84.7</c:v>
                </c:pt>
                <c:pt idx="6">
                  <c:v>84.7</c:v>
                </c:pt>
                <c:pt idx="7">
                  <c:v>84.1</c:v>
                </c:pt>
                <c:pt idx="8">
                  <c:v>84.9</c:v>
                </c:pt>
                <c:pt idx="9">
                  <c:v>83.1</c:v>
                </c:pt>
                <c:pt idx="10">
                  <c:v>84.4</c:v>
                </c:pt>
                <c:pt idx="11">
                  <c:v>84.3</c:v>
                </c:pt>
                <c:pt idx="12">
                  <c:v>85.8</c:v>
                </c:pt>
                <c:pt idx="13">
                  <c:v>85.4</c:v>
                </c:pt>
                <c:pt idx="14">
                  <c:v>86.2</c:v>
                </c:pt>
                <c:pt idx="15">
                  <c:v>85.8</c:v>
                </c:pt>
                <c:pt idx="16">
                  <c:v>85.8</c:v>
                </c:pt>
                <c:pt idx="17">
                  <c:v>85.9</c:v>
                </c:pt>
                <c:pt idx="18">
                  <c:v>84.8</c:v>
                </c:pt>
                <c:pt idx="19">
                  <c:v>84.1</c:v>
                </c:pt>
                <c:pt idx="20">
                  <c:v>84.2</c:v>
                </c:pt>
                <c:pt idx="21">
                  <c:v>71</c:v>
                </c:pt>
                <c:pt idx="22">
                  <c:v>75.5</c:v>
                </c:pt>
                <c:pt idx="23">
                  <c:v>81.099999999999994</c:v>
                </c:pt>
                <c:pt idx="24">
                  <c:v>83.4</c:v>
                </c:pt>
                <c:pt idx="25">
                  <c:v>87.5</c:v>
                </c:pt>
                <c:pt idx="26">
                  <c:v>88.1</c:v>
                </c:pt>
              </c:numCache>
            </c:numRef>
          </c:val>
          <c:smooth val="0"/>
          <c:extLst>
            <c:ext xmlns:c16="http://schemas.microsoft.com/office/drawing/2014/chart" uri="{C3380CC4-5D6E-409C-BE32-E72D297353CC}">
              <c16:uniqueId val="{00000002-A255-4EA1-88CA-B40AC04BC7AA}"/>
            </c:ext>
          </c:extLst>
        </c:ser>
        <c:ser>
          <c:idx val="3"/>
          <c:order val="3"/>
          <c:tx>
            <c:strRef>
              <c:f>'[ENGL-Odvětví grafy-2q-2021-nový.xlsx]výkonnost odvětví 2'!$A$34</c:f>
              <c:strCache>
                <c:ptCount val="1"/>
                <c:pt idx="0">
                  <c:v>Utilisation of production capacities in motor vehicles industry</c:v>
                </c:pt>
              </c:strCache>
            </c:strRef>
          </c:tx>
          <c:spPr>
            <a:ln w="19050">
              <a:solidFill>
                <a:srgbClr val="D2CD00"/>
              </a:solidFill>
              <a:prstDash val="sysDash"/>
            </a:ln>
          </c:spPr>
          <c:marker>
            <c:symbol val="none"/>
          </c:marker>
          <c:cat>
            <c:multiLvlStrRef>
              <c:f>'[ENGL-Odvětví grafy-2q-2021-nový.xlsx]výkonnost odvětví 2'!$R$29:$AR$30</c:f>
              <c:multiLvlStrCache>
                <c:ptCount val="27"/>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lvl>
                <c:lvl>
                  <c:pt idx="0">
                    <c:v>2015</c:v>
                  </c:pt>
                  <c:pt idx="4">
                    <c:v>2016</c:v>
                  </c:pt>
                  <c:pt idx="8">
                    <c:v>2017</c:v>
                  </c:pt>
                  <c:pt idx="12">
                    <c:v>2018</c:v>
                  </c:pt>
                  <c:pt idx="16">
                    <c:v>2019</c:v>
                  </c:pt>
                  <c:pt idx="20">
                    <c:v>2020</c:v>
                  </c:pt>
                  <c:pt idx="24">
                    <c:v>2021</c:v>
                  </c:pt>
                </c:lvl>
              </c:multiLvlStrCache>
            </c:multiLvlStrRef>
          </c:cat>
          <c:val>
            <c:numRef>
              <c:f>'[ENGL-Odvětví grafy-2q-2021-nový.xlsx]výkonnost odvětví 2'!$R$34:$AR$34</c:f>
              <c:numCache>
                <c:formatCode>0.0</c:formatCode>
                <c:ptCount val="27"/>
                <c:pt idx="0">
                  <c:v>92.8</c:v>
                </c:pt>
                <c:pt idx="1">
                  <c:v>91.1</c:v>
                </c:pt>
                <c:pt idx="2">
                  <c:v>93.1</c:v>
                </c:pt>
                <c:pt idx="3">
                  <c:v>88.7</c:v>
                </c:pt>
                <c:pt idx="4">
                  <c:v>91.6</c:v>
                </c:pt>
                <c:pt idx="5">
                  <c:v>90.3</c:v>
                </c:pt>
                <c:pt idx="6">
                  <c:v>93.1</c:v>
                </c:pt>
                <c:pt idx="7">
                  <c:v>90.9</c:v>
                </c:pt>
                <c:pt idx="8">
                  <c:v>93.2</c:v>
                </c:pt>
                <c:pt idx="9">
                  <c:v>87.3</c:v>
                </c:pt>
                <c:pt idx="10">
                  <c:v>90.7</c:v>
                </c:pt>
                <c:pt idx="11">
                  <c:v>90.5</c:v>
                </c:pt>
                <c:pt idx="12">
                  <c:v>91.1</c:v>
                </c:pt>
                <c:pt idx="13">
                  <c:v>91.6</c:v>
                </c:pt>
                <c:pt idx="14">
                  <c:v>92.1</c:v>
                </c:pt>
                <c:pt idx="15">
                  <c:v>93</c:v>
                </c:pt>
                <c:pt idx="16">
                  <c:v>92.8</c:v>
                </c:pt>
                <c:pt idx="17">
                  <c:v>93.6</c:v>
                </c:pt>
                <c:pt idx="18">
                  <c:v>92.3</c:v>
                </c:pt>
                <c:pt idx="19">
                  <c:v>93.4</c:v>
                </c:pt>
                <c:pt idx="20">
                  <c:v>90.5</c:v>
                </c:pt>
                <c:pt idx="21">
                  <c:v>50.8</c:v>
                </c:pt>
                <c:pt idx="22" formatCode="General">
                  <c:v>75.3</c:v>
                </c:pt>
                <c:pt idx="23" formatCode="General">
                  <c:v>90.9</c:v>
                </c:pt>
                <c:pt idx="24" formatCode="General">
                  <c:v>90.3</c:v>
                </c:pt>
                <c:pt idx="25" formatCode="General">
                  <c:v>99.1</c:v>
                </c:pt>
                <c:pt idx="26" formatCode="General">
                  <c:v>94.7</c:v>
                </c:pt>
              </c:numCache>
            </c:numRef>
          </c:val>
          <c:smooth val="0"/>
          <c:extLst>
            <c:ext xmlns:c16="http://schemas.microsoft.com/office/drawing/2014/chart" uri="{C3380CC4-5D6E-409C-BE32-E72D297353CC}">
              <c16:uniqueId val="{00000003-A255-4EA1-88CA-B40AC04BC7AA}"/>
            </c:ext>
          </c:extLst>
        </c:ser>
        <c:ser>
          <c:idx val="1"/>
          <c:order val="4"/>
          <c:tx>
            <c:strRef>
              <c:f>'[ENGL-Odvětví grafy-2q-2021-nový.xlsx]výkonnost odvětví 2'!$A$35</c:f>
              <c:strCache>
                <c:ptCount val="1"/>
                <c:pt idx="0">
                  <c:v>Growth barrier: inadequate demand</c:v>
                </c:pt>
              </c:strCache>
            </c:strRef>
          </c:tx>
          <c:spPr>
            <a:ln w="15875">
              <a:solidFill>
                <a:srgbClr val="00B050"/>
              </a:solidFill>
              <a:prstDash val="solid"/>
            </a:ln>
          </c:spPr>
          <c:marker>
            <c:symbol val="none"/>
          </c:marker>
          <c:cat>
            <c:multiLvlStrRef>
              <c:f>'[ENGL-Odvětví grafy-2q-2021-nový.xlsx]výkonnost odvětví 2'!$R$29:$AR$30</c:f>
              <c:multiLvlStrCache>
                <c:ptCount val="27"/>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lvl>
                <c:lvl>
                  <c:pt idx="0">
                    <c:v>2015</c:v>
                  </c:pt>
                  <c:pt idx="4">
                    <c:v>2016</c:v>
                  </c:pt>
                  <c:pt idx="8">
                    <c:v>2017</c:v>
                  </c:pt>
                  <c:pt idx="12">
                    <c:v>2018</c:v>
                  </c:pt>
                  <c:pt idx="16">
                    <c:v>2019</c:v>
                  </c:pt>
                  <c:pt idx="20">
                    <c:v>2020</c:v>
                  </c:pt>
                  <c:pt idx="24">
                    <c:v>2021</c:v>
                  </c:pt>
                </c:lvl>
              </c:multiLvlStrCache>
            </c:multiLvlStrRef>
          </c:cat>
          <c:val>
            <c:numRef>
              <c:f>'[ENGL-Odvětví grafy-2q-2021-nový.xlsx]výkonnost odvětví 2'!$R$35:$AR$35</c:f>
              <c:numCache>
                <c:formatCode>#\ ##0.0</c:formatCode>
                <c:ptCount val="27"/>
                <c:pt idx="0">
                  <c:v>43.6</c:v>
                </c:pt>
                <c:pt idx="1">
                  <c:v>49.6</c:v>
                </c:pt>
                <c:pt idx="2">
                  <c:v>47.8</c:v>
                </c:pt>
                <c:pt idx="3">
                  <c:v>47.8</c:v>
                </c:pt>
                <c:pt idx="4">
                  <c:v>45.7</c:v>
                </c:pt>
                <c:pt idx="5">
                  <c:v>45.5</c:v>
                </c:pt>
                <c:pt idx="6">
                  <c:v>43</c:v>
                </c:pt>
                <c:pt idx="7">
                  <c:v>43.8</c:v>
                </c:pt>
                <c:pt idx="8">
                  <c:v>42.7</c:v>
                </c:pt>
                <c:pt idx="9">
                  <c:v>41.6</c:v>
                </c:pt>
                <c:pt idx="10">
                  <c:v>40.299999999999997</c:v>
                </c:pt>
                <c:pt idx="11">
                  <c:v>37.299999999999997</c:v>
                </c:pt>
                <c:pt idx="12">
                  <c:v>35.4</c:v>
                </c:pt>
                <c:pt idx="13">
                  <c:v>36</c:v>
                </c:pt>
                <c:pt idx="14">
                  <c:v>31.6</c:v>
                </c:pt>
                <c:pt idx="15">
                  <c:v>33.4</c:v>
                </c:pt>
                <c:pt idx="16">
                  <c:v>33.700000000000003</c:v>
                </c:pt>
                <c:pt idx="17">
                  <c:v>35.299999999999997</c:v>
                </c:pt>
                <c:pt idx="18">
                  <c:v>40.1</c:v>
                </c:pt>
                <c:pt idx="19">
                  <c:v>47.3</c:v>
                </c:pt>
                <c:pt idx="20">
                  <c:v>50.4</c:v>
                </c:pt>
                <c:pt idx="21">
                  <c:v>58.4</c:v>
                </c:pt>
                <c:pt idx="22">
                  <c:v>63.2</c:v>
                </c:pt>
                <c:pt idx="23">
                  <c:v>47.9</c:v>
                </c:pt>
                <c:pt idx="24">
                  <c:v>48.7</c:v>
                </c:pt>
                <c:pt idx="25">
                  <c:v>38.5</c:v>
                </c:pt>
                <c:pt idx="26">
                  <c:v>24.5</c:v>
                </c:pt>
              </c:numCache>
            </c:numRef>
          </c:val>
          <c:smooth val="0"/>
          <c:extLst>
            <c:ext xmlns:c16="http://schemas.microsoft.com/office/drawing/2014/chart" uri="{C3380CC4-5D6E-409C-BE32-E72D297353CC}">
              <c16:uniqueId val="{00000004-A255-4EA1-88CA-B40AC04BC7AA}"/>
            </c:ext>
          </c:extLst>
        </c:ser>
        <c:ser>
          <c:idx val="4"/>
          <c:order val="5"/>
          <c:tx>
            <c:strRef>
              <c:f>'[ENGL-Odvětví grafy-2q-2021-nový.xlsx]výkonnost odvětví 2'!$A$36</c:f>
              <c:strCache>
                <c:ptCount val="1"/>
                <c:pt idx="0">
                  <c:v>Growth barrier: lack of workers</c:v>
                </c:pt>
              </c:strCache>
            </c:strRef>
          </c:tx>
          <c:spPr>
            <a:ln w="15875">
              <a:solidFill>
                <a:srgbClr val="00B050"/>
              </a:solidFill>
              <a:prstDash val="dash"/>
            </a:ln>
          </c:spPr>
          <c:marker>
            <c:symbol val="none"/>
          </c:marker>
          <c:cat>
            <c:multiLvlStrRef>
              <c:f>'[ENGL-Odvětví grafy-2q-2021-nový.xlsx]výkonnost odvětví 2'!$R$29:$AR$30</c:f>
              <c:multiLvlStrCache>
                <c:ptCount val="27"/>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lvl>
                <c:lvl>
                  <c:pt idx="0">
                    <c:v>2015</c:v>
                  </c:pt>
                  <c:pt idx="4">
                    <c:v>2016</c:v>
                  </c:pt>
                  <c:pt idx="8">
                    <c:v>2017</c:v>
                  </c:pt>
                  <c:pt idx="12">
                    <c:v>2018</c:v>
                  </c:pt>
                  <c:pt idx="16">
                    <c:v>2019</c:v>
                  </c:pt>
                  <c:pt idx="20">
                    <c:v>2020</c:v>
                  </c:pt>
                  <c:pt idx="24">
                    <c:v>2021</c:v>
                  </c:pt>
                </c:lvl>
              </c:multiLvlStrCache>
            </c:multiLvlStrRef>
          </c:cat>
          <c:val>
            <c:numRef>
              <c:f>'[ENGL-Odvětví grafy-2q-2021-nový.xlsx]výkonnost odvětví 2'!$R$36:$AR$36</c:f>
              <c:numCache>
                <c:formatCode>#\ ##0.0</c:formatCode>
                <c:ptCount val="27"/>
                <c:pt idx="0">
                  <c:v>6.7</c:v>
                </c:pt>
                <c:pt idx="1">
                  <c:v>6.9</c:v>
                </c:pt>
                <c:pt idx="2">
                  <c:v>8.1</c:v>
                </c:pt>
                <c:pt idx="3">
                  <c:v>13.9</c:v>
                </c:pt>
                <c:pt idx="4">
                  <c:v>15.4</c:v>
                </c:pt>
                <c:pt idx="5">
                  <c:v>16.899999999999999</c:v>
                </c:pt>
                <c:pt idx="6">
                  <c:v>18.8</c:v>
                </c:pt>
                <c:pt idx="7">
                  <c:v>28.8</c:v>
                </c:pt>
                <c:pt idx="8">
                  <c:v>32.799999999999997</c:v>
                </c:pt>
                <c:pt idx="9">
                  <c:v>34.700000000000003</c:v>
                </c:pt>
                <c:pt idx="10">
                  <c:v>41.3</c:v>
                </c:pt>
                <c:pt idx="11">
                  <c:v>38.299999999999997</c:v>
                </c:pt>
                <c:pt idx="12">
                  <c:v>43.4</c:v>
                </c:pt>
                <c:pt idx="13">
                  <c:v>43.7</c:v>
                </c:pt>
                <c:pt idx="14">
                  <c:v>43.7</c:v>
                </c:pt>
                <c:pt idx="15">
                  <c:v>44.8</c:v>
                </c:pt>
                <c:pt idx="16">
                  <c:v>38.799999999999997</c:v>
                </c:pt>
                <c:pt idx="17">
                  <c:v>36.4</c:v>
                </c:pt>
                <c:pt idx="18">
                  <c:v>39.5</c:v>
                </c:pt>
                <c:pt idx="19">
                  <c:v>37.200000000000003</c:v>
                </c:pt>
                <c:pt idx="20">
                  <c:v>28.2</c:v>
                </c:pt>
                <c:pt idx="21">
                  <c:v>16.600000000000001</c:v>
                </c:pt>
                <c:pt idx="22">
                  <c:v>15.1</c:v>
                </c:pt>
                <c:pt idx="23">
                  <c:v>13.7</c:v>
                </c:pt>
                <c:pt idx="24">
                  <c:v>20.3</c:v>
                </c:pt>
                <c:pt idx="25">
                  <c:v>21.5</c:v>
                </c:pt>
                <c:pt idx="26">
                  <c:v>26.2</c:v>
                </c:pt>
              </c:numCache>
            </c:numRef>
          </c:val>
          <c:smooth val="0"/>
          <c:extLst>
            <c:ext xmlns:c16="http://schemas.microsoft.com/office/drawing/2014/chart" uri="{C3380CC4-5D6E-409C-BE32-E72D297353CC}">
              <c16:uniqueId val="{00000005-A255-4EA1-88CA-B40AC04BC7AA}"/>
            </c:ext>
          </c:extLst>
        </c:ser>
        <c:ser>
          <c:idx val="6"/>
          <c:order val="6"/>
          <c:tx>
            <c:strRef>
              <c:f>'[ENGL-Odvětví grafy-2q-2021-nový.xlsx]výkonnost odvětví 2'!$A$37</c:f>
              <c:strCache>
                <c:ptCount val="1"/>
                <c:pt idx="0">
                  <c:v>Growth barrier: shortage of material and equipment</c:v>
                </c:pt>
              </c:strCache>
            </c:strRef>
          </c:tx>
          <c:spPr>
            <a:ln w="19050">
              <a:solidFill>
                <a:srgbClr val="92D050"/>
              </a:solidFill>
              <a:prstDash val="sysDash"/>
            </a:ln>
          </c:spPr>
          <c:marker>
            <c:symbol val="none"/>
          </c:marker>
          <c:cat>
            <c:multiLvlStrRef>
              <c:f>'[ENGL-Odvětví grafy-2q-2021-nový.xlsx]výkonnost odvětví 2'!$R$29:$AR$30</c:f>
              <c:multiLvlStrCache>
                <c:ptCount val="27"/>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lvl>
                <c:lvl>
                  <c:pt idx="0">
                    <c:v>2015</c:v>
                  </c:pt>
                  <c:pt idx="4">
                    <c:v>2016</c:v>
                  </c:pt>
                  <c:pt idx="8">
                    <c:v>2017</c:v>
                  </c:pt>
                  <c:pt idx="12">
                    <c:v>2018</c:v>
                  </c:pt>
                  <c:pt idx="16">
                    <c:v>2019</c:v>
                  </c:pt>
                  <c:pt idx="20">
                    <c:v>2020</c:v>
                  </c:pt>
                  <c:pt idx="24">
                    <c:v>2021</c:v>
                  </c:pt>
                </c:lvl>
              </c:multiLvlStrCache>
            </c:multiLvlStrRef>
          </c:cat>
          <c:val>
            <c:numRef>
              <c:f>'[ENGL-Odvětví grafy-2q-2021-nový.xlsx]výkonnost odvětví 2'!$R$37:$AR$37</c:f>
              <c:numCache>
                <c:formatCode>#\ ##0.0</c:formatCode>
                <c:ptCount val="27"/>
                <c:pt idx="0">
                  <c:v>7.8</c:v>
                </c:pt>
                <c:pt idx="1">
                  <c:v>10.1</c:v>
                </c:pt>
                <c:pt idx="2">
                  <c:v>10.5</c:v>
                </c:pt>
                <c:pt idx="3">
                  <c:v>10</c:v>
                </c:pt>
                <c:pt idx="4">
                  <c:v>11.1</c:v>
                </c:pt>
                <c:pt idx="5">
                  <c:v>7.1</c:v>
                </c:pt>
                <c:pt idx="6">
                  <c:v>8.5</c:v>
                </c:pt>
                <c:pt idx="7">
                  <c:v>7.8</c:v>
                </c:pt>
                <c:pt idx="8">
                  <c:v>9.9</c:v>
                </c:pt>
                <c:pt idx="9">
                  <c:v>7.8</c:v>
                </c:pt>
                <c:pt idx="10">
                  <c:v>10</c:v>
                </c:pt>
                <c:pt idx="11">
                  <c:v>20.8</c:v>
                </c:pt>
                <c:pt idx="12">
                  <c:v>13.9</c:v>
                </c:pt>
                <c:pt idx="13">
                  <c:v>12.8</c:v>
                </c:pt>
                <c:pt idx="14">
                  <c:v>14.1</c:v>
                </c:pt>
                <c:pt idx="15">
                  <c:v>20</c:v>
                </c:pt>
                <c:pt idx="16">
                  <c:v>27.1</c:v>
                </c:pt>
                <c:pt idx="17">
                  <c:v>26.8</c:v>
                </c:pt>
                <c:pt idx="18">
                  <c:v>23.8</c:v>
                </c:pt>
                <c:pt idx="19">
                  <c:v>9.4</c:v>
                </c:pt>
                <c:pt idx="20">
                  <c:v>17.399999999999999</c:v>
                </c:pt>
                <c:pt idx="21">
                  <c:v>11.5</c:v>
                </c:pt>
                <c:pt idx="22">
                  <c:v>7.6</c:v>
                </c:pt>
                <c:pt idx="23">
                  <c:v>8.6</c:v>
                </c:pt>
                <c:pt idx="24">
                  <c:v>19</c:v>
                </c:pt>
                <c:pt idx="25">
                  <c:v>31.2</c:v>
                </c:pt>
                <c:pt idx="26">
                  <c:v>46</c:v>
                </c:pt>
              </c:numCache>
            </c:numRef>
          </c:val>
          <c:smooth val="0"/>
          <c:extLst>
            <c:ext xmlns:c16="http://schemas.microsoft.com/office/drawing/2014/chart" uri="{C3380CC4-5D6E-409C-BE32-E72D297353CC}">
              <c16:uniqueId val="{00000006-A255-4EA1-88CA-B40AC04BC7AA}"/>
            </c:ext>
          </c:extLst>
        </c:ser>
        <c:dLbls>
          <c:showLegendKey val="0"/>
          <c:showVal val="0"/>
          <c:showCatName val="0"/>
          <c:showSerName val="0"/>
          <c:showPercent val="0"/>
          <c:showBubbleSize val="0"/>
        </c:dLbls>
        <c:marker val="1"/>
        <c:smooth val="0"/>
        <c:axId val="146478208"/>
        <c:axId val="139177344"/>
      </c:lineChart>
      <c:catAx>
        <c:axId val="139174272"/>
        <c:scaling>
          <c:orientation val="minMax"/>
        </c:scaling>
        <c:delete val="0"/>
        <c:axPos val="b"/>
        <c:numFmt formatCode="General" sourceLinked="1"/>
        <c:majorTickMark val="out"/>
        <c:minorTickMark val="none"/>
        <c:tickLblPos val="low"/>
        <c:spPr>
          <a:ln w="9525">
            <a:solidFill>
              <a:schemeClr val="tx1"/>
            </a:solidFill>
            <a:prstDash val="solid"/>
          </a:ln>
        </c:spPr>
        <c:txPr>
          <a:bodyPr rot="0" vert="horz"/>
          <a:lstStyle/>
          <a:p>
            <a:pPr>
              <a:defRPr/>
            </a:pPr>
            <a:endParaRPr lang="cs-CZ"/>
          </a:p>
        </c:txPr>
        <c:crossAx val="139175808"/>
        <c:crossesAt val="0"/>
        <c:auto val="0"/>
        <c:lblAlgn val="ctr"/>
        <c:lblOffset val="0"/>
        <c:tickLblSkip val="1"/>
        <c:tickMarkSkip val="4"/>
        <c:noMultiLvlLbl val="0"/>
      </c:catAx>
      <c:valAx>
        <c:axId val="139175808"/>
        <c:scaling>
          <c:orientation val="minMax"/>
          <c:max val="90"/>
          <c:min val="-50"/>
        </c:scaling>
        <c:delete val="0"/>
        <c:axPos val="l"/>
        <c:majorGridlines>
          <c:spPr>
            <a:ln w="6350">
              <a:solidFill>
                <a:schemeClr val="bg1">
                  <a:lumMod val="75000"/>
                </a:schemeClr>
              </a:solidFill>
            </a:ln>
          </c:spPr>
        </c:majorGridlines>
        <c:title>
          <c:tx>
            <c:rich>
              <a:bodyPr/>
              <a:lstStyle/>
              <a:p>
                <a:pPr>
                  <a:defRPr sz="700" i="1"/>
                </a:pPr>
                <a:r>
                  <a:rPr lang="cs-CZ" sz="700" i="1"/>
                  <a:t>Orders</a:t>
                </a:r>
              </a:p>
            </c:rich>
          </c:tx>
          <c:overlay val="0"/>
        </c:title>
        <c:numFmt formatCode="0" sourceLinked="0"/>
        <c:majorTickMark val="out"/>
        <c:minorTickMark val="none"/>
        <c:tickLblPos val="nextTo"/>
        <c:spPr>
          <a:ln w="9525">
            <a:solidFill>
              <a:schemeClr val="tx1"/>
            </a:solidFill>
            <a:prstDash val="solid"/>
          </a:ln>
        </c:spPr>
        <c:txPr>
          <a:bodyPr rot="0" vert="horz"/>
          <a:lstStyle/>
          <a:p>
            <a:pPr>
              <a:defRPr/>
            </a:pPr>
            <a:endParaRPr lang="cs-CZ"/>
          </a:p>
        </c:txPr>
        <c:crossAx val="139174272"/>
        <c:crosses val="autoZero"/>
        <c:crossBetween val="between"/>
        <c:majorUnit val="10"/>
      </c:valAx>
      <c:valAx>
        <c:axId val="139177344"/>
        <c:scaling>
          <c:orientation val="minMax"/>
          <c:max val="100"/>
          <c:min val="0"/>
        </c:scaling>
        <c:delete val="0"/>
        <c:axPos val="r"/>
        <c:title>
          <c:tx>
            <c:rich>
              <a:bodyPr/>
              <a:lstStyle/>
              <a:p>
                <a:pPr>
                  <a:defRPr sz="700" b="0" i="1"/>
                </a:pPr>
                <a:r>
                  <a:rPr lang="cs-CZ" sz="700" b="0" i="1"/>
                  <a:t>Utilisation of production capacities, growth barriers</a:t>
                </a:r>
              </a:p>
            </c:rich>
          </c:tx>
          <c:layout>
            <c:manualLayout>
              <c:xMode val="edge"/>
              <c:yMode val="edge"/>
              <c:x val="0.97051500785387868"/>
              <c:y val="9.0101848828605488E-2"/>
            </c:manualLayout>
          </c:layout>
          <c:overlay val="0"/>
        </c:title>
        <c:numFmt formatCode="0" sourceLinked="0"/>
        <c:majorTickMark val="out"/>
        <c:minorTickMark val="none"/>
        <c:tickLblPos val="nextTo"/>
        <c:crossAx val="146478208"/>
        <c:crosses val="max"/>
        <c:crossBetween val="between"/>
      </c:valAx>
      <c:catAx>
        <c:axId val="146478208"/>
        <c:scaling>
          <c:orientation val="minMax"/>
        </c:scaling>
        <c:delete val="1"/>
        <c:axPos val="b"/>
        <c:numFmt formatCode="General" sourceLinked="1"/>
        <c:majorTickMark val="out"/>
        <c:minorTickMark val="none"/>
        <c:tickLblPos val="none"/>
        <c:crossAx val="139177344"/>
        <c:crosses val="autoZero"/>
        <c:auto val="1"/>
        <c:lblAlgn val="ctr"/>
        <c:lblOffset val="100"/>
        <c:noMultiLvlLbl val="0"/>
      </c:catAx>
      <c:spPr>
        <a:solidFill>
          <a:srgbClr val="FFFFFF"/>
        </a:solidFill>
        <a:ln w="9525">
          <a:solidFill>
            <a:schemeClr val="tx1"/>
          </a:solidFill>
        </a:ln>
      </c:spPr>
    </c:plotArea>
    <c:legend>
      <c:legendPos val="r"/>
      <c:layout>
        <c:manualLayout>
          <c:xMode val="edge"/>
          <c:yMode val="edge"/>
          <c:x val="6.9305306027945088E-2"/>
          <c:y val="0.80228398417506452"/>
          <c:w val="0.85883515433920321"/>
          <c:h val="0.1941540071843299"/>
        </c:manualLayout>
      </c:layout>
      <c:overlay val="0"/>
      <c:spPr>
        <a:ln>
          <a:solidFill>
            <a:schemeClr val="bg1">
              <a:lumMod val="50000"/>
            </a:schemeClr>
          </a:solidFill>
        </a:ln>
      </c:spPr>
    </c:legend>
    <c:plotVisOnly val="1"/>
    <c:dispBlanksAs val="gap"/>
    <c:showDLblsOverMax val="0"/>
  </c:chart>
  <c:spPr>
    <a:solidFill>
      <a:srgbClr val="FFFFFF"/>
    </a:solidFill>
    <a:ln w="3175">
      <a:noFill/>
      <a:prstDash val="solid"/>
    </a:ln>
  </c:spPr>
  <c:txPr>
    <a:bodyPr/>
    <a:lstStyle/>
    <a:p>
      <a:pPr>
        <a:defRPr sz="800" b="0" i="0" u="none" strike="noStrike" baseline="0">
          <a:solidFill>
            <a:srgbClr val="000000"/>
          </a:solidFill>
          <a:latin typeface="Arial CE"/>
          <a:ea typeface="Arial CE"/>
          <a:cs typeface="Arial CE"/>
        </a:defRPr>
      </a:pPr>
      <a:endParaRPr lang="cs-CZ"/>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6.9528655934435024E-2"/>
          <c:y val="1.6563187842952781E-2"/>
          <c:w val="0.85309492009152854"/>
          <c:h val="0.75433571654769893"/>
        </c:manualLayout>
      </c:layout>
      <c:barChart>
        <c:barDir val="col"/>
        <c:grouping val="stacked"/>
        <c:varyColors val="0"/>
        <c:ser>
          <c:idx val="1"/>
          <c:order val="1"/>
          <c:tx>
            <c:strRef>
              <c:f>'výkonnost odvětví 3'!$Y$10</c:f>
              <c:strCache>
                <c:ptCount val="1"/>
                <c:pt idx="0">
                  <c:v>Building construction</c:v>
                </c:pt>
              </c:strCache>
            </c:strRef>
          </c:tx>
          <c:spPr>
            <a:solidFill>
              <a:srgbClr val="A6CDE9"/>
            </a:solidFill>
            <a:ln w="19050">
              <a:noFill/>
              <a:prstDash val="solid"/>
            </a:ln>
          </c:spPr>
          <c:invertIfNegative val="0"/>
          <c:cat>
            <c:multiLvlStrRef>
              <c:f>'výkonnost odvětví 3'!$V$31:$W$57</c:f>
              <c:multiLvlStrCache>
                <c:ptCount val="27"/>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lvl>
                <c:lvl>
                  <c:pt idx="0">
                    <c:v>2015</c:v>
                  </c:pt>
                  <c:pt idx="4">
                    <c:v>2016</c:v>
                  </c:pt>
                  <c:pt idx="8">
                    <c:v>2017</c:v>
                  </c:pt>
                  <c:pt idx="12">
                    <c:v>2018</c:v>
                  </c:pt>
                  <c:pt idx="16">
                    <c:v>2019</c:v>
                  </c:pt>
                  <c:pt idx="20">
                    <c:v>2020</c:v>
                  </c:pt>
                  <c:pt idx="24">
                    <c:v>2021</c:v>
                  </c:pt>
                </c:lvl>
              </c:multiLvlStrCache>
            </c:multiLvlStrRef>
          </c:cat>
          <c:val>
            <c:numRef>
              <c:f>'výkonnost odvětví 3'!$Y$31:$Y$57</c:f>
              <c:numCache>
                <c:formatCode>0.0</c:formatCode>
                <c:ptCount val="27"/>
                <c:pt idx="0">
                  <c:v>6.0472691415550308</c:v>
                </c:pt>
                <c:pt idx="1">
                  <c:v>5.0361785279850331</c:v>
                </c:pt>
                <c:pt idx="2">
                  <c:v>0.79284647800469443</c:v>
                </c:pt>
                <c:pt idx="3">
                  <c:v>-1.7469503076723902</c:v>
                </c:pt>
                <c:pt idx="4">
                  <c:v>-4.9966395973466113</c:v>
                </c:pt>
                <c:pt idx="5">
                  <c:v>-4.9257017459251742</c:v>
                </c:pt>
                <c:pt idx="6">
                  <c:v>0.77276571096827207</c:v>
                </c:pt>
                <c:pt idx="7">
                  <c:v>3.9335414535585005</c:v>
                </c:pt>
                <c:pt idx="8">
                  <c:v>2.3671560586056022</c:v>
                </c:pt>
                <c:pt idx="9">
                  <c:v>9.8680621909171364</c:v>
                </c:pt>
                <c:pt idx="10">
                  <c:v>3.4017933101817137</c:v>
                </c:pt>
                <c:pt idx="11">
                  <c:v>2.6470410387980881</c:v>
                </c:pt>
                <c:pt idx="12">
                  <c:v>13.566805669626437</c:v>
                </c:pt>
                <c:pt idx="13">
                  <c:v>6.3014309761028438</c:v>
                </c:pt>
                <c:pt idx="14">
                  <c:v>7.6955191405999477</c:v>
                </c:pt>
                <c:pt idx="15">
                  <c:v>2.4925933032829257</c:v>
                </c:pt>
                <c:pt idx="16">
                  <c:v>2.8991265346082757</c:v>
                </c:pt>
                <c:pt idx="17">
                  <c:v>2.4161064271216639</c:v>
                </c:pt>
                <c:pt idx="18">
                  <c:v>-0.67044140108437589</c:v>
                </c:pt>
                <c:pt idx="19">
                  <c:v>2.416093622463102</c:v>
                </c:pt>
                <c:pt idx="20">
                  <c:v>-0.33918173121542228</c:v>
                </c:pt>
                <c:pt idx="21">
                  <c:v>-7.4193975140058424</c:v>
                </c:pt>
                <c:pt idx="22">
                  <c:v>-7.1727603765696051</c:v>
                </c:pt>
                <c:pt idx="23">
                  <c:v>-8.6187108971115816</c:v>
                </c:pt>
                <c:pt idx="24">
                  <c:v>-5.4842868872233632</c:v>
                </c:pt>
                <c:pt idx="25">
                  <c:v>1.8124446445232327</c:v>
                </c:pt>
                <c:pt idx="26">
                  <c:v>0.95832621497377113</c:v>
                </c:pt>
              </c:numCache>
            </c:numRef>
          </c:val>
          <c:extLst>
            <c:ext xmlns:c16="http://schemas.microsoft.com/office/drawing/2014/chart" uri="{C3380CC4-5D6E-409C-BE32-E72D297353CC}">
              <c16:uniqueId val="{00000000-55E9-44B9-952F-3345EE5DE980}"/>
            </c:ext>
          </c:extLst>
        </c:ser>
        <c:ser>
          <c:idx val="2"/>
          <c:order val="2"/>
          <c:tx>
            <c:strRef>
              <c:f>'výkonnost odvětví 3'!$Z$10</c:f>
              <c:strCache>
                <c:ptCount val="1"/>
                <c:pt idx="0">
                  <c:v>Civil engineering construction</c:v>
                </c:pt>
              </c:strCache>
            </c:strRef>
          </c:tx>
          <c:spPr>
            <a:solidFill>
              <a:srgbClr val="E8AFB2"/>
            </a:solidFill>
            <a:ln w="19050">
              <a:noFill/>
              <a:prstDash val="solid"/>
            </a:ln>
          </c:spPr>
          <c:invertIfNegative val="0"/>
          <c:cat>
            <c:multiLvlStrRef>
              <c:f>'výkonnost odvětví 3'!$V$31:$W$57</c:f>
              <c:multiLvlStrCache>
                <c:ptCount val="27"/>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lvl>
                <c:lvl>
                  <c:pt idx="0">
                    <c:v>2015</c:v>
                  </c:pt>
                  <c:pt idx="4">
                    <c:v>2016</c:v>
                  </c:pt>
                  <c:pt idx="8">
                    <c:v>2017</c:v>
                  </c:pt>
                  <c:pt idx="12">
                    <c:v>2018</c:v>
                  </c:pt>
                  <c:pt idx="16">
                    <c:v>2019</c:v>
                  </c:pt>
                  <c:pt idx="20">
                    <c:v>2020</c:v>
                  </c:pt>
                  <c:pt idx="24">
                    <c:v>2021</c:v>
                  </c:pt>
                </c:lvl>
              </c:multiLvlStrCache>
            </c:multiLvlStrRef>
          </c:cat>
          <c:val>
            <c:numRef>
              <c:f>'výkonnost odvětví 3'!$Z$31:$Z$57</c:f>
              <c:numCache>
                <c:formatCode>0.0</c:formatCode>
                <c:ptCount val="27"/>
                <c:pt idx="0">
                  <c:v>3.2371734793492286</c:v>
                </c:pt>
                <c:pt idx="1">
                  <c:v>7.2133653363142445</c:v>
                </c:pt>
                <c:pt idx="2">
                  <c:v>7.3965728347939308</c:v>
                </c:pt>
                <c:pt idx="3">
                  <c:v>2.855138673774563</c:v>
                </c:pt>
                <c:pt idx="4">
                  <c:v>-1.2748612346910093</c:v>
                </c:pt>
                <c:pt idx="5">
                  <c:v>-5.414778412052824</c:v>
                </c:pt>
                <c:pt idx="6">
                  <c:v>-7.0615948905346464</c:v>
                </c:pt>
                <c:pt idx="7">
                  <c:v>-5.9113799674669414</c:v>
                </c:pt>
                <c:pt idx="8">
                  <c:v>-3.3927259981365467</c:v>
                </c:pt>
                <c:pt idx="9">
                  <c:v>-1.198952761717637</c:v>
                </c:pt>
                <c:pt idx="10">
                  <c:v>-1.5292517461591122</c:v>
                </c:pt>
                <c:pt idx="11">
                  <c:v>0.24904908942130594</c:v>
                </c:pt>
                <c:pt idx="12">
                  <c:v>1.7517060590922457</c:v>
                </c:pt>
                <c:pt idx="13">
                  <c:v>1.2046321635544115</c:v>
                </c:pt>
                <c:pt idx="14">
                  <c:v>4.7152862062363932</c:v>
                </c:pt>
                <c:pt idx="15">
                  <c:v>1.8992954479389978</c:v>
                </c:pt>
                <c:pt idx="16">
                  <c:v>0.73586870212531541</c:v>
                </c:pt>
                <c:pt idx="17">
                  <c:v>1.8713674836205678</c:v>
                </c:pt>
                <c:pt idx="18">
                  <c:v>0.75615189920903703</c:v>
                </c:pt>
                <c:pt idx="19">
                  <c:v>0.84449513778573204</c:v>
                </c:pt>
                <c:pt idx="20">
                  <c:v>3.2042596941285559</c:v>
                </c:pt>
                <c:pt idx="21">
                  <c:v>1.2156790684783816</c:v>
                </c:pt>
                <c:pt idx="22">
                  <c:v>-1.8725018139646268</c:v>
                </c:pt>
                <c:pt idx="23">
                  <c:v>0.34408386896870419</c:v>
                </c:pt>
                <c:pt idx="24">
                  <c:v>-1.6340021483392655E-2</c:v>
                </c:pt>
                <c:pt idx="25">
                  <c:v>1.6179575882962347</c:v>
                </c:pt>
                <c:pt idx="26">
                  <c:v>1.4893172756810871</c:v>
                </c:pt>
              </c:numCache>
            </c:numRef>
          </c:val>
          <c:extLst>
            <c:ext xmlns:c16="http://schemas.microsoft.com/office/drawing/2014/chart" uri="{C3380CC4-5D6E-409C-BE32-E72D297353CC}">
              <c16:uniqueId val="{00000001-55E9-44B9-952F-3345EE5DE980}"/>
            </c:ext>
          </c:extLst>
        </c:ser>
        <c:dLbls>
          <c:showLegendKey val="0"/>
          <c:showVal val="0"/>
          <c:showCatName val="0"/>
          <c:showSerName val="0"/>
          <c:showPercent val="0"/>
          <c:showBubbleSize val="0"/>
        </c:dLbls>
        <c:gapWidth val="24"/>
        <c:overlap val="100"/>
        <c:axId val="147432960"/>
        <c:axId val="147434496"/>
      </c:barChart>
      <c:lineChart>
        <c:grouping val="standard"/>
        <c:varyColors val="0"/>
        <c:ser>
          <c:idx val="0"/>
          <c:order val="0"/>
          <c:tx>
            <c:strRef>
              <c:f>'výkonnost odvětví 3'!$X$10</c:f>
              <c:strCache>
                <c:ptCount val="1"/>
                <c:pt idx="0">
                  <c:v>Total construction output</c:v>
                </c:pt>
              </c:strCache>
            </c:strRef>
          </c:tx>
          <c:spPr>
            <a:ln>
              <a:noFill/>
            </a:ln>
          </c:spPr>
          <c:marker>
            <c:symbol val="dash"/>
            <c:size val="9"/>
            <c:spPr>
              <a:solidFill>
                <a:schemeClr val="tx1">
                  <a:lumMod val="95000"/>
                  <a:lumOff val="5000"/>
                </a:schemeClr>
              </a:solidFill>
              <a:ln>
                <a:noFill/>
              </a:ln>
            </c:spPr>
          </c:marker>
          <c:cat>
            <c:multiLvlStrRef>
              <c:f>'výkonnost odvětví 3'!$V$31:$W$57</c:f>
              <c:multiLvlStrCache>
                <c:ptCount val="27"/>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lvl>
                <c:lvl>
                  <c:pt idx="0">
                    <c:v>2015</c:v>
                  </c:pt>
                  <c:pt idx="4">
                    <c:v>2016</c:v>
                  </c:pt>
                  <c:pt idx="8">
                    <c:v>2017</c:v>
                  </c:pt>
                  <c:pt idx="12">
                    <c:v>2018</c:v>
                  </c:pt>
                  <c:pt idx="16">
                    <c:v>2019</c:v>
                  </c:pt>
                  <c:pt idx="20">
                    <c:v>2020</c:v>
                  </c:pt>
                  <c:pt idx="24">
                    <c:v>2021</c:v>
                  </c:pt>
                </c:lvl>
              </c:multiLvlStrCache>
            </c:multiLvlStrRef>
          </c:cat>
          <c:val>
            <c:numRef>
              <c:f>'výkonnost odvětví 3'!$X$31:$X$57</c:f>
              <c:numCache>
                <c:formatCode>0.0</c:formatCode>
                <c:ptCount val="27"/>
                <c:pt idx="0">
                  <c:v>9.2017765228224988</c:v>
                </c:pt>
                <c:pt idx="1">
                  <c:v>11.980043538808332</c:v>
                </c:pt>
                <c:pt idx="2">
                  <c:v>7.8286342656312939</c:v>
                </c:pt>
                <c:pt idx="3">
                  <c:v>0.94557774780092529</c:v>
                </c:pt>
                <c:pt idx="4">
                  <c:v>-6.2824122661548785</c:v>
                </c:pt>
                <c:pt idx="5">
                  <c:v>-10.194427090117628</c:v>
                </c:pt>
                <c:pt idx="6">
                  <c:v>-5.917849407755682</c:v>
                </c:pt>
                <c:pt idx="7">
                  <c:v>-1.6490685502181321</c:v>
                </c:pt>
                <c:pt idx="8">
                  <c:v>-0.79880269419055594</c:v>
                </c:pt>
                <c:pt idx="9">
                  <c:v>8.9534675343638526</c:v>
                </c:pt>
                <c:pt idx="10">
                  <c:v>2.0444749820850632</c:v>
                </c:pt>
                <c:pt idx="11">
                  <c:v>2.9396785672127379</c:v>
                </c:pt>
                <c:pt idx="12">
                  <c:v>15.317302207920179</c:v>
                </c:pt>
                <c:pt idx="13">
                  <c:v>7.5063094273893398</c:v>
                </c:pt>
                <c:pt idx="14">
                  <c:v>12.406544540651936</c:v>
                </c:pt>
                <c:pt idx="15">
                  <c:v>4.3180623617480762</c:v>
                </c:pt>
                <c:pt idx="16">
                  <c:v>3.6346322356212539</c:v>
                </c:pt>
                <c:pt idx="17">
                  <c:v>4.2888988271298842</c:v>
                </c:pt>
                <c:pt idx="18">
                  <c:v>8.6862748706039383E-2</c:v>
                </c:pt>
                <c:pt idx="19">
                  <c:v>3.2606251776515762</c:v>
                </c:pt>
                <c:pt idx="20">
                  <c:v>2.8649648216544392</c:v>
                </c:pt>
                <c:pt idx="21">
                  <c:v>-6.2024596600145259</c:v>
                </c:pt>
                <c:pt idx="22">
                  <c:v>-9.0466947127630135</c:v>
                </c:pt>
                <c:pt idx="23">
                  <c:v>-8.2756255759856003</c:v>
                </c:pt>
                <c:pt idx="24">
                  <c:v>-5.5002420655324329</c:v>
                </c:pt>
                <c:pt idx="25">
                  <c:v>3.4312458290330028</c:v>
                </c:pt>
                <c:pt idx="26">
                  <c:v>2.4486999965538416</c:v>
                </c:pt>
              </c:numCache>
            </c:numRef>
          </c:val>
          <c:smooth val="0"/>
          <c:extLst>
            <c:ext xmlns:c16="http://schemas.microsoft.com/office/drawing/2014/chart" uri="{C3380CC4-5D6E-409C-BE32-E72D297353CC}">
              <c16:uniqueId val="{00000002-55E9-44B9-952F-3345EE5DE980}"/>
            </c:ext>
          </c:extLst>
        </c:ser>
        <c:dLbls>
          <c:showLegendKey val="0"/>
          <c:showVal val="0"/>
          <c:showCatName val="0"/>
          <c:showSerName val="0"/>
          <c:showPercent val="0"/>
          <c:showBubbleSize val="0"/>
        </c:dLbls>
        <c:marker val="1"/>
        <c:smooth val="0"/>
        <c:axId val="147432960"/>
        <c:axId val="147434496"/>
      </c:lineChart>
      <c:lineChart>
        <c:grouping val="standard"/>
        <c:varyColors val="0"/>
        <c:ser>
          <c:idx val="3"/>
          <c:order val="3"/>
          <c:tx>
            <c:strRef>
              <c:f>'výkonnost odvětví 3'!$AA$10</c:f>
              <c:strCache>
                <c:ptCount val="1"/>
                <c:pt idx="0">
                  <c:v>New domestic construction orders </c:v>
                </c:pt>
              </c:strCache>
            </c:strRef>
          </c:tx>
          <c:spPr>
            <a:ln w="15875">
              <a:solidFill>
                <a:srgbClr val="984807"/>
              </a:solidFill>
              <a:prstDash val="solid"/>
            </a:ln>
          </c:spPr>
          <c:marker>
            <c:symbol val="none"/>
          </c:marker>
          <c:cat>
            <c:multiLvlStrRef>
              <c:f>'výkonnost odvětví 3'!$V$31:$W$57</c:f>
              <c:multiLvlStrCache>
                <c:ptCount val="27"/>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lvl>
                <c:lvl>
                  <c:pt idx="0">
                    <c:v>2015</c:v>
                  </c:pt>
                  <c:pt idx="4">
                    <c:v>2016</c:v>
                  </c:pt>
                  <c:pt idx="8">
                    <c:v>2017</c:v>
                  </c:pt>
                  <c:pt idx="12">
                    <c:v>2018</c:v>
                  </c:pt>
                  <c:pt idx="16">
                    <c:v>2019</c:v>
                  </c:pt>
                  <c:pt idx="20">
                    <c:v>2020</c:v>
                  </c:pt>
                  <c:pt idx="24">
                    <c:v>2021</c:v>
                  </c:pt>
                </c:lvl>
              </c:multiLvlStrCache>
            </c:multiLvlStrRef>
          </c:cat>
          <c:val>
            <c:numRef>
              <c:f>'výkonnost odvětví 3'!$AA$31:$AA$57</c:f>
              <c:numCache>
                <c:formatCode>0.0</c:formatCode>
                <c:ptCount val="27"/>
                <c:pt idx="0">
                  <c:v>-3.1547956675580053</c:v>
                </c:pt>
                <c:pt idx="1">
                  <c:v>9.7504961091663205</c:v>
                </c:pt>
                <c:pt idx="2">
                  <c:v>-1.097606022761255</c:v>
                </c:pt>
                <c:pt idx="3">
                  <c:v>-2.3987783410040464</c:v>
                </c:pt>
                <c:pt idx="4">
                  <c:v>-6.6406358945753823</c:v>
                </c:pt>
                <c:pt idx="5">
                  <c:v>-0.49977652269311079</c:v>
                </c:pt>
                <c:pt idx="6">
                  <c:v>-7.0322087253454839</c:v>
                </c:pt>
                <c:pt idx="7">
                  <c:v>10.122126124559955</c:v>
                </c:pt>
                <c:pt idx="8">
                  <c:v>16.177217458847437</c:v>
                </c:pt>
                <c:pt idx="9">
                  <c:v>9.5350878984013008</c:v>
                </c:pt>
                <c:pt idx="10">
                  <c:v>-1.2817324431350698</c:v>
                </c:pt>
                <c:pt idx="11">
                  <c:v>15.620806693503823</c:v>
                </c:pt>
                <c:pt idx="12">
                  <c:v>30.10697387368856</c:v>
                </c:pt>
                <c:pt idx="13">
                  <c:v>32.836878110611963</c:v>
                </c:pt>
                <c:pt idx="14">
                  <c:v>5.2768249907951201</c:v>
                </c:pt>
                <c:pt idx="15">
                  <c:v>1.8944565811032277</c:v>
                </c:pt>
                <c:pt idx="16">
                  <c:v>14.157245632065781</c:v>
                </c:pt>
                <c:pt idx="17">
                  <c:v>-9.3849543241233135</c:v>
                </c:pt>
                <c:pt idx="18">
                  <c:v>17.407871000993993</c:v>
                </c:pt>
                <c:pt idx="19">
                  <c:v>5.8323004254463768</c:v>
                </c:pt>
                <c:pt idx="20">
                  <c:v>-12.441635069859245</c:v>
                </c:pt>
                <c:pt idx="21">
                  <c:v>7.497345722028669</c:v>
                </c:pt>
                <c:pt idx="22">
                  <c:v>2.0599736606932879</c:v>
                </c:pt>
                <c:pt idx="23">
                  <c:v>7.5507850088630164</c:v>
                </c:pt>
                <c:pt idx="24">
                  <c:v>28.188227371706034</c:v>
                </c:pt>
                <c:pt idx="25">
                  <c:v>21.356647205514562</c:v>
                </c:pt>
              </c:numCache>
            </c:numRef>
          </c:val>
          <c:smooth val="0"/>
          <c:extLst>
            <c:ext xmlns:c16="http://schemas.microsoft.com/office/drawing/2014/chart" uri="{C3380CC4-5D6E-409C-BE32-E72D297353CC}">
              <c16:uniqueId val="{00000003-55E9-44B9-952F-3345EE5DE980}"/>
            </c:ext>
          </c:extLst>
        </c:ser>
        <c:ser>
          <c:idx val="4"/>
          <c:order val="4"/>
          <c:tx>
            <c:strRef>
              <c:f>'výkonnost odvětví 3'!$AB$10</c:f>
              <c:strCache>
                <c:ptCount val="1"/>
                <c:pt idx="0">
                  <c:v>Growth barrier: inadequate demand </c:v>
                </c:pt>
              </c:strCache>
            </c:strRef>
          </c:tx>
          <c:spPr>
            <a:ln w="15875">
              <a:solidFill>
                <a:srgbClr val="00B050"/>
              </a:solidFill>
            </a:ln>
          </c:spPr>
          <c:marker>
            <c:symbol val="none"/>
          </c:marker>
          <c:cat>
            <c:multiLvlStrRef>
              <c:f>'výkonnost odvětví 3'!$V$31:$W$57</c:f>
              <c:multiLvlStrCache>
                <c:ptCount val="27"/>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lvl>
                <c:lvl>
                  <c:pt idx="0">
                    <c:v>2015</c:v>
                  </c:pt>
                  <c:pt idx="4">
                    <c:v>2016</c:v>
                  </c:pt>
                  <c:pt idx="8">
                    <c:v>2017</c:v>
                  </c:pt>
                  <c:pt idx="12">
                    <c:v>2018</c:v>
                  </c:pt>
                  <c:pt idx="16">
                    <c:v>2019</c:v>
                  </c:pt>
                  <c:pt idx="20">
                    <c:v>2020</c:v>
                  </c:pt>
                  <c:pt idx="24">
                    <c:v>2021</c:v>
                  </c:pt>
                </c:lvl>
              </c:multiLvlStrCache>
            </c:multiLvlStrRef>
          </c:cat>
          <c:val>
            <c:numRef>
              <c:f>'výkonnost odvětví 3'!$AB$31:$AB$57</c:f>
              <c:numCache>
                <c:formatCode>#\ ##0.0</c:formatCode>
                <c:ptCount val="27"/>
                <c:pt idx="0">
                  <c:v>65.8</c:v>
                </c:pt>
                <c:pt idx="1">
                  <c:v>60.4</c:v>
                </c:pt>
                <c:pt idx="2">
                  <c:v>58.9</c:v>
                </c:pt>
                <c:pt idx="3">
                  <c:v>57.6</c:v>
                </c:pt>
                <c:pt idx="4">
                  <c:v>54.5</c:v>
                </c:pt>
                <c:pt idx="5">
                  <c:v>61.1</c:v>
                </c:pt>
                <c:pt idx="6">
                  <c:v>60.4</c:v>
                </c:pt>
                <c:pt idx="7">
                  <c:v>57</c:v>
                </c:pt>
                <c:pt idx="8">
                  <c:v>53.9</c:v>
                </c:pt>
                <c:pt idx="9">
                  <c:v>54.3</c:v>
                </c:pt>
                <c:pt idx="10">
                  <c:v>50</c:v>
                </c:pt>
                <c:pt idx="11">
                  <c:v>48.3</c:v>
                </c:pt>
                <c:pt idx="12">
                  <c:v>40.299999999999997</c:v>
                </c:pt>
                <c:pt idx="13">
                  <c:v>38.200000000000003</c:v>
                </c:pt>
                <c:pt idx="14">
                  <c:v>33.4</c:v>
                </c:pt>
                <c:pt idx="15">
                  <c:v>24.1</c:v>
                </c:pt>
                <c:pt idx="16">
                  <c:v>25.4</c:v>
                </c:pt>
                <c:pt idx="17">
                  <c:v>23.3</c:v>
                </c:pt>
                <c:pt idx="18">
                  <c:v>17.899999999999999</c:v>
                </c:pt>
                <c:pt idx="19">
                  <c:v>20.9</c:v>
                </c:pt>
                <c:pt idx="20">
                  <c:v>30.3</c:v>
                </c:pt>
                <c:pt idx="21">
                  <c:v>29.3</c:v>
                </c:pt>
                <c:pt idx="22">
                  <c:v>38.799999999999997</c:v>
                </c:pt>
                <c:pt idx="23" formatCode="General">
                  <c:v>41.2</c:v>
                </c:pt>
                <c:pt idx="24">
                  <c:v>31.3</c:v>
                </c:pt>
                <c:pt idx="25">
                  <c:v>34.200000000000003</c:v>
                </c:pt>
                <c:pt idx="26">
                  <c:v>23.8</c:v>
                </c:pt>
              </c:numCache>
            </c:numRef>
          </c:val>
          <c:smooth val="0"/>
          <c:extLst>
            <c:ext xmlns:c16="http://schemas.microsoft.com/office/drawing/2014/chart" uri="{C3380CC4-5D6E-409C-BE32-E72D297353CC}">
              <c16:uniqueId val="{00000004-55E9-44B9-952F-3345EE5DE980}"/>
            </c:ext>
          </c:extLst>
        </c:ser>
        <c:ser>
          <c:idx val="5"/>
          <c:order val="5"/>
          <c:tx>
            <c:strRef>
              <c:f>'výkonnost odvětví 3'!$AC$10</c:f>
              <c:strCache>
                <c:ptCount val="1"/>
                <c:pt idx="0">
                  <c:v>Growth barrier: lack of workers</c:v>
                </c:pt>
              </c:strCache>
            </c:strRef>
          </c:tx>
          <c:spPr>
            <a:ln w="15875">
              <a:solidFill>
                <a:srgbClr val="00B050"/>
              </a:solidFill>
              <a:prstDash val="sysDash"/>
            </a:ln>
          </c:spPr>
          <c:marker>
            <c:symbol val="none"/>
          </c:marker>
          <c:cat>
            <c:multiLvlStrRef>
              <c:f>'výkonnost odvětví 3'!$V$31:$W$57</c:f>
              <c:multiLvlStrCache>
                <c:ptCount val="27"/>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lvl>
                <c:lvl>
                  <c:pt idx="0">
                    <c:v>2015</c:v>
                  </c:pt>
                  <c:pt idx="4">
                    <c:v>2016</c:v>
                  </c:pt>
                  <c:pt idx="8">
                    <c:v>2017</c:v>
                  </c:pt>
                  <c:pt idx="12">
                    <c:v>2018</c:v>
                  </c:pt>
                  <c:pt idx="16">
                    <c:v>2019</c:v>
                  </c:pt>
                  <c:pt idx="20">
                    <c:v>2020</c:v>
                  </c:pt>
                  <c:pt idx="24">
                    <c:v>2021</c:v>
                  </c:pt>
                </c:lvl>
              </c:multiLvlStrCache>
            </c:multiLvlStrRef>
          </c:cat>
          <c:val>
            <c:numRef>
              <c:f>'výkonnost odvětví 3'!$AC$31:$AC$57</c:f>
              <c:numCache>
                <c:formatCode>#\ ##0.0</c:formatCode>
                <c:ptCount val="27"/>
                <c:pt idx="0">
                  <c:v>6.8</c:v>
                </c:pt>
                <c:pt idx="1">
                  <c:v>7.9</c:v>
                </c:pt>
                <c:pt idx="2">
                  <c:v>7.2</c:v>
                </c:pt>
                <c:pt idx="3">
                  <c:v>7</c:v>
                </c:pt>
                <c:pt idx="4">
                  <c:v>5.8</c:v>
                </c:pt>
                <c:pt idx="5">
                  <c:v>6.7</c:v>
                </c:pt>
                <c:pt idx="6">
                  <c:v>7.8</c:v>
                </c:pt>
                <c:pt idx="7">
                  <c:v>10.7</c:v>
                </c:pt>
                <c:pt idx="8">
                  <c:v>11.5</c:v>
                </c:pt>
                <c:pt idx="9">
                  <c:v>14</c:v>
                </c:pt>
                <c:pt idx="10">
                  <c:v>22.7</c:v>
                </c:pt>
                <c:pt idx="11">
                  <c:v>23.1</c:v>
                </c:pt>
                <c:pt idx="12">
                  <c:v>23.5</c:v>
                </c:pt>
                <c:pt idx="13">
                  <c:v>29.3</c:v>
                </c:pt>
                <c:pt idx="14">
                  <c:v>30.4</c:v>
                </c:pt>
                <c:pt idx="15">
                  <c:v>40.799999999999997</c:v>
                </c:pt>
                <c:pt idx="16">
                  <c:v>34.299999999999997</c:v>
                </c:pt>
                <c:pt idx="17">
                  <c:v>43</c:v>
                </c:pt>
                <c:pt idx="18">
                  <c:v>55</c:v>
                </c:pt>
                <c:pt idx="19">
                  <c:v>49.7</c:v>
                </c:pt>
                <c:pt idx="20">
                  <c:v>50</c:v>
                </c:pt>
                <c:pt idx="21">
                  <c:v>46.3</c:v>
                </c:pt>
                <c:pt idx="22">
                  <c:v>38.200000000000003</c:v>
                </c:pt>
                <c:pt idx="23" formatCode="0.0">
                  <c:v>34</c:v>
                </c:pt>
                <c:pt idx="24">
                  <c:v>43.6</c:v>
                </c:pt>
                <c:pt idx="25">
                  <c:v>32</c:v>
                </c:pt>
                <c:pt idx="26">
                  <c:v>42.6</c:v>
                </c:pt>
              </c:numCache>
            </c:numRef>
          </c:val>
          <c:smooth val="0"/>
          <c:extLst>
            <c:ext xmlns:c16="http://schemas.microsoft.com/office/drawing/2014/chart" uri="{C3380CC4-5D6E-409C-BE32-E72D297353CC}">
              <c16:uniqueId val="{00000005-55E9-44B9-952F-3345EE5DE980}"/>
            </c:ext>
          </c:extLst>
        </c:ser>
        <c:ser>
          <c:idx val="6"/>
          <c:order val="6"/>
          <c:tx>
            <c:strRef>
              <c:f>'výkonnost odvětví 3'!$AD$10</c:f>
              <c:strCache>
                <c:ptCount val="1"/>
                <c:pt idx="0">
                  <c:v>Confidence indicator in construction </c:v>
                </c:pt>
              </c:strCache>
            </c:strRef>
          </c:tx>
          <c:spPr>
            <a:ln w="12700">
              <a:solidFill>
                <a:schemeClr val="tx1">
                  <a:lumMod val="75000"/>
                  <a:lumOff val="25000"/>
                </a:schemeClr>
              </a:solidFill>
              <a:prstDash val="sysDot"/>
            </a:ln>
          </c:spPr>
          <c:marker>
            <c:symbol val="circle"/>
            <c:size val="5"/>
            <c:spPr>
              <a:solidFill>
                <a:srgbClr val="FFFF00"/>
              </a:solidFill>
              <a:ln>
                <a:solidFill>
                  <a:schemeClr val="tx1">
                    <a:lumMod val="75000"/>
                    <a:lumOff val="25000"/>
                  </a:schemeClr>
                </a:solidFill>
              </a:ln>
            </c:spPr>
          </c:marker>
          <c:cat>
            <c:multiLvlStrRef>
              <c:f>'výkonnost odvětví 3'!$V$31:$W$57</c:f>
              <c:multiLvlStrCache>
                <c:ptCount val="27"/>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lvl>
                <c:lvl>
                  <c:pt idx="0">
                    <c:v>2015</c:v>
                  </c:pt>
                  <c:pt idx="4">
                    <c:v>2016</c:v>
                  </c:pt>
                  <c:pt idx="8">
                    <c:v>2017</c:v>
                  </c:pt>
                  <c:pt idx="12">
                    <c:v>2018</c:v>
                  </c:pt>
                  <c:pt idx="16">
                    <c:v>2019</c:v>
                  </c:pt>
                  <c:pt idx="20">
                    <c:v>2020</c:v>
                  </c:pt>
                  <c:pt idx="24">
                    <c:v>2021</c:v>
                  </c:pt>
                </c:lvl>
              </c:multiLvlStrCache>
            </c:multiLvlStrRef>
          </c:cat>
          <c:val>
            <c:numRef>
              <c:f>'výkonnost odvětví 3'!$AD$31:$AD$57</c:f>
              <c:numCache>
                <c:formatCode>0.0</c:formatCode>
                <c:ptCount val="27"/>
                <c:pt idx="0">
                  <c:v>-21</c:v>
                </c:pt>
                <c:pt idx="1">
                  <c:v>-16</c:v>
                </c:pt>
                <c:pt idx="2">
                  <c:v>-20</c:v>
                </c:pt>
                <c:pt idx="3">
                  <c:v>-14.5</c:v>
                </c:pt>
                <c:pt idx="4">
                  <c:v>-14.5</c:v>
                </c:pt>
                <c:pt idx="5">
                  <c:v>-25.5</c:v>
                </c:pt>
                <c:pt idx="6">
                  <c:v>-24.5</c:v>
                </c:pt>
                <c:pt idx="7">
                  <c:v>-23</c:v>
                </c:pt>
                <c:pt idx="8">
                  <c:v>-22.5</c:v>
                </c:pt>
                <c:pt idx="9">
                  <c:v>-24.5</c:v>
                </c:pt>
                <c:pt idx="10">
                  <c:v>-18.5</c:v>
                </c:pt>
                <c:pt idx="11">
                  <c:v>-15</c:v>
                </c:pt>
                <c:pt idx="12">
                  <c:v>-9</c:v>
                </c:pt>
                <c:pt idx="13">
                  <c:v>-6</c:v>
                </c:pt>
                <c:pt idx="14">
                  <c:v>-2</c:v>
                </c:pt>
                <c:pt idx="15">
                  <c:v>1</c:v>
                </c:pt>
                <c:pt idx="16">
                  <c:v>3.5</c:v>
                </c:pt>
                <c:pt idx="17">
                  <c:v>4</c:v>
                </c:pt>
                <c:pt idx="18">
                  <c:v>-1</c:v>
                </c:pt>
                <c:pt idx="19">
                  <c:v>1</c:v>
                </c:pt>
                <c:pt idx="20">
                  <c:v>-3</c:v>
                </c:pt>
                <c:pt idx="21">
                  <c:v>-15</c:v>
                </c:pt>
                <c:pt idx="22">
                  <c:v>-13</c:v>
                </c:pt>
                <c:pt idx="23">
                  <c:v>-11.5</c:v>
                </c:pt>
                <c:pt idx="24">
                  <c:v>-6</c:v>
                </c:pt>
                <c:pt idx="25">
                  <c:v>-5.5</c:v>
                </c:pt>
                <c:pt idx="26">
                  <c:v>-4.5</c:v>
                </c:pt>
              </c:numCache>
            </c:numRef>
          </c:val>
          <c:smooth val="0"/>
          <c:extLst>
            <c:ext xmlns:c16="http://schemas.microsoft.com/office/drawing/2014/chart" uri="{C3380CC4-5D6E-409C-BE32-E72D297353CC}">
              <c16:uniqueId val="{00000006-55E9-44B9-952F-3345EE5DE980}"/>
            </c:ext>
          </c:extLst>
        </c:ser>
        <c:dLbls>
          <c:showLegendKey val="0"/>
          <c:showVal val="0"/>
          <c:showCatName val="0"/>
          <c:showSerName val="0"/>
          <c:showPercent val="0"/>
          <c:showBubbleSize val="0"/>
        </c:dLbls>
        <c:marker val="1"/>
        <c:smooth val="0"/>
        <c:axId val="147650816"/>
        <c:axId val="147649280"/>
      </c:lineChart>
      <c:catAx>
        <c:axId val="147432960"/>
        <c:scaling>
          <c:orientation val="minMax"/>
        </c:scaling>
        <c:delete val="0"/>
        <c:axPos val="b"/>
        <c:numFmt formatCode="General" sourceLinked="1"/>
        <c:majorTickMark val="out"/>
        <c:minorTickMark val="none"/>
        <c:tickLblPos val="low"/>
        <c:spPr>
          <a:ln w="9525">
            <a:solidFill>
              <a:schemeClr val="tx1"/>
            </a:solidFill>
            <a:prstDash val="solid"/>
          </a:ln>
        </c:spPr>
        <c:txPr>
          <a:bodyPr rot="0" vert="horz"/>
          <a:lstStyle/>
          <a:p>
            <a:pPr>
              <a:defRPr/>
            </a:pPr>
            <a:endParaRPr lang="cs-CZ"/>
          </a:p>
        </c:txPr>
        <c:crossAx val="147434496"/>
        <c:crossesAt val="0"/>
        <c:auto val="0"/>
        <c:lblAlgn val="ctr"/>
        <c:lblOffset val="0"/>
        <c:tickLblSkip val="1"/>
        <c:tickMarkSkip val="4"/>
        <c:noMultiLvlLbl val="0"/>
      </c:catAx>
      <c:valAx>
        <c:axId val="147434496"/>
        <c:scaling>
          <c:orientation val="minMax"/>
          <c:max val="30"/>
          <c:min val="-20"/>
        </c:scaling>
        <c:delete val="0"/>
        <c:axPos val="l"/>
        <c:majorGridlines>
          <c:spPr>
            <a:ln w="6350">
              <a:solidFill>
                <a:schemeClr val="bg1">
                  <a:lumMod val="75000"/>
                </a:schemeClr>
              </a:solidFill>
            </a:ln>
          </c:spPr>
        </c:majorGridlines>
        <c:title>
          <c:tx>
            <c:rich>
              <a:bodyPr/>
              <a:lstStyle/>
              <a:p>
                <a:pPr>
                  <a:defRPr sz="700" i="1"/>
                </a:pPr>
                <a:r>
                  <a:rPr lang="cs-CZ" sz="700" i="1"/>
                  <a:t>Contribution to the growth of construction output</a:t>
                </a:r>
              </a:p>
            </c:rich>
          </c:tx>
          <c:overlay val="0"/>
        </c:title>
        <c:numFmt formatCode="0" sourceLinked="0"/>
        <c:majorTickMark val="out"/>
        <c:minorTickMark val="none"/>
        <c:tickLblPos val="nextTo"/>
        <c:spPr>
          <a:ln w="9525">
            <a:solidFill>
              <a:schemeClr val="tx1"/>
            </a:solidFill>
            <a:prstDash val="solid"/>
          </a:ln>
        </c:spPr>
        <c:txPr>
          <a:bodyPr rot="0" vert="horz"/>
          <a:lstStyle/>
          <a:p>
            <a:pPr>
              <a:defRPr/>
            </a:pPr>
            <a:endParaRPr lang="cs-CZ"/>
          </a:p>
        </c:txPr>
        <c:crossAx val="147432960"/>
        <c:crosses val="autoZero"/>
        <c:crossBetween val="between"/>
        <c:majorUnit val="5"/>
      </c:valAx>
      <c:valAx>
        <c:axId val="147649280"/>
        <c:scaling>
          <c:orientation val="minMax"/>
          <c:max val="90"/>
          <c:min val="-60"/>
        </c:scaling>
        <c:delete val="0"/>
        <c:axPos val="r"/>
        <c:title>
          <c:tx>
            <c:rich>
              <a:bodyPr/>
              <a:lstStyle/>
              <a:p>
                <a:pPr>
                  <a:defRPr sz="700" i="1"/>
                </a:pPr>
                <a:r>
                  <a:rPr lang="cs-CZ" sz="700" i="1"/>
                  <a:t>Orders, Balance of confidence indicator, Growth barriers</a:t>
                </a:r>
              </a:p>
            </c:rich>
          </c:tx>
          <c:overlay val="0"/>
        </c:title>
        <c:numFmt formatCode="0" sourceLinked="0"/>
        <c:majorTickMark val="out"/>
        <c:minorTickMark val="none"/>
        <c:tickLblPos val="nextTo"/>
        <c:crossAx val="147650816"/>
        <c:crosses val="max"/>
        <c:crossBetween val="between"/>
        <c:majorUnit val="15"/>
      </c:valAx>
      <c:catAx>
        <c:axId val="147650816"/>
        <c:scaling>
          <c:orientation val="minMax"/>
        </c:scaling>
        <c:delete val="1"/>
        <c:axPos val="b"/>
        <c:numFmt formatCode="General" sourceLinked="1"/>
        <c:majorTickMark val="out"/>
        <c:minorTickMark val="none"/>
        <c:tickLblPos val="none"/>
        <c:crossAx val="147649280"/>
        <c:crosses val="autoZero"/>
        <c:auto val="0"/>
        <c:lblAlgn val="ctr"/>
        <c:lblOffset val="100"/>
        <c:noMultiLvlLbl val="0"/>
      </c:catAx>
      <c:spPr>
        <a:solidFill>
          <a:srgbClr val="FFFFFF"/>
        </a:solidFill>
        <a:ln w="9525">
          <a:solidFill>
            <a:schemeClr val="tx1"/>
          </a:solidFill>
        </a:ln>
      </c:spPr>
    </c:plotArea>
    <c:legend>
      <c:legendPos val="b"/>
      <c:layout>
        <c:manualLayout>
          <c:xMode val="edge"/>
          <c:yMode val="edge"/>
          <c:x val="5.6168499391782187E-2"/>
          <c:y val="0.85664457736723998"/>
          <c:w val="0.88765584199686631"/>
          <c:h val="0.13635475415022985"/>
        </c:manualLayout>
      </c:layout>
      <c:overlay val="0"/>
      <c:spPr>
        <a:noFill/>
        <a:ln w="6350">
          <a:solidFill>
            <a:schemeClr val="tx1"/>
          </a:solidFill>
        </a:ln>
      </c:spPr>
    </c:legend>
    <c:plotVisOnly val="1"/>
    <c:dispBlanksAs val="gap"/>
    <c:showDLblsOverMax val="0"/>
  </c:chart>
  <c:spPr>
    <a:solidFill>
      <a:srgbClr val="FFFFFF"/>
    </a:solidFill>
    <a:ln w="3175">
      <a:noFill/>
      <a:prstDash val="solid"/>
    </a:ln>
  </c:spPr>
  <c:txPr>
    <a:bodyPr/>
    <a:lstStyle/>
    <a:p>
      <a:pPr>
        <a:defRPr sz="800" b="0" i="0" u="none" strike="noStrike" baseline="0">
          <a:solidFill>
            <a:srgbClr val="000000"/>
          </a:solidFill>
          <a:latin typeface="Arial CE"/>
          <a:ea typeface="Arial CE"/>
          <a:cs typeface="Arial CE"/>
        </a:defRPr>
      </a:pPr>
      <a:endParaRPr lang="cs-CZ"/>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5121841398004213E-2"/>
          <c:y val="1.5803328678987455E-2"/>
          <c:w val="0.86115621584655133"/>
          <c:h val="0.7103501120970378"/>
        </c:manualLayout>
      </c:layout>
      <c:barChart>
        <c:barDir val="col"/>
        <c:grouping val="stacked"/>
        <c:varyColors val="0"/>
        <c:ser>
          <c:idx val="0"/>
          <c:order val="1"/>
          <c:tx>
            <c:strRef>
              <c:f>'Služby-příspěvkyk růstu'!$D$25</c:f>
              <c:strCache>
                <c:ptCount val="1"/>
                <c:pt idx="0">
                  <c:v>Transporting and storage</c:v>
                </c:pt>
              </c:strCache>
            </c:strRef>
          </c:tx>
          <c:spPr>
            <a:solidFill>
              <a:srgbClr val="92D050"/>
            </a:solidFill>
            <a:ln>
              <a:noFill/>
            </a:ln>
          </c:spPr>
          <c:invertIfNegative val="0"/>
          <c:cat>
            <c:multiLvlStrRef>
              <c:f>'Služby-příspěvkyk růstu'!$A$38:$B$64</c:f>
              <c:multiLvlStrCache>
                <c:ptCount val="27"/>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lvl>
                <c:lvl>
                  <c:pt idx="0">
                    <c:v>2015</c:v>
                  </c:pt>
                  <c:pt idx="4">
                    <c:v>2016</c:v>
                  </c:pt>
                  <c:pt idx="8">
                    <c:v>2017</c:v>
                  </c:pt>
                  <c:pt idx="12">
                    <c:v>2018</c:v>
                  </c:pt>
                  <c:pt idx="16">
                    <c:v>2019</c:v>
                  </c:pt>
                  <c:pt idx="20">
                    <c:v>2020</c:v>
                  </c:pt>
                  <c:pt idx="24">
                    <c:v>2021</c:v>
                  </c:pt>
                </c:lvl>
              </c:multiLvlStrCache>
            </c:multiLvlStrRef>
          </c:cat>
          <c:val>
            <c:numRef>
              <c:f>'Služby-příspěvkyk růstu'!$D$38:$D$64</c:f>
              <c:numCache>
                <c:formatCode>0.0</c:formatCode>
                <c:ptCount val="27"/>
                <c:pt idx="0">
                  <c:v>0.17784702557599033</c:v>
                </c:pt>
                <c:pt idx="1">
                  <c:v>-4.1153954550536498E-2</c:v>
                </c:pt>
                <c:pt idx="2">
                  <c:v>0.19675507185404387</c:v>
                </c:pt>
                <c:pt idx="3">
                  <c:v>4.4524490268410655E-2</c:v>
                </c:pt>
                <c:pt idx="4">
                  <c:v>0.13946448096623712</c:v>
                </c:pt>
                <c:pt idx="5">
                  <c:v>0.20828573579317947</c:v>
                </c:pt>
                <c:pt idx="6">
                  <c:v>0.13789200530936441</c:v>
                </c:pt>
                <c:pt idx="7">
                  <c:v>0.86068515110873312</c:v>
                </c:pt>
                <c:pt idx="8">
                  <c:v>1.7974934723664766</c:v>
                </c:pt>
                <c:pt idx="9">
                  <c:v>1.0846625349009715</c:v>
                </c:pt>
                <c:pt idx="10">
                  <c:v>1.1351852375742451</c:v>
                </c:pt>
                <c:pt idx="11">
                  <c:v>0.60468210639017606</c:v>
                </c:pt>
                <c:pt idx="12">
                  <c:v>1.7465012928992198</c:v>
                </c:pt>
                <c:pt idx="13">
                  <c:v>1.9213841091805361</c:v>
                </c:pt>
                <c:pt idx="14">
                  <c:v>1.4689302905524204</c:v>
                </c:pt>
                <c:pt idx="15">
                  <c:v>0.50117729578518855</c:v>
                </c:pt>
                <c:pt idx="16">
                  <c:v>0.75263240054785618</c:v>
                </c:pt>
                <c:pt idx="17">
                  <c:v>-8.121137806355179E-2</c:v>
                </c:pt>
                <c:pt idx="18">
                  <c:v>-0.66994926294940094</c:v>
                </c:pt>
                <c:pt idx="19">
                  <c:v>-0.54040905308684861</c:v>
                </c:pt>
                <c:pt idx="20">
                  <c:v>-1.8646946552605359</c:v>
                </c:pt>
                <c:pt idx="21">
                  <c:v>-6.8769875395707061</c:v>
                </c:pt>
                <c:pt idx="22">
                  <c:v>-4.2186862803005329</c:v>
                </c:pt>
                <c:pt idx="23">
                  <c:v>-1.7603068852892723</c:v>
                </c:pt>
                <c:pt idx="24">
                  <c:v>-0.16843968789779365</c:v>
                </c:pt>
                <c:pt idx="25">
                  <c:v>6.918128731705961</c:v>
                </c:pt>
              </c:numCache>
            </c:numRef>
          </c:val>
          <c:extLst>
            <c:ext xmlns:c16="http://schemas.microsoft.com/office/drawing/2014/chart" uri="{C3380CC4-5D6E-409C-BE32-E72D297353CC}">
              <c16:uniqueId val="{00000000-CABC-4F7E-8882-F7DF3F27F113}"/>
            </c:ext>
          </c:extLst>
        </c:ser>
        <c:ser>
          <c:idx val="1"/>
          <c:order val="2"/>
          <c:tx>
            <c:strRef>
              <c:f>'Služby-příspěvkyk růstu'!$E$25</c:f>
              <c:strCache>
                <c:ptCount val="1"/>
                <c:pt idx="0">
                  <c:v>Accommodation, food service activities</c:v>
                </c:pt>
              </c:strCache>
            </c:strRef>
          </c:tx>
          <c:spPr>
            <a:solidFill>
              <a:srgbClr val="00B0F0"/>
            </a:solidFill>
            <a:ln>
              <a:noFill/>
            </a:ln>
          </c:spPr>
          <c:invertIfNegative val="0"/>
          <c:cat>
            <c:multiLvlStrRef>
              <c:f>'Služby-příspěvkyk růstu'!$A$38:$B$64</c:f>
              <c:multiLvlStrCache>
                <c:ptCount val="27"/>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lvl>
                <c:lvl>
                  <c:pt idx="0">
                    <c:v>2015</c:v>
                  </c:pt>
                  <c:pt idx="4">
                    <c:v>2016</c:v>
                  </c:pt>
                  <c:pt idx="8">
                    <c:v>2017</c:v>
                  </c:pt>
                  <c:pt idx="12">
                    <c:v>2018</c:v>
                  </c:pt>
                  <c:pt idx="16">
                    <c:v>2019</c:v>
                  </c:pt>
                  <c:pt idx="20">
                    <c:v>2020</c:v>
                  </c:pt>
                  <c:pt idx="24">
                    <c:v>2021</c:v>
                  </c:pt>
                </c:lvl>
              </c:multiLvlStrCache>
            </c:multiLvlStrRef>
          </c:cat>
          <c:val>
            <c:numRef>
              <c:f>'Služby-příspěvkyk růstu'!$E$38:$E$64</c:f>
              <c:numCache>
                <c:formatCode>0.0</c:formatCode>
                <c:ptCount val="27"/>
                <c:pt idx="0">
                  <c:v>0.23068727874505793</c:v>
                </c:pt>
                <c:pt idx="1">
                  <c:v>0.65500430584103086</c:v>
                </c:pt>
                <c:pt idx="2">
                  <c:v>0.65445127748121035</c:v>
                </c:pt>
                <c:pt idx="3">
                  <c:v>0.40295089080303936</c:v>
                </c:pt>
                <c:pt idx="4">
                  <c:v>0.46667218520329662</c:v>
                </c:pt>
                <c:pt idx="5">
                  <c:v>0.17104444695300572</c:v>
                </c:pt>
                <c:pt idx="6">
                  <c:v>0.56704693143903195</c:v>
                </c:pt>
                <c:pt idx="7">
                  <c:v>0.60083208257587717</c:v>
                </c:pt>
                <c:pt idx="8">
                  <c:v>0.91455838493249142</c:v>
                </c:pt>
                <c:pt idx="9">
                  <c:v>1.231607253071263</c:v>
                </c:pt>
                <c:pt idx="10">
                  <c:v>0.5534510922648459</c:v>
                </c:pt>
                <c:pt idx="11">
                  <c:v>0.45394811178918809</c:v>
                </c:pt>
                <c:pt idx="12">
                  <c:v>0.20369258900958792</c:v>
                </c:pt>
                <c:pt idx="13">
                  <c:v>4.7235698176859818E-2</c:v>
                </c:pt>
                <c:pt idx="14">
                  <c:v>5.8750890591798624E-2</c:v>
                </c:pt>
                <c:pt idx="15">
                  <c:v>-3.8366347387654286E-2</c:v>
                </c:pt>
                <c:pt idx="16">
                  <c:v>0.19921781020350779</c:v>
                </c:pt>
                <c:pt idx="17">
                  <c:v>0.19028430952840486</c:v>
                </c:pt>
                <c:pt idx="18">
                  <c:v>-1.916690216819248E-2</c:v>
                </c:pt>
                <c:pt idx="19">
                  <c:v>-1.9416332102348634E-2</c:v>
                </c:pt>
                <c:pt idx="20">
                  <c:v>-1.1592357036246839</c:v>
                </c:pt>
                <c:pt idx="21">
                  <c:v>-4.9682177104098058</c:v>
                </c:pt>
                <c:pt idx="22">
                  <c:v>-1.9519574731345033</c:v>
                </c:pt>
                <c:pt idx="23">
                  <c:v>-4.5016526436732862</c:v>
                </c:pt>
                <c:pt idx="24">
                  <c:v>-3.7508869539731311</c:v>
                </c:pt>
                <c:pt idx="25">
                  <c:v>1.3827301210406615</c:v>
                </c:pt>
              </c:numCache>
            </c:numRef>
          </c:val>
          <c:extLst>
            <c:ext xmlns:c16="http://schemas.microsoft.com/office/drawing/2014/chart" uri="{C3380CC4-5D6E-409C-BE32-E72D297353CC}">
              <c16:uniqueId val="{00000001-CABC-4F7E-8882-F7DF3F27F113}"/>
            </c:ext>
          </c:extLst>
        </c:ser>
        <c:ser>
          <c:idx val="2"/>
          <c:order val="3"/>
          <c:tx>
            <c:strRef>
              <c:f>'Služby-příspěvkyk růstu'!$F$25</c:f>
              <c:strCache>
                <c:ptCount val="1"/>
                <c:pt idx="0">
                  <c:v>Information and communication</c:v>
                </c:pt>
              </c:strCache>
            </c:strRef>
          </c:tx>
          <c:spPr>
            <a:solidFill>
              <a:srgbClr val="E6E100"/>
            </a:solidFill>
            <a:ln>
              <a:noFill/>
            </a:ln>
          </c:spPr>
          <c:invertIfNegative val="0"/>
          <c:cat>
            <c:multiLvlStrRef>
              <c:f>'Služby-příspěvkyk růstu'!$A$38:$B$64</c:f>
              <c:multiLvlStrCache>
                <c:ptCount val="27"/>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lvl>
                <c:lvl>
                  <c:pt idx="0">
                    <c:v>2015</c:v>
                  </c:pt>
                  <c:pt idx="4">
                    <c:v>2016</c:v>
                  </c:pt>
                  <c:pt idx="8">
                    <c:v>2017</c:v>
                  </c:pt>
                  <c:pt idx="12">
                    <c:v>2018</c:v>
                  </c:pt>
                  <c:pt idx="16">
                    <c:v>2019</c:v>
                  </c:pt>
                  <c:pt idx="20">
                    <c:v>2020</c:v>
                  </c:pt>
                  <c:pt idx="24">
                    <c:v>2021</c:v>
                  </c:pt>
                </c:lvl>
              </c:multiLvlStrCache>
            </c:multiLvlStrRef>
          </c:cat>
          <c:val>
            <c:numRef>
              <c:f>'Služby-příspěvkyk růstu'!$F$38:$F$64</c:f>
              <c:numCache>
                <c:formatCode>0.0</c:formatCode>
                <c:ptCount val="27"/>
                <c:pt idx="0">
                  <c:v>1.4078898109159903</c:v>
                </c:pt>
                <c:pt idx="1">
                  <c:v>0.82525906257812898</c:v>
                </c:pt>
                <c:pt idx="2">
                  <c:v>0.80495762868220244</c:v>
                </c:pt>
                <c:pt idx="3">
                  <c:v>1.3162338204655517</c:v>
                </c:pt>
                <c:pt idx="4">
                  <c:v>0.36033487670421366</c:v>
                </c:pt>
                <c:pt idx="5">
                  <c:v>0.15638027838317614</c:v>
                </c:pt>
                <c:pt idx="6">
                  <c:v>0.32610885513838739</c:v>
                </c:pt>
                <c:pt idx="7">
                  <c:v>0.17762627373781287</c:v>
                </c:pt>
                <c:pt idx="8">
                  <c:v>0.76282425945040022</c:v>
                </c:pt>
                <c:pt idx="9">
                  <c:v>0.98306885205975347</c:v>
                </c:pt>
                <c:pt idx="10">
                  <c:v>0.77131824944810223</c:v>
                </c:pt>
                <c:pt idx="11">
                  <c:v>0.58432043551404034</c:v>
                </c:pt>
                <c:pt idx="12">
                  <c:v>1.4410506386239601</c:v>
                </c:pt>
                <c:pt idx="13">
                  <c:v>0.76544504374458233</c:v>
                </c:pt>
                <c:pt idx="14">
                  <c:v>1.4164775798085461</c:v>
                </c:pt>
                <c:pt idx="15">
                  <c:v>0.98719747480527764</c:v>
                </c:pt>
                <c:pt idx="16">
                  <c:v>1.2347847857804872</c:v>
                </c:pt>
                <c:pt idx="17">
                  <c:v>1.1610055784403761</c:v>
                </c:pt>
                <c:pt idx="18">
                  <c:v>0.91432300980238912</c:v>
                </c:pt>
                <c:pt idx="19">
                  <c:v>1.1615543875830505</c:v>
                </c:pt>
                <c:pt idx="20">
                  <c:v>0.81894474477217827</c:v>
                </c:pt>
                <c:pt idx="21">
                  <c:v>1.2294640949034262E-2</c:v>
                </c:pt>
                <c:pt idx="22">
                  <c:v>-0.20775191175017058</c:v>
                </c:pt>
                <c:pt idx="23">
                  <c:v>-0.54240589854371102</c:v>
                </c:pt>
                <c:pt idx="24">
                  <c:v>0.48886999175229195</c:v>
                </c:pt>
                <c:pt idx="25">
                  <c:v>1.4742653447482703</c:v>
                </c:pt>
              </c:numCache>
            </c:numRef>
          </c:val>
          <c:extLst>
            <c:ext xmlns:c16="http://schemas.microsoft.com/office/drawing/2014/chart" uri="{C3380CC4-5D6E-409C-BE32-E72D297353CC}">
              <c16:uniqueId val="{00000002-CABC-4F7E-8882-F7DF3F27F113}"/>
            </c:ext>
          </c:extLst>
        </c:ser>
        <c:ser>
          <c:idx val="4"/>
          <c:order val="4"/>
          <c:tx>
            <c:strRef>
              <c:f>'Služby-příspěvkyk růstu'!$G$25</c:f>
              <c:strCache>
                <c:ptCount val="1"/>
                <c:pt idx="0">
                  <c:v>Real estate activities</c:v>
                </c:pt>
              </c:strCache>
            </c:strRef>
          </c:tx>
          <c:spPr>
            <a:solidFill>
              <a:schemeClr val="accent5">
                <a:lumMod val="60000"/>
                <a:lumOff val="40000"/>
              </a:schemeClr>
            </a:solidFill>
            <a:ln>
              <a:noFill/>
              <a:prstDash val="sysDash"/>
            </a:ln>
          </c:spPr>
          <c:invertIfNegative val="0"/>
          <c:cat>
            <c:multiLvlStrRef>
              <c:f>'Služby-příspěvkyk růstu'!$A$38:$B$64</c:f>
              <c:multiLvlStrCache>
                <c:ptCount val="27"/>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lvl>
                <c:lvl>
                  <c:pt idx="0">
                    <c:v>2015</c:v>
                  </c:pt>
                  <c:pt idx="4">
                    <c:v>2016</c:v>
                  </c:pt>
                  <c:pt idx="8">
                    <c:v>2017</c:v>
                  </c:pt>
                  <c:pt idx="12">
                    <c:v>2018</c:v>
                  </c:pt>
                  <c:pt idx="16">
                    <c:v>2019</c:v>
                  </c:pt>
                  <c:pt idx="20">
                    <c:v>2020</c:v>
                  </c:pt>
                  <c:pt idx="24">
                    <c:v>2021</c:v>
                  </c:pt>
                </c:lvl>
              </c:multiLvlStrCache>
            </c:multiLvlStrRef>
          </c:cat>
          <c:val>
            <c:numRef>
              <c:f>'Služby-příspěvkyk růstu'!$G$38:$G$64</c:f>
              <c:numCache>
                <c:formatCode>0.0</c:formatCode>
                <c:ptCount val="27"/>
                <c:pt idx="0">
                  <c:v>4.5114687215489196E-2</c:v>
                </c:pt>
                <c:pt idx="1">
                  <c:v>-4.633203545382855E-3</c:v>
                </c:pt>
                <c:pt idx="2">
                  <c:v>8.5015739753390329E-2</c:v>
                </c:pt>
                <c:pt idx="3">
                  <c:v>4.220830931986512E-2</c:v>
                </c:pt>
                <c:pt idx="4">
                  <c:v>0.22367935692513705</c:v>
                </c:pt>
                <c:pt idx="5">
                  <c:v>6.8179123861302385E-2</c:v>
                </c:pt>
                <c:pt idx="6">
                  <c:v>0.11569139719415283</c:v>
                </c:pt>
                <c:pt idx="7">
                  <c:v>-7.0466113098899399E-2</c:v>
                </c:pt>
                <c:pt idx="8">
                  <c:v>0.28170347372407545</c:v>
                </c:pt>
                <c:pt idx="9">
                  <c:v>0.36183937198533883</c:v>
                </c:pt>
                <c:pt idx="10">
                  <c:v>-3.8722623438578699E-2</c:v>
                </c:pt>
                <c:pt idx="11">
                  <c:v>0.13751786545078354</c:v>
                </c:pt>
                <c:pt idx="12">
                  <c:v>-1.6524917654980809E-2</c:v>
                </c:pt>
                <c:pt idx="13">
                  <c:v>-0.22648210744306341</c:v>
                </c:pt>
                <c:pt idx="14">
                  <c:v>-0.12424593391733178</c:v>
                </c:pt>
                <c:pt idx="15">
                  <c:v>-0.2069362641489616</c:v>
                </c:pt>
                <c:pt idx="16">
                  <c:v>0.14696794947238928</c:v>
                </c:pt>
                <c:pt idx="17">
                  <c:v>-2.7570980462265055E-2</c:v>
                </c:pt>
                <c:pt idx="18">
                  <c:v>-0.16565733818130893</c:v>
                </c:pt>
                <c:pt idx="19">
                  <c:v>-0.11837811648212067</c:v>
                </c:pt>
                <c:pt idx="20">
                  <c:v>0.43339495192195154</c:v>
                </c:pt>
                <c:pt idx="21">
                  <c:v>-0.29664667919137244</c:v>
                </c:pt>
                <c:pt idx="22">
                  <c:v>-0.27589755073842731</c:v>
                </c:pt>
                <c:pt idx="23">
                  <c:v>-0.22603611712587934</c:v>
                </c:pt>
                <c:pt idx="24">
                  <c:v>-0.21976379159449222</c:v>
                </c:pt>
                <c:pt idx="25">
                  <c:v>0.27047496115097869</c:v>
                </c:pt>
              </c:numCache>
            </c:numRef>
          </c:val>
          <c:extLst>
            <c:ext xmlns:c16="http://schemas.microsoft.com/office/drawing/2014/chart" uri="{C3380CC4-5D6E-409C-BE32-E72D297353CC}">
              <c16:uniqueId val="{00000003-CABC-4F7E-8882-F7DF3F27F113}"/>
            </c:ext>
          </c:extLst>
        </c:ser>
        <c:ser>
          <c:idx val="5"/>
          <c:order val="5"/>
          <c:tx>
            <c:strRef>
              <c:f>'Služby-příspěvkyk růstu'!$H$25</c:f>
              <c:strCache>
                <c:ptCount val="1"/>
                <c:pt idx="0">
                  <c:v>Professional, scientific and technical act.</c:v>
                </c:pt>
              </c:strCache>
            </c:strRef>
          </c:tx>
          <c:spPr>
            <a:solidFill>
              <a:schemeClr val="accent6">
                <a:lumMod val="60000"/>
                <a:lumOff val="40000"/>
              </a:schemeClr>
            </a:solidFill>
            <a:ln>
              <a:noFill/>
            </a:ln>
          </c:spPr>
          <c:invertIfNegative val="0"/>
          <c:cat>
            <c:multiLvlStrRef>
              <c:f>'Služby-příspěvkyk růstu'!$A$38:$B$64</c:f>
              <c:multiLvlStrCache>
                <c:ptCount val="27"/>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lvl>
                <c:lvl>
                  <c:pt idx="0">
                    <c:v>2015</c:v>
                  </c:pt>
                  <c:pt idx="4">
                    <c:v>2016</c:v>
                  </c:pt>
                  <c:pt idx="8">
                    <c:v>2017</c:v>
                  </c:pt>
                  <c:pt idx="12">
                    <c:v>2018</c:v>
                  </c:pt>
                  <c:pt idx="16">
                    <c:v>2019</c:v>
                  </c:pt>
                  <c:pt idx="20">
                    <c:v>2020</c:v>
                  </c:pt>
                  <c:pt idx="24">
                    <c:v>2021</c:v>
                  </c:pt>
                </c:lvl>
              </c:multiLvlStrCache>
            </c:multiLvlStrRef>
          </c:cat>
          <c:val>
            <c:numRef>
              <c:f>'Služby-příspěvkyk růstu'!$H$38:$H$64</c:f>
              <c:numCache>
                <c:formatCode>0.0</c:formatCode>
                <c:ptCount val="27"/>
                <c:pt idx="0">
                  <c:v>1.0484383463709321</c:v>
                </c:pt>
                <c:pt idx="1">
                  <c:v>0.72052999502781179</c:v>
                </c:pt>
                <c:pt idx="2">
                  <c:v>1.0868604197952834</c:v>
                </c:pt>
                <c:pt idx="3">
                  <c:v>-4.0322082082337972E-2</c:v>
                </c:pt>
                <c:pt idx="4">
                  <c:v>-0.43449187704976927</c:v>
                </c:pt>
                <c:pt idx="5">
                  <c:v>-1.3323039000266932</c:v>
                </c:pt>
                <c:pt idx="6">
                  <c:v>-3.9552220086378894E-3</c:v>
                </c:pt>
                <c:pt idx="7">
                  <c:v>-0.31462694364037369</c:v>
                </c:pt>
                <c:pt idx="8">
                  <c:v>0.96902063476099443</c:v>
                </c:pt>
                <c:pt idx="9">
                  <c:v>0.58685347143608046</c:v>
                </c:pt>
                <c:pt idx="10">
                  <c:v>0.3036767260079471</c:v>
                </c:pt>
                <c:pt idx="11">
                  <c:v>0.42723783324562753</c:v>
                </c:pt>
                <c:pt idx="12">
                  <c:v>1.0465166620234574</c:v>
                </c:pt>
                <c:pt idx="13">
                  <c:v>0.55031893076940297</c:v>
                </c:pt>
                <c:pt idx="14">
                  <c:v>0.36062690239541018</c:v>
                </c:pt>
                <c:pt idx="15">
                  <c:v>-0.26282042548043488</c:v>
                </c:pt>
                <c:pt idx="16">
                  <c:v>0.70683419275912829</c:v>
                </c:pt>
                <c:pt idx="17">
                  <c:v>0.58909336860858441</c:v>
                </c:pt>
                <c:pt idx="18">
                  <c:v>-0.76655146702786459</c:v>
                </c:pt>
                <c:pt idx="19">
                  <c:v>-0.57242584774453176</c:v>
                </c:pt>
                <c:pt idx="20">
                  <c:v>-0.86095792954266626</c:v>
                </c:pt>
                <c:pt idx="21">
                  <c:v>-3.1835055642505159</c:v>
                </c:pt>
                <c:pt idx="22">
                  <c:v>-1.4957874257817754</c:v>
                </c:pt>
                <c:pt idx="23">
                  <c:v>-1.5473623495881494</c:v>
                </c:pt>
                <c:pt idx="24">
                  <c:v>-1.5619850455789446</c:v>
                </c:pt>
                <c:pt idx="25">
                  <c:v>2.2444613621662812</c:v>
                </c:pt>
              </c:numCache>
            </c:numRef>
          </c:val>
          <c:extLst>
            <c:ext xmlns:c16="http://schemas.microsoft.com/office/drawing/2014/chart" uri="{C3380CC4-5D6E-409C-BE32-E72D297353CC}">
              <c16:uniqueId val="{00000004-CABC-4F7E-8882-F7DF3F27F113}"/>
            </c:ext>
          </c:extLst>
        </c:ser>
        <c:ser>
          <c:idx val="6"/>
          <c:order val="6"/>
          <c:tx>
            <c:strRef>
              <c:f>'Služby-příspěvkyk růstu'!$I$25</c:f>
              <c:strCache>
                <c:ptCount val="1"/>
                <c:pt idx="0">
                  <c:v>Administr. and support service activities</c:v>
                </c:pt>
              </c:strCache>
            </c:strRef>
          </c:tx>
          <c:spPr>
            <a:solidFill>
              <a:schemeClr val="accent1">
                <a:lumMod val="20000"/>
                <a:lumOff val="80000"/>
              </a:schemeClr>
            </a:solidFill>
            <a:ln>
              <a:noFill/>
            </a:ln>
          </c:spPr>
          <c:invertIfNegative val="0"/>
          <c:cat>
            <c:multiLvlStrRef>
              <c:f>'Služby-příspěvkyk růstu'!$A$38:$B$64</c:f>
              <c:multiLvlStrCache>
                <c:ptCount val="27"/>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lvl>
                <c:lvl>
                  <c:pt idx="0">
                    <c:v>2015</c:v>
                  </c:pt>
                  <c:pt idx="4">
                    <c:v>2016</c:v>
                  </c:pt>
                  <c:pt idx="8">
                    <c:v>2017</c:v>
                  </c:pt>
                  <c:pt idx="12">
                    <c:v>2018</c:v>
                  </c:pt>
                  <c:pt idx="16">
                    <c:v>2019</c:v>
                  </c:pt>
                  <c:pt idx="20">
                    <c:v>2020</c:v>
                  </c:pt>
                  <c:pt idx="24">
                    <c:v>2021</c:v>
                  </c:pt>
                </c:lvl>
              </c:multiLvlStrCache>
            </c:multiLvlStrRef>
          </c:cat>
          <c:val>
            <c:numRef>
              <c:f>'Služby-příspěvkyk růstu'!$I$38:$I$64</c:f>
              <c:numCache>
                <c:formatCode>0.0</c:formatCode>
                <c:ptCount val="27"/>
                <c:pt idx="0">
                  <c:v>0.51529021776837436</c:v>
                </c:pt>
                <c:pt idx="1">
                  <c:v>0.62103855147350373</c:v>
                </c:pt>
                <c:pt idx="2">
                  <c:v>0.43595933582649415</c:v>
                </c:pt>
                <c:pt idx="3">
                  <c:v>0.5014624395084516</c:v>
                </c:pt>
                <c:pt idx="4">
                  <c:v>0.46409597389160773</c:v>
                </c:pt>
                <c:pt idx="5">
                  <c:v>0.16302807991689272</c:v>
                </c:pt>
                <c:pt idx="6">
                  <c:v>0.26998446590022002</c:v>
                </c:pt>
                <c:pt idx="7">
                  <c:v>0.51404132645830092</c:v>
                </c:pt>
                <c:pt idx="8">
                  <c:v>1.3081284665881006</c:v>
                </c:pt>
                <c:pt idx="9">
                  <c:v>1.0890272586366447</c:v>
                </c:pt>
                <c:pt idx="10">
                  <c:v>0.64167805687312862</c:v>
                </c:pt>
                <c:pt idx="11">
                  <c:v>0.3049450708114973</c:v>
                </c:pt>
                <c:pt idx="12">
                  <c:v>0.5336964228095209</c:v>
                </c:pt>
                <c:pt idx="13">
                  <c:v>0.37812124631965366</c:v>
                </c:pt>
                <c:pt idx="14">
                  <c:v>0.43585539133912715</c:v>
                </c:pt>
                <c:pt idx="15">
                  <c:v>-1.3565736472039135E-2</c:v>
                </c:pt>
                <c:pt idx="16">
                  <c:v>0.47293200908229094</c:v>
                </c:pt>
                <c:pt idx="17">
                  <c:v>0.12985986360314838</c:v>
                </c:pt>
                <c:pt idx="18">
                  <c:v>-0.12378098867957033</c:v>
                </c:pt>
                <c:pt idx="19">
                  <c:v>-0.21503501352804164</c:v>
                </c:pt>
                <c:pt idx="20">
                  <c:v>-1.0975647540029245</c:v>
                </c:pt>
                <c:pt idx="21">
                  <c:v>-4.3127603654212834</c:v>
                </c:pt>
                <c:pt idx="22">
                  <c:v>-4.4461404317321751</c:v>
                </c:pt>
                <c:pt idx="23">
                  <c:v>-2.3715294384068484</c:v>
                </c:pt>
                <c:pt idx="24">
                  <c:v>-1.587792910461185</c:v>
                </c:pt>
                <c:pt idx="25">
                  <c:v>1.8635640082735587</c:v>
                </c:pt>
              </c:numCache>
            </c:numRef>
          </c:val>
          <c:extLst>
            <c:ext xmlns:c16="http://schemas.microsoft.com/office/drawing/2014/chart" uri="{C3380CC4-5D6E-409C-BE32-E72D297353CC}">
              <c16:uniqueId val="{00000005-CABC-4F7E-8882-F7DF3F27F113}"/>
            </c:ext>
          </c:extLst>
        </c:ser>
        <c:dLbls>
          <c:showLegendKey val="0"/>
          <c:showVal val="0"/>
          <c:showCatName val="0"/>
          <c:showSerName val="0"/>
          <c:showPercent val="0"/>
          <c:showBubbleSize val="0"/>
        </c:dLbls>
        <c:gapWidth val="20"/>
        <c:overlap val="100"/>
        <c:axId val="156100864"/>
        <c:axId val="156573696"/>
      </c:barChart>
      <c:lineChart>
        <c:grouping val="standard"/>
        <c:varyColors val="0"/>
        <c:ser>
          <c:idx val="3"/>
          <c:order val="0"/>
          <c:tx>
            <c:strRef>
              <c:f>'Služby-příspěvkyk růstu'!$C$25</c:f>
              <c:strCache>
                <c:ptCount val="1"/>
                <c:pt idx="0">
                  <c:v>Total services</c:v>
                </c:pt>
              </c:strCache>
            </c:strRef>
          </c:tx>
          <c:spPr>
            <a:ln>
              <a:noFill/>
            </a:ln>
          </c:spPr>
          <c:marker>
            <c:symbol val="dash"/>
            <c:size val="9"/>
            <c:spPr>
              <a:solidFill>
                <a:schemeClr val="tx1">
                  <a:lumMod val="95000"/>
                  <a:lumOff val="5000"/>
                </a:schemeClr>
              </a:solidFill>
              <a:ln>
                <a:noFill/>
              </a:ln>
            </c:spPr>
          </c:marker>
          <c:cat>
            <c:multiLvlStrRef>
              <c:f>'Služby-příspěvkyk růstu'!$A$38:$B$64</c:f>
              <c:multiLvlStrCache>
                <c:ptCount val="27"/>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lvl>
                <c:lvl>
                  <c:pt idx="0">
                    <c:v>2015</c:v>
                  </c:pt>
                  <c:pt idx="4">
                    <c:v>2016</c:v>
                  </c:pt>
                  <c:pt idx="8">
                    <c:v>2017</c:v>
                  </c:pt>
                  <c:pt idx="12">
                    <c:v>2018</c:v>
                  </c:pt>
                  <c:pt idx="16">
                    <c:v>2019</c:v>
                  </c:pt>
                  <c:pt idx="20">
                    <c:v>2020</c:v>
                  </c:pt>
                  <c:pt idx="24">
                    <c:v>2021</c:v>
                  </c:pt>
                </c:lvl>
              </c:multiLvlStrCache>
            </c:multiLvlStrRef>
          </c:cat>
          <c:val>
            <c:numRef>
              <c:f>'Služby-příspěvkyk růstu'!$C$38:$C$64</c:f>
              <c:numCache>
                <c:formatCode>0.0</c:formatCode>
                <c:ptCount val="27"/>
                <c:pt idx="0">
                  <c:v>3.4252673665918341</c:v>
                </c:pt>
                <c:pt idx="1">
                  <c:v>2.7760447568245561</c:v>
                </c:pt>
                <c:pt idx="2">
                  <c:v>3.2639994733926248</c:v>
                </c:pt>
                <c:pt idx="3">
                  <c:v>2.2670578682829805</c:v>
                </c:pt>
                <c:pt idx="4">
                  <c:v>1.2197549966407228</c:v>
                </c:pt>
                <c:pt idx="5">
                  <c:v>-0.56538623511913677</c:v>
                </c:pt>
                <c:pt idx="6">
                  <c:v>1.4127684329725188</c:v>
                </c:pt>
                <c:pt idx="7">
                  <c:v>1.7680917771414508</c:v>
                </c:pt>
                <c:pt idx="8">
                  <c:v>6.0337286918225388</c:v>
                </c:pt>
                <c:pt idx="9">
                  <c:v>5.3370587420900524</c:v>
                </c:pt>
                <c:pt idx="10">
                  <c:v>3.3665867387296897</c:v>
                </c:pt>
                <c:pt idx="11">
                  <c:v>2.5126514232013126</c:v>
                </c:pt>
                <c:pt idx="12">
                  <c:v>4.9549326877107651</c:v>
                </c:pt>
                <c:pt idx="13">
                  <c:v>3.4360229207479716</c:v>
                </c:pt>
                <c:pt idx="14">
                  <c:v>3.6163951207699707</c:v>
                </c:pt>
                <c:pt idx="15">
                  <c:v>0.96668599710137615</c:v>
                </c:pt>
                <c:pt idx="16">
                  <c:v>3.5133691478456601</c:v>
                </c:pt>
                <c:pt idx="17">
                  <c:v>1.9614607616546968</c:v>
                </c:pt>
                <c:pt idx="18">
                  <c:v>-0.83078294920394813</c:v>
                </c:pt>
                <c:pt idx="19">
                  <c:v>-0.30410997536084072</c:v>
                </c:pt>
                <c:pt idx="20">
                  <c:v>-3.7301133457366804</c:v>
                </c:pt>
                <c:pt idx="21">
                  <c:v>-19.625823217894649</c:v>
                </c:pt>
                <c:pt idx="22">
                  <c:v>-12.596221073437585</c:v>
                </c:pt>
                <c:pt idx="23">
                  <c:v>-10.949293332627146</c:v>
                </c:pt>
                <c:pt idx="24">
                  <c:v>-6.8072748090039994</c:v>
                </c:pt>
                <c:pt idx="25">
                  <c:v>14.153289749565971</c:v>
                </c:pt>
              </c:numCache>
            </c:numRef>
          </c:val>
          <c:smooth val="0"/>
          <c:extLst>
            <c:ext xmlns:c16="http://schemas.microsoft.com/office/drawing/2014/chart" uri="{C3380CC4-5D6E-409C-BE32-E72D297353CC}">
              <c16:uniqueId val="{00000006-CABC-4F7E-8882-F7DF3F27F113}"/>
            </c:ext>
          </c:extLst>
        </c:ser>
        <c:dLbls>
          <c:showLegendKey val="0"/>
          <c:showVal val="0"/>
          <c:showCatName val="0"/>
          <c:showSerName val="0"/>
          <c:showPercent val="0"/>
          <c:showBubbleSize val="0"/>
        </c:dLbls>
        <c:marker val="1"/>
        <c:smooth val="0"/>
        <c:axId val="156100864"/>
        <c:axId val="156573696"/>
      </c:lineChart>
      <c:lineChart>
        <c:grouping val="standard"/>
        <c:varyColors val="0"/>
        <c:ser>
          <c:idx val="7"/>
          <c:order val="7"/>
          <c:tx>
            <c:strRef>
              <c:f>'Služby-příspěvkyk růstu'!$J$25</c:f>
              <c:strCache>
                <c:ptCount val="1"/>
                <c:pt idx="0">
                  <c:v>Balance of confidence in services</c:v>
                </c:pt>
              </c:strCache>
            </c:strRef>
          </c:tx>
          <c:spPr>
            <a:ln w="3175">
              <a:solidFill>
                <a:schemeClr val="bg1">
                  <a:lumMod val="50000"/>
                </a:schemeClr>
              </a:solidFill>
              <a:prstDash val="sysDash"/>
            </a:ln>
          </c:spPr>
          <c:marker>
            <c:symbol val="diamond"/>
            <c:size val="5"/>
            <c:spPr>
              <a:solidFill>
                <a:srgbClr val="FFFF00"/>
              </a:solidFill>
              <a:ln w="6350">
                <a:solidFill>
                  <a:schemeClr val="tx1">
                    <a:lumMod val="95000"/>
                    <a:lumOff val="5000"/>
                  </a:schemeClr>
                </a:solidFill>
              </a:ln>
            </c:spPr>
          </c:marker>
          <c:cat>
            <c:multiLvlStrRef>
              <c:f>'Služby-příspěvkyk růstu'!$A$38:$B$64</c:f>
              <c:multiLvlStrCache>
                <c:ptCount val="27"/>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lvl>
                <c:lvl>
                  <c:pt idx="0">
                    <c:v>2015</c:v>
                  </c:pt>
                  <c:pt idx="4">
                    <c:v>2016</c:v>
                  </c:pt>
                  <c:pt idx="8">
                    <c:v>2017</c:v>
                  </c:pt>
                  <c:pt idx="12">
                    <c:v>2018</c:v>
                  </c:pt>
                  <c:pt idx="16">
                    <c:v>2019</c:v>
                  </c:pt>
                  <c:pt idx="20">
                    <c:v>2020</c:v>
                  </c:pt>
                  <c:pt idx="24">
                    <c:v>2021</c:v>
                  </c:pt>
                </c:lvl>
              </c:multiLvlStrCache>
            </c:multiLvlStrRef>
          </c:cat>
          <c:val>
            <c:numRef>
              <c:f>'Služby-příspěvkyk růstu'!$J$38:$J$64</c:f>
              <c:numCache>
                <c:formatCode>0.0</c:formatCode>
                <c:ptCount val="27"/>
                <c:pt idx="0">
                  <c:v>29.7</c:v>
                </c:pt>
                <c:pt idx="1">
                  <c:v>28.7</c:v>
                </c:pt>
                <c:pt idx="2">
                  <c:v>31.3</c:v>
                </c:pt>
                <c:pt idx="3">
                  <c:v>32.700000000000003</c:v>
                </c:pt>
                <c:pt idx="4">
                  <c:v>32.299999999999997</c:v>
                </c:pt>
                <c:pt idx="5">
                  <c:v>33</c:v>
                </c:pt>
                <c:pt idx="6">
                  <c:v>33</c:v>
                </c:pt>
                <c:pt idx="7">
                  <c:v>37.700000000000003</c:v>
                </c:pt>
                <c:pt idx="8">
                  <c:v>35.299999999999997</c:v>
                </c:pt>
                <c:pt idx="9">
                  <c:v>37.700000000000003</c:v>
                </c:pt>
                <c:pt idx="10">
                  <c:v>37.299999999999997</c:v>
                </c:pt>
                <c:pt idx="11">
                  <c:v>35.700000000000003</c:v>
                </c:pt>
                <c:pt idx="12">
                  <c:v>38.299999999999997</c:v>
                </c:pt>
                <c:pt idx="13">
                  <c:v>37</c:v>
                </c:pt>
                <c:pt idx="14">
                  <c:v>38.299999999999997</c:v>
                </c:pt>
                <c:pt idx="15">
                  <c:v>40.700000000000003</c:v>
                </c:pt>
                <c:pt idx="16">
                  <c:v>39.299999999999997</c:v>
                </c:pt>
                <c:pt idx="17">
                  <c:v>33.700000000000003</c:v>
                </c:pt>
                <c:pt idx="18">
                  <c:v>35</c:v>
                </c:pt>
                <c:pt idx="19">
                  <c:v>32.700000000000003</c:v>
                </c:pt>
                <c:pt idx="20">
                  <c:v>29</c:v>
                </c:pt>
                <c:pt idx="21">
                  <c:v>-13.3</c:v>
                </c:pt>
                <c:pt idx="22">
                  <c:v>1</c:v>
                </c:pt>
                <c:pt idx="23">
                  <c:v>-5</c:v>
                </c:pt>
                <c:pt idx="24">
                  <c:v>8</c:v>
                </c:pt>
                <c:pt idx="25">
                  <c:v>22.3</c:v>
                </c:pt>
                <c:pt idx="26">
                  <c:v>24.3</c:v>
                </c:pt>
              </c:numCache>
            </c:numRef>
          </c:val>
          <c:smooth val="0"/>
          <c:extLst>
            <c:ext xmlns:c16="http://schemas.microsoft.com/office/drawing/2014/chart" uri="{C3380CC4-5D6E-409C-BE32-E72D297353CC}">
              <c16:uniqueId val="{00000007-CABC-4F7E-8882-F7DF3F27F113}"/>
            </c:ext>
          </c:extLst>
        </c:ser>
        <c:ser>
          <c:idx val="8"/>
          <c:order val="8"/>
          <c:tx>
            <c:strRef>
              <c:f>'Služby-příspěvkyk růstu'!$K$25</c:f>
              <c:strCache>
                <c:ptCount val="1"/>
                <c:pt idx="0">
                  <c:v>Growth barrier: inadequate demand</c:v>
                </c:pt>
              </c:strCache>
            </c:strRef>
          </c:tx>
          <c:spPr>
            <a:ln w="15875">
              <a:solidFill>
                <a:srgbClr val="00B050"/>
              </a:solidFill>
            </a:ln>
          </c:spPr>
          <c:marker>
            <c:symbol val="none"/>
          </c:marker>
          <c:cat>
            <c:multiLvlStrRef>
              <c:f>'Služby-příspěvkyk růstu'!$A$38:$B$64</c:f>
              <c:multiLvlStrCache>
                <c:ptCount val="27"/>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lvl>
                <c:lvl>
                  <c:pt idx="0">
                    <c:v>2015</c:v>
                  </c:pt>
                  <c:pt idx="4">
                    <c:v>2016</c:v>
                  </c:pt>
                  <c:pt idx="8">
                    <c:v>2017</c:v>
                  </c:pt>
                  <c:pt idx="12">
                    <c:v>2018</c:v>
                  </c:pt>
                  <c:pt idx="16">
                    <c:v>2019</c:v>
                  </c:pt>
                  <c:pt idx="20">
                    <c:v>2020</c:v>
                  </c:pt>
                  <c:pt idx="24">
                    <c:v>2021</c:v>
                  </c:pt>
                </c:lvl>
              </c:multiLvlStrCache>
            </c:multiLvlStrRef>
          </c:cat>
          <c:val>
            <c:numRef>
              <c:f>'Služby-příspěvkyk růstu'!$K$38:$K$64</c:f>
              <c:numCache>
                <c:formatCode>#\ ##0.0</c:formatCode>
                <c:ptCount val="27"/>
                <c:pt idx="0">
                  <c:v>26.2</c:v>
                </c:pt>
                <c:pt idx="1">
                  <c:v>29</c:v>
                </c:pt>
                <c:pt idx="2">
                  <c:v>26.9</c:v>
                </c:pt>
                <c:pt idx="3">
                  <c:v>23.3</c:v>
                </c:pt>
                <c:pt idx="4">
                  <c:v>24</c:v>
                </c:pt>
                <c:pt idx="5">
                  <c:v>24.5</c:v>
                </c:pt>
                <c:pt idx="6">
                  <c:v>21</c:v>
                </c:pt>
                <c:pt idx="7">
                  <c:v>23.3</c:v>
                </c:pt>
                <c:pt idx="8">
                  <c:v>26.2</c:v>
                </c:pt>
                <c:pt idx="9">
                  <c:v>20.5</c:v>
                </c:pt>
                <c:pt idx="10">
                  <c:v>19.899999999999999</c:v>
                </c:pt>
                <c:pt idx="11">
                  <c:v>20.9</c:v>
                </c:pt>
                <c:pt idx="12">
                  <c:v>17.3</c:v>
                </c:pt>
                <c:pt idx="13">
                  <c:v>18.600000000000001</c:v>
                </c:pt>
                <c:pt idx="14">
                  <c:v>18.899999999999999</c:v>
                </c:pt>
                <c:pt idx="15">
                  <c:v>19.8</c:v>
                </c:pt>
                <c:pt idx="16">
                  <c:v>20.7</c:v>
                </c:pt>
                <c:pt idx="17">
                  <c:v>17.100000000000001</c:v>
                </c:pt>
                <c:pt idx="18">
                  <c:v>21.7</c:v>
                </c:pt>
                <c:pt idx="19">
                  <c:v>14.1</c:v>
                </c:pt>
                <c:pt idx="20">
                  <c:v>20.399999999999999</c:v>
                </c:pt>
                <c:pt idx="21">
                  <c:v>29.1</c:v>
                </c:pt>
                <c:pt idx="22">
                  <c:v>30.9</c:v>
                </c:pt>
                <c:pt idx="23">
                  <c:v>39</c:v>
                </c:pt>
                <c:pt idx="24">
                  <c:v>35.799999999999997</c:v>
                </c:pt>
                <c:pt idx="25">
                  <c:v>37.1</c:v>
                </c:pt>
                <c:pt idx="26">
                  <c:v>30.9</c:v>
                </c:pt>
              </c:numCache>
            </c:numRef>
          </c:val>
          <c:smooth val="0"/>
          <c:extLst>
            <c:ext xmlns:c16="http://schemas.microsoft.com/office/drawing/2014/chart" uri="{C3380CC4-5D6E-409C-BE32-E72D297353CC}">
              <c16:uniqueId val="{00000008-CABC-4F7E-8882-F7DF3F27F113}"/>
            </c:ext>
          </c:extLst>
        </c:ser>
        <c:ser>
          <c:idx val="9"/>
          <c:order val="9"/>
          <c:tx>
            <c:strRef>
              <c:f>'Služby-příspěvkyk růstu'!$L$25</c:f>
              <c:strCache>
                <c:ptCount val="1"/>
                <c:pt idx="0">
                  <c:v>Growth barrier: lack of workers</c:v>
                </c:pt>
              </c:strCache>
            </c:strRef>
          </c:tx>
          <c:spPr>
            <a:ln w="15875">
              <a:solidFill>
                <a:srgbClr val="00B050"/>
              </a:solidFill>
              <a:prstDash val="sysDash"/>
            </a:ln>
          </c:spPr>
          <c:marker>
            <c:symbol val="none"/>
          </c:marker>
          <c:cat>
            <c:multiLvlStrRef>
              <c:f>'Služby-příspěvkyk růstu'!$A$38:$B$64</c:f>
              <c:multiLvlStrCache>
                <c:ptCount val="27"/>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lvl>
                <c:lvl>
                  <c:pt idx="0">
                    <c:v>2015</c:v>
                  </c:pt>
                  <c:pt idx="4">
                    <c:v>2016</c:v>
                  </c:pt>
                  <c:pt idx="8">
                    <c:v>2017</c:v>
                  </c:pt>
                  <c:pt idx="12">
                    <c:v>2018</c:v>
                  </c:pt>
                  <c:pt idx="16">
                    <c:v>2019</c:v>
                  </c:pt>
                  <c:pt idx="20">
                    <c:v>2020</c:v>
                  </c:pt>
                  <c:pt idx="24">
                    <c:v>2021</c:v>
                  </c:pt>
                </c:lvl>
              </c:multiLvlStrCache>
            </c:multiLvlStrRef>
          </c:cat>
          <c:val>
            <c:numRef>
              <c:f>'Služby-příspěvkyk růstu'!$L$38:$L$64</c:f>
              <c:numCache>
                <c:formatCode>#\ ##0.0</c:formatCode>
                <c:ptCount val="27"/>
                <c:pt idx="0">
                  <c:v>2.8</c:v>
                </c:pt>
                <c:pt idx="1">
                  <c:v>5.7</c:v>
                </c:pt>
                <c:pt idx="2">
                  <c:v>5.9</c:v>
                </c:pt>
                <c:pt idx="3">
                  <c:v>5.8</c:v>
                </c:pt>
                <c:pt idx="4">
                  <c:v>8.6999999999999993</c:v>
                </c:pt>
                <c:pt idx="5">
                  <c:v>4.5999999999999996</c:v>
                </c:pt>
                <c:pt idx="6">
                  <c:v>7.1</c:v>
                </c:pt>
                <c:pt idx="7">
                  <c:v>9.1</c:v>
                </c:pt>
                <c:pt idx="8">
                  <c:v>10.1</c:v>
                </c:pt>
                <c:pt idx="9">
                  <c:v>10</c:v>
                </c:pt>
                <c:pt idx="10">
                  <c:v>9.3000000000000007</c:v>
                </c:pt>
                <c:pt idx="11">
                  <c:v>12.2</c:v>
                </c:pt>
                <c:pt idx="12">
                  <c:v>14.2</c:v>
                </c:pt>
                <c:pt idx="13">
                  <c:v>16.600000000000001</c:v>
                </c:pt>
                <c:pt idx="14">
                  <c:v>17.3</c:v>
                </c:pt>
                <c:pt idx="15">
                  <c:v>18.600000000000001</c:v>
                </c:pt>
                <c:pt idx="16">
                  <c:v>19.600000000000001</c:v>
                </c:pt>
                <c:pt idx="17">
                  <c:v>16.600000000000001</c:v>
                </c:pt>
                <c:pt idx="18">
                  <c:v>21.2</c:v>
                </c:pt>
                <c:pt idx="19">
                  <c:v>19.100000000000001</c:v>
                </c:pt>
                <c:pt idx="20">
                  <c:v>19.7</c:v>
                </c:pt>
                <c:pt idx="21">
                  <c:v>12.1</c:v>
                </c:pt>
                <c:pt idx="22">
                  <c:v>9.8000000000000007</c:v>
                </c:pt>
                <c:pt idx="23">
                  <c:v>11.1</c:v>
                </c:pt>
                <c:pt idx="24">
                  <c:v>11.2</c:v>
                </c:pt>
                <c:pt idx="25">
                  <c:v>10.8</c:v>
                </c:pt>
                <c:pt idx="26">
                  <c:v>16.3</c:v>
                </c:pt>
              </c:numCache>
            </c:numRef>
          </c:val>
          <c:smooth val="0"/>
          <c:extLst>
            <c:ext xmlns:c16="http://schemas.microsoft.com/office/drawing/2014/chart" uri="{C3380CC4-5D6E-409C-BE32-E72D297353CC}">
              <c16:uniqueId val="{00000009-CABC-4F7E-8882-F7DF3F27F113}"/>
            </c:ext>
          </c:extLst>
        </c:ser>
        <c:dLbls>
          <c:showLegendKey val="0"/>
          <c:showVal val="0"/>
          <c:showCatName val="0"/>
          <c:showSerName val="0"/>
          <c:showPercent val="0"/>
          <c:showBubbleSize val="0"/>
        </c:dLbls>
        <c:marker val="1"/>
        <c:smooth val="0"/>
        <c:axId val="156576768"/>
        <c:axId val="156575232"/>
      </c:lineChart>
      <c:catAx>
        <c:axId val="156100864"/>
        <c:scaling>
          <c:orientation val="minMax"/>
        </c:scaling>
        <c:delete val="0"/>
        <c:axPos val="b"/>
        <c:numFmt formatCode="General" sourceLinked="0"/>
        <c:majorTickMark val="out"/>
        <c:minorTickMark val="none"/>
        <c:tickLblPos val="low"/>
        <c:txPr>
          <a:bodyPr/>
          <a:lstStyle/>
          <a:p>
            <a:pPr>
              <a:defRPr sz="800"/>
            </a:pPr>
            <a:endParaRPr lang="cs-CZ"/>
          </a:p>
        </c:txPr>
        <c:crossAx val="156573696"/>
        <c:crosses val="autoZero"/>
        <c:auto val="1"/>
        <c:lblAlgn val="ctr"/>
        <c:lblOffset val="0"/>
        <c:noMultiLvlLbl val="0"/>
      </c:catAx>
      <c:valAx>
        <c:axId val="156573696"/>
        <c:scaling>
          <c:orientation val="minMax"/>
          <c:max val="15"/>
          <c:min val="-21"/>
        </c:scaling>
        <c:delete val="0"/>
        <c:axPos val="l"/>
        <c:majorGridlines>
          <c:spPr>
            <a:ln w="6350">
              <a:solidFill>
                <a:schemeClr val="bg1">
                  <a:lumMod val="75000"/>
                </a:schemeClr>
              </a:solidFill>
            </a:ln>
          </c:spPr>
        </c:majorGridlines>
        <c:title>
          <c:tx>
            <c:rich>
              <a:bodyPr/>
              <a:lstStyle/>
              <a:p>
                <a:pPr>
                  <a:defRPr sz="700" b="0" i="1"/>
                </a:pPr>
                <a:r>
                  <a:rPr lang="cs-CZ" sz="700" b="0" i="1"/>
                  <a:t>Contribution to the growth of sales</a:t>
                </a:r>
              </a:p>
            </c:rich>
          </c:tx>
          <c:layout>
            <c:manualLayout>
              <c:xMode val="edge"/>
              <c:yMode val="edge"/>
              <c:x val="0"/>
              <c:y val="0.14706869519270974"/>
            </c:manualLayout>
          </c:layout>
          <c:overlay val="0"/>
        </c:title>
        <c:numFmt formatCode="0" sourceLinked="0"/>
        <c:majorTickMark val="out"/>
        <c:minorTickMark val="none"/>
        <c:tickLblPos val="nextTo"/>
        <c:txPr>
          <a:bodyPr/>
          <a:lstStyle/>
          <a:p>
            <a:pPr>
              <a:defRPr sz="800"/>
            </a:pPr>
            <a:endParaRPr lang="cs-CZ"/>
          </a:p>
        </c:txPr>
        <c:crossAx val="156100864"/>
        <c:crosses val="autoZero"/>
        <c:crossBetween val="between"/>
        <c:majorUnit val="3"/>
      </c:valAx>
      <c:valAx>
        <c:axId val="156575232"/>
        <c:scaling>
          <c:orientation val="minMax"/>
          <c:max val="100"/>
          <c:min val="-20"/>
        </c:scaling>
        <c:delete val="0"/>
        <c:axPos val="r"/>
        <c:title>
          <c:tx>
            <c:rich>
              <a:bodyPr/>
              <a:lstStyle/>
              <a:p>
                <a:pPr>
                  <a:defRPr sz="700" b="0" i="1"/>
                </a:pPr>
                <a:r>
                  <a:rPr lang="cs-CZ" sz="700" b="0" i="1"/>
                  <a:t>Balance of confidence indicator, Growth barriers</a:t>
                </a:r>
              </a:p>
            </c:rich>
          </c:tx>
          <c:overlay val="0"/>
        </c:title>
        <c:numFmt formatCode="0" sourceLinked="0"/>
        <c:majorTickMark val="out"/>
        <c:minorTickMark val="none"/>
        <c:tickLblPos val="nextTo"/>
        <c:txPr>
          <a:bodyPr/>
          <a:lstStyle/>
          <a:p>
            <a:pPr>
              <a:defRPr sz="800"/>
            </a:pPr>
            <a:endParaRPr lang="cs-CZ"/>
          </a:p>
        </c:txPr>
        <c:crossAx val="156576768"/>
        <c:crosses val="max"/>
        <c:crossBetween val="between"/>
        <c:majorUnit val="10"/>
      </c:valAx>
      <c:catAx>
        <c:axId val="156576768"/>
        <c:scaling>
          <c:orientation val="minMax"/>
        </c:scaling>
        <c:delete val="1"/>
        <c:axPos val="b"/>
        <c:numFmt formatCode="General" sourceLinked="1"/>
        <c:majorTickMark val="out"/>
        <c:minorTickMark val="none"/>
        <c:tickLblPos val="none"/>
        <c:crossAx val="156575232"/>
        <c:crosses val="autoZero"/>
        <c:auto val="1"/>
        <c:lblAlgn val="ctr"/>
        <c:lblOffset val="100"/>
        <c:noMultiLvlLbl val="0"/>
      </c:catAx>
      <c:spPr>
        <a:ln>
          <a:solidFill>
            <a:schemeClr val="tx1"/>
          </a:solidFill>
        </a:ln>
      </c:spPr>
    </c:plotArea>
    <c:legend>
      <c:legendPos val="r"/>
      <c:layout>
        <c:manualLayout>
          <c:xMode val="edge"/>
          <c:yMode val="edge"/>
          <c:x val="6.4054887921739166E-5"/>
          <c:y val="0.81821506531821531"/>
          <c:w val="0.98649823440865303"/>
          <c:h val="0.17117269183021638"/>
        </c:manualLayout>
      </c:layout>
      <c:overlay val="0"/>
      <c:spPr>
        <a:ln w="6350">
          <a:solidFill>
            <a:schemeClr val="tx1"/>
          </a:solidFill>
        </a:ln>
      </c:spPr>
      <c:txPr>
        <a:bodyPr/>
        <a:lstStyle/>
        <a:p>
          <a:pPr>
            <a:defRPr sz="800"/>
          </a:pPr>
          <a:endParaRPr lang="cs-CZ"/>
        </a:p>
      </c:txPr>
    </c:legend>
    <c:plotVisOnly val="1"/>
    <c:dispBlanksAs val="gap"/>
    <c:showDLblsOverMax val="0"/>
  </c:chart>
  <c:spPr>
    <a:ln>
      <a:noFill/>
    </a:ln>
  </c:spPr>
  <c:txPr>
    <a:bodyPr/>
    <a:lstStyle/>
    <a:p>
      <a:pPr>
        <a:defRPr sz="1500" baseline="0">
          <a:latin typeface="Arial" pitchFamily="34" charset="0"/>
        </a:defRPr>
      </a:pPr>
      <a:endParaRPr lang="cs-CZ"/>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9244B8-2F7B-4986-932C-27DBED31F250}">
  <ds:schemaRefs>
    <ds:schemaRef ds:uri="http://schemas.openxmlformats.org/officeDocument/2006/bibliography"/>
  </ds:schemaRefs>
</ds:datastoreItem>
</file>

<file path=customXml/itemProps2.xml><?xml version="1.0" encoding="utf-8"?>
<ds:datastoreItem xmlns:ds="http://schemas.openxmlformats.org/officeDocument/2006/customXml" ds:itemID="{F440E9B2-F73D-4D08-9A5D-FB35FC933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Q_analyza_Q12018.dotx</Template>
  <TotalTime>285</TotalTime>
  <Pages>8</Pages>
  <Words>3821</Words>
  <Characters>22544</Characters>
  <Application>Microsoft Office Word</Application>
  <DocSecurity>0</DocSecurity>
  <Lines>187</Lines>
  <Paragraphs>52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CSU</Company>
  <LinksUpToDate>false</LinksUpToDate>
  <CharactersWithSpaces>26313</CharactersWithSpaces>
  <SharedDoc>false</SharedDoc>
  <HLinks>
    <vt:vector size="18" baseType="variant">
      <vt:variant>
        <vt:i4>7602181</vt:i4>
      </vt:variant>
      <vt:variant>
        <vt:i4>11092</vt:i4>
      </vt:variant>
      <vt:variant>
        <vt:i4>1025</vt:i4>
      </vt:variant>
      <vt:variant>
        <vt:i4>1</vt:i4>
      </vt:variant>
      <vt:variant>
        <vt:lpwstr>msoFAAF</vt:lpwstr>
      </vt:variant>
      <vt:variant>
        <vt:lpwstr/>
      </vt:variant>
      <vt:variant>
        <vt:i4>7995509</vt:i4>
      </vt:variant>
      <vt:variant>
        <vt:i4>-1</vt:i4>
      </vt:variant>
      <vt:variant>
        <vt:i4>2058</vt:i4>
      </vt:variant>
      <vt:variant>
        <vt:i4>1</vt:i4>
      </vt:variant>
      <vt:variant>
        <vt:lpwstr>CSU RGB CZ logo-02</vt:lpwstr>
      </vt:variant>
      <vt:variant>
        <vt:lpwstr/>
      </vt:variant>
      <vt:variant>
        <vt:i4>7929973</vt:i4>
      </vt:variant>
      <vt:variant>
        <vt:i4>-1</vt:i4>
      </vt:variant>
      <vt:variant>
        <vt:i4>2059</vt:i4>
      </vt:variant>
      <vt:variant>
        <vt:i4>1</vt:i4>
      </vt:variant>
      <vt:variant>
        <vt:lpwstr>CSU RGB CZ logo-01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Mgr. Karolína Súkupová</dc:creator>
  <cp:lastModifiedBy>Mgr. Karolína Zábojníková</cp:lastModifiedBy>
  <cp:revision>13</cp:revision>
  <cp:lastPrinted>2019-04-08T10:52:00Z</cp:lastPrinted>
  <dcterms:created xsi:type="dcterms:W3CDTF">2021-10-13T08:35:00Z</dcterms:created>
  <dcterms:modified xsi:type="dcterms:W3CDTF">2021-10-14T10:34:00Z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9db9e61-aac5-4f6e-805d-ceb8cb9983a1_Enabled">
    <vt:lpwstr>true</vt:lpwstr>
  </property>
  <property fmtid="{D5CDD505-2E9C-101B-9397-08002B2CF9AE}" pid="3" name="MSIP_Label_29db9e61-aac5-4f6e-805d-ceb8cb9983a1_SetDate">
    <vt:lpwstr>2021-09-21T09:22:12Z</vt:lpwstr>
  </property>
  <property fmtid="{D5CDD505-2E9C-101B-9397-08002B2CF9AE}" pid="4" name="MSIP_Label_29db9e61-aac5-4f6e-805d-ceb8cb9983a1_Method">
    <vt:lpwstr>Standard</vt:lpwstr>
  </property>
  <property fmtid="{D5CDD505-2E9C-101B-9397-08002B2CF9AE}" pid="5" name="MSIP_Label_29db9e61-aac5-4f6e-805d-ceb8cb9983a1_Name">
    <vt:lpwstr>UniCredit - Internal Use Only - no visual markings</vt:lpwstr>
  </property>
  <property fmtid="{D5CDD505-2E9C-101B-9397-08002B2CF9AE}" pid="6" name="MSIP_Label_29db9e61-aac5-4f6e-805d-ceb8cb9983a1_SiteId">
    <vt:lpwstr>2cc49ce9-66a1-41ac-a96b-bdc54247696a</vt:lpwstr>
  </property>
  <property fmtid="{D5CDD505-2E9C-101B-9397-08002B2CF9AE}" pid="7" name="MSIP_Label_29db9e61-aac5-4f6e-805d-ceb8cb9983a1_ActionId">
    <vt:lpwstr>4c807463-2e13-4ff5-a9c2-71b88174dae9</vt:lpwstr>
  </property>
  <property fmtid="{D5CDD505-2E9C-101B-9397-08002B2CF9AE}" pid="8" name="MSIP_Label_29db9e61-aac5-4f6e-805d-ceb8cb9983a1_ContentBits">
    <vt:lpwstr>0</vt:lpwstr>
  </property>
</Properties>
</file>