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D95" w:rsidRDefault="00422D95" w:rsidP="008414DF">
      <w:pPr>
        <w:pStyle w:val="Nadpis1"/>
        <w:spacing w:after="240" w:line="240" w:lineRule="auto"/>
        <w:rPr>
          <w:rFonts w:ascii="Arial" w:hAnsi="Arial" w:cs="Arial"/>
          <w:sz w:val="24"/>
        </w:rPr>
      </w:pPr>
      <w:bookmarkStart w:id="0" w:name="_GoBack"/>
      <w:bookmarkEnd w:id="0"/>
      <w:r>
        <w:rPr>
          <w:rFonts w:ascii="Arial" w:hAnsi="Arial" w:cs="Arial"/>
          <w:sz w:val="24"/>
        </w:rPr>
        <w:t>METODICKÉ VYSVĚTLIVKY</w:t>
      </w:r>
    </w:p>
    <w:p w:rsidR="00422D95" w:rsidRDefault="00422D95" w:rsidP="00422D95">
      <w:pPr>
        <w:spacing w:before="120" w:after="120"/>
        <w:ind w:firstLine="567"/>
        <w:jc w:val="both"/>
        <w:rPr>
          <w:rFonts w:ascii="Arial" w:hAnsi="Arial" w:cs="Arial"/>
          <w:sz w:val="20"/>
        </w:rPr>
      </w:pPr>
      <w:r>
        <w:rPr>
          <w:rFonts w:ascii="Arial" w:hAnsi="Arial" w:cs="Arial"/>
          <w:sz w:val="20"/>
        </w:rPr>
        <w:t>Publikace uvádí výsledky statistiky spotřeby jednotlivých potra</w:t>
      </w:r>
      <w:r w:rsidR="00DA1852">
        <w:rPr>
          <w:rFonts w:ascii="Arial" w:hAnsi="Arial" w:cs="Arial"/>
          <w:sz w:val="20"/>
        </w:rPr>
        <w:t>vin a</w:t>
      </w:r>
      <w:r w:rsidR="0037730A">
        <w:rPr>
          <w:rFonts w:ascii="Arial" w:hAnsi="Arial" w:cs="Arial"/>
          <w:sz w:val="20"/>
        </w:rPr>
        <w:t xml:space="preserve"> nápojů za rok 2021</w:t>
      </w:r>
      <w:r>
        <w:rPr>
          <w:rFonts w:ascii="Arial" w:hAnsi="Arial" w:cs="Arial"/>
          <w:sz w:val="20"/>
        </w:rPr>
        <w:t xml:space="preserve">, pro snadnou orientaci uživatelů dále též </w:t>
      </w:r>
      <w:r w:rsidR="00DF64A7">
        <w:rPr>
          <w:rFonts w:ascii="Arial" w:hAnsi="Arial" w:cs="Arial"/>
          <w:sz w:val="20"/>
        </w:rPr>
        <w:t>údaje v časové řadě od ro</w:t>
      </w:r>
      <w:r w:rsidR="00DF64A7" w:rsidRPr="00E83BB9">
        <w:rPr>
          <w:rFonts w:ascii="Arial" w:hAnsi="Arial" w:cs="Arial"/>
          <w:sz w:val="20"/>
        </w:rPr>
        <w:t xml:space="preserve">ku </w:t>
      </w:r>
      <w:r w:rsidR="0037730A">
        <w:rPr>
          <w:rFonts w:ascii="Arial" w:hAnsi="Arial" w:cs="Arial"/>
          <w:sz w:val="20"/>
        </w:rPr>
        <w:t>2012</w:t>
      </w:r>
      <w:r w:rsidRPr="00E83BB9">
        <w:rPr>
          <w:rFonts w:ascii="Arial" w:hAnsi="Arial" w:cs="Arial"/>
          <w:sz w:val="20"/>
        </w:rPr>
        <w:t xml:space="preserve"> po jedn</w:t>
      </w:r>
      <w:r>
        <w:rPr>
          <w:rFonts w:ascii="Arial" w:hAnsi="Arial" w:cs="Arial"/>
          <w:sz w:val="20"/>
        </w:rPr>
        <w:t>otlivých letech.</w:t>
      </w:r>
    </w:p>
    <w:p w:rsidR="00496D61" w:rsidRPr="00496D61" w:rsidRDefault="00496D61" w:rsidP="00496D61">
      <w:pPr>
        <w:spacing w:before="120" w:after="120"/>
        <w:ind w:firstLine="567"/>
        <w:jc w:val="both"/>
        <w:rPr>
          <w:rFonts w:ascii="Arial" w:hAnsi="Arial" w:cs="Arial"/>
          <w:sz w:val="20"/>
        </w:rPr>
      </w:pPr>
      <w:r w:rsidRPr="00496D61">
        <w:rPr>
          <w:rFonts w:ascii="Arial" w:hAnsi="Arial" w:cs="Arial"/>
          <w:sz w:val="20"/>
        </w:rPr>
        <w:t>Součty, indexy v tabulkách a výpočty v komentáři jsou vypočítány z nezaokrouhlených čísel.</w:t>
      </w:r>
    </w:p>
    <w:p w:rsidR="00422D95" w:rsidRDefault="00422D95" w:rsidP="00422D95">
      <w:pPr>
        <w:spacing w:before="120" w:after="120"/>
        <w:ind w:firstLine="567"/>
        <w:jc w:val="both"/>
        <w:rPr>
          <w:rFonts w:ascii="Arial" w:hAnsi="Arial" w:cs="Arial"/>
          <w:sz w:val="20"/>
        </w:rPr>
      </w:pPr>
      <w:r>
        <w:rPr>
          <w:rFonts w:ascii="Arial" w:hAnsi="Arial" w:cs="Arial"/>
          <w:sz w:val="20"/>
        </w:rPr>
        <w:t>Údaje pro výpočet spotřeby potravin a nápojů byly zpracovány bilanční metodou na základě následujících statistických informací:</w:t>
      </w:r>
    </w:p>
    <w:p w:rsidR="00422D95" w:rsidRDefault="00422D95" w:rsidP="00422D95">
      <w:pPr>
        <w:numPr>
          <w:ilvl w:val="0"/>
          <w:numId w:val="1"/>
        </w:numPr>
        <w:spacing w:before="120"/>
        <w:jc w:val="both"/>
        <w:rPr>
          <w:rFonts w:ascii="Arial" w:hAnsi="Arial" w:cs="Arial"/>
          <w:sz w:val="20"/>
        </w:rPr>
      </w:pPr>
      <w:r>
        <w:rPr>
          <w:rFonts w:ascii="Arial" w:hAnsi="Arial" w:cs="Arial"/>
          <w:sz w:val="20"/>
        </w:rPr>
        <w:t>Výsledky statis</w:t>
      </w:r>
      <w:r w:rsidR="004C333C">
        <w:rPr>
          <w:rFonts w:ascii="Arial" w:hAnsi="Arial" w:cs="Arial"/>
          <w:sz w:val="20"/>
        </w:rPr>
        <w:t>t</w:t>
      </w:r>
      <w:r w:rsidR="00E17129">
        <w:rPr>
          <w:rFonts w:ascii="Arial" w:hAnsi="Arial" w:cs="Arial"/>
          <w:sz w:val="20"/>
        </w:rPr>
        <w:t>iky živočišné výroby za rok 2021</w:t>
      </w:r>
    </w:p>
    <w:p w:rsidR="00422D95" w:rsidRDefault="00422D95" w:rsidP="00422D95">
      <w:pPr>
        <w:numPr>
          <w:ilvl w:val="0"/>
          <w:numId w:val="1"/>
        </w:numPr>
        <w:jc w:val="both"/>
        <w:rPr>
          <w:rFonts w:ascii="Arial" w:hAnsi="Arial" w:cs="Arial"/>
          <w:sz w:val="20"/>
        </w:rPr>
      </w:pPr>
      <w:r>
        <w:rPr>
          <w:rFonts w:ascii="Arial" w:hAnsi="Arial" w:cs="Arial"/>
          <w:sz w:val="20"/>
        </w:rPr>
        <w:t>Definitivní údaje o sklizn</w:t>
      </w:r>
      <w:r w:rsidR="004C333C">
        <w:rPr>
          <w:rFonts w:ascii="Arial" w:hAnsi="Arial" w:cs="Arial"/>
          <w:sz w:val="20"/>
        </w:rPr>
        <w:t>i</w:t>
      </w:r>
      <w:r w:rsidR="00E17129">
        <w:rPr>
          <w:rFonts w:ascii="Arial" w:hAnsi="Arial" w:cs="Arial"/>
          <w:sz w:val="20"/>
        </w:rPr>
        <w:t xml:space="preserve"> zemědělských plodin za rok 2021</w:t>
      </w:r>
    </w:p>
    <w:p w:rsidR="00422D95" w:rsidRDefault="00422D95" w:rsidP="00422D95">
      <w:pPr>
        <w:numPr>
          <w:ilvl w:val="0"/>
          <w:numId w:val="1"/>
        </w:numPr>
        <w:jc w:val="both"/>
        <w:rPr>
          <w:rFonts w:ascii="Arial" w:hAnsi="Arial" w:cs="Arial"/>
          <w:sz w:val="20"/>
        </w:rPr>
      </w:pPr>
      <w:r w:rsidRPr="00AE0F29">
        <w:rPr>
          <w:rFonts w:ascii="Arial" w:hAnsi="Arial" w:cs="Arial"/>
          <w:sz w:val="20"/>
        </w:rPr>
        <w:t>Výroba vybraných výrobků v prů</w:t>
      </w:r>
      <w:r w:rsidR="004C333C">
        <w:rPr>
          <w:rFonts w:ascii="Arial" w:hAnsi="Arial" w:cs="Arial"/>
          <w:sz w:val="20"/>
        </w:rPr>
        <w:t>m</w:t>
      </w:r>
      <w:r w:rsidR="00E17129">
        <w:rPr>
          <w:rFonts w:ascii="Arial" w:hAnsi="Arial" w:cs="Arial"/>
          <w:sz w:val="20"/>
        </w:rPr>
        <w:t>yslu České republiky za rok 2021</w:t>
      </w:r>
      <w:r w:rsidRPr="00AE0F29">
        <w:rPr>
          <w:rFonts w:ascii="Arial" w:hAnsi="Arial" w:cs="Arial"/>
          <w:sz w:val="20"/>
        </w:rPr>
        <w:t xml:space="preserve"> (ve zvolených měrných jednotkách) </w:t>
      </w:r>
    </w:p>
    <w:p w:rsidR="00422D95" w:rsidRPr="00AE0F29" w:rsidRDefault="00422D95" w:rsidP="00422D95">
      <w:pPr>
        <w:numPr>
          <w:ilvl w:val="0"/>
          <w:numId w:val="1"/>
        </w:numPr>
        <w:jc w:val="both"/>
        <w:rPr>
          <w:rFonts w:ascii="Arial" w:hAnsi="Arial" w:cs="Arial"/>
          <w:sz w:val="20"/>
        </w:rPr>
      </w:pPr>
      <w:r w:rsidRPr="00AE0F29">
        <w:rPr>
          <w:rFonts w:ascii="Arial" w:hAnsi="Arial" w:cs="Arial"/>
          <w:sz w:val="20"/>
        </w:rPr>
        <w:t>Stav počátečních a konečných zásob v zemědělských organizacích</w:t>
      </w:r>
    </w:p>
    <w:p w:rsidR="00422D95" w:rsidRDefault="00422D95" w:rsidP="00422D95">
      <w:pPr>
        <w:numPr>
          <w:ilvl w:val="0"/>
          <w:numId w:val="1"/>
        </w:numPr>
        <w:jc w:val="both"/>
        <w:rPr>
          <w:rFonts w:ascii="Arial" w:hAnsi="Arial" w:cs="Arial"/>
          <w:sz w:val="20"/>
        </w:rPr>
      </w:pPr>
      <w:r>
        <w:rPr>
          <w:rFonts w:ascii="Arial" w:hAnsi="Arial" w:cs="Arial"/>
          <w:sz w:val="20"/>
        </w:rPr>
        <w:t>Stav počátečních a konečných zásob u výrobců potravinářských výrobků</w:t>
      </w:r>
    </w:p>
    <w:p w:rsidR="00422D95" w:rsidRPr="005A3720" w:rsidRDefault="00422D95" w:rsidP="00422D95">
      <w:pPr>
        <w:numPr>
          <w:ilvl w:val="0"/>
          <w:numId w:val="1"/>
        </w:numPr>
        <w:jc w:val="both"/>
        <w:rPr>
          <w:rFonts w:ascii="Arial" w:hAnsi="Arial" w:cs="Arial"/>
          <w:sz w:val="20"/>
        </w:rPr>
      </w:pPr>
      <w:r w:rsidRPr="005A3720">
        <w:rPr>
          <w:rFonts w:ascii="Arial" w:hAnsi="Arial" w:cs="Arial"/>
          <w:sz w:val="20"/>
        </w:rPr>
        <w:t>Dovoz a vývoz potravinářských výrobků ze statistiky zahraničního obchodu ČSÚ (se stavem k </w:t>
      </w:r>
      <w:r w:rsidR="005A3720" w:rsidRPr="005A3720">
        <w:rPr>
          <w:rFonts w:ascii="Arial" w:hAnsi="Arial" w:cs="Arial"/>
          <w:sz w:val="20"/>
        </w:rPr>
        <w:t>1</w:t>
      </w:r>
      <w:r w:rsidR="00052A7B" w:rsidRPr="005A3720">
        <w:rPr>
          <w:rFonts w:ascii="Arial" w:hAnsi="Arial" w:cs="Arial"/>
          <w:sz w:val="20"/>
        </w:rPr>
        <w:t>. 9</w:t>
      </w:r>
      <w:r w:rsidRPr="005A3720">
        <w:rPr>
          <w:rFonts w:ascii="Arial" w:hAnsi="Arial" w:cs="Arial"/>
          <w:sz w:val="20"/>
        </w:rPr>
        <w:t>.</w:t>
      </w:r>
      <w:r w:rsidR="00285102" w:rsidRPr="005A3720">
        <w:rPr>
          <w:rFonts w:ascii="Arial" w:hAnsi="Arial" w:cs="Arial"/>
          <w:sz w:val="20"/>
        </w:rPr>
        <w:t> </w:t>
      </w:r>
      <w:r w:rsidR="004C333C">
        <w:rPr>
          <w:rFonts w:ascii="Arial" w:hAnsi="Arial" w:cs="Arial"/>
          <w:sz w:val="20"/>
        </w:rPr>
        <w:t>202</w:t>
      </w:r>
      <w:r w:rsidR="00E17129">
        <w:rPr>
          <w:rFonts w:ascii="Arial" w:hAnsi="Arial" w:cs="Arial"/>
          <w:sz w:val="20"/>
        </w:rPr>
        <w:t>2</w:t>
      </w:r>
      <w:r w:rsidRPr="005A3720">
        <w:rPr>
          <w:rFonts w:ascii="Arial" w:hAnsi="Arial" w:cs="Arial"/>
          <w:sz w:val="20"/>
        </w:rPr>
        <w:t>)</w:t>
      </w:r>
    </w:p>
    <w:p w:rsidR="00422D95" w:rsidRDefault="00422D95" w:rsidP="00422D95">
      <w:pPr>
        <w:numPr>
          <w:ilvl w:val="0"/>
          <w:numId w:val="1"/>
        </w:numPr>
        <w:jc w:val="both"/>
        <w:rPr>
          <w:rFonts w:ascii="Arial" w:hAnsi="Arial" w:cs="Arial"/>
          <w:sz w:val="20"/>
        </w:rPr>
      </w:pPr>
      <w:r>
        <w:rPr>
          <w:rFonts w:ascii="Arial" w:hAnsi="Arial" w:cs="Arial"/>
          <w:sz w:val="20"/>
        </w:rPr>
        <w:t>Samozásobení potravinářskými výrobky</w:t>
      </w:r>
    </w:p>
    <w:p w:rsidR="00422D95" w:rsidRDefault="00422D95" w:rsidP="00422D95">
      <w:pPr>
        <w:spacing w:before="120" w:after="120"/>
        <w:ind w:firstLine="567"/>
        <w:jc w:val="both"/>
        <w:rPr>
          <w:rFonts w:ascii="Arial" w:hAnsi="Arial" w:cs="Arial"/>
          <w:sz w:val="20"/>
        </w:rPr>
      </w:pPr>
      <w:r>
        <w:rPr>
          <w:rFonts w:ascii="Arial" w:hAnsi="Arial" w:cs="Arial"/>
          <w:sz w:val="20"/>
        </w:rPr>
        <w:t>Dále byly k výpočtu využity údaje poskytnuté Ministerstvem zemědělství ČR, Ústavem zemědělské ekonomiky a informací, jednotlivými potravinářskými svazy a dalšími organizacemi.</w:t>
      </w:r>
    </w:p>
    <w:p w:rsidR="00422D95" w:rsidRDefault="00422D95" w:rsidP="00422D95">
      <w:pPr>
        <w:spacing w:before="120" w:after="120"/>
        <w:ind w:firstLine="567"/>
        <w:jc w:val="both"/>
        <w:rPr>
          <w:rFonts w:ascii="Arial" w:hAnsi="Arial" w:cs="Arial"/>
          <w:sz w:val="20"/>
        </w:rPr>
      </w:pPr>
      <w:r>
        <w:rPr>
          <w:rFonts w:ascii="Arial" w:hAnsi="Arial" w:cs="Arial"/>
          <w:sz w:val="20"/>
        </w:rPr>
        <w:t xml:space="preserve">Pro statistiku spotřeby potravin neexistuje žádná závazná klasifikace – ani v ČR ani v mezinárodním měřítku (EUROSTATu). Poprvé v publikaci "Spotřeba potravin v roce 2001" změnil Český statistický úřad pro snazší orientaci uspořádání do té doby publikovaných potravinových komodit. Jednotlivé položky spotřeby potravin jsou uspořádány tak, aby se jejich členění co nejvíce přiblížilo prvním dvěma oddílům klasifikace CZ-COICOP (Klasifikace individuální spotřeby podle účelu), která byla vytvořena v rámci transformace klasifikační soustavy jako česká verze mezinárodního standardu COICOP </w:t>
      </w:r>
      <w:r w:rsidRPr="008414DF">
        <w:rPr>
          <w:rFonts w:ascii="Arial" w:hAnsi="Arial" w:cs="Arial"/>
          <w:i/>
          <w:sz w:val="20"/>
        </w:rPr>
        <w:t>(Classification of Individual Consumption by Purpose)</w:t>
      </w:r>
      <w:r>
        <w:rPr>
          <w:rFonts w:ascii="Arial" w:hAnsi="Arial" w:cs="Arial"/>
          <w:sz w:val="20"/>
        </w:rPr>
        <w:t xml:space="preserve"> pro zajištění mezinárodní srovnatelnosti statistických ukazatelů a je, mimo jiné, používaná také ve statistice rodinných účtů.</w:t>
      </w:r>
    </w:p>
    <w:p w:rsidR="00422D95" w:rsidRDefault="00422D95" w:rsidP="00422D95">
      <w:pPr>
        <w:spacing w:before="120" w:after="120"/>
        <w:ind w:firstLine="567"/>
        <w:jc w:val="both"/>
        <w:rPr>
          <w:rFonts w:ascii="Arial" w:hAnsi="Arial" w:cs="Arial"/>
          <w:sz w:val="20"/>
        </w:rPr>
      </w:pPr>
      <w:r>
        <w:rPr>
          <w:rFonts w:ascii="Arial" w:hAnsi="Arial" w:cs="Arial"/>
          <w:sz w:val="20"/>
        </w:rPr>
        <w:t>Položky spotřeby potravin zahrnují dva základní oddíly: 01 – Potraviny a nealkoholické nápoje, 02 – Alkoholické nápoje a cigarety, které se dále člení na jednotlivé skupiny a podskupiny.</w:t>
      </w:r>
    </w:p>
    <w:p w:rsidR="00422D95" w:rsidRDefault="00422D95" w:rsidP="00422D95">
      <w:pPr>
        <w:spacing w:before="120" w:after="120"/>
        <w:ind w:firstLine="567"/>
        <w:jc w:val="both"/>
        <w:rPr>
          <w:rFonts w:ascii="Arial" w:hAnsi="Arial" w:cs="Arial"/>
          <w:sz w:val="20"/>
        </w:rPr>
      </w:pPr>
      <w:r>
        <w:rPr>
          <w:rFonts w:ascii="Arial" w:hAnsi="Arial" w:cs="Arial"/>
          <w:sz w:val="20"/>
        </w:rPr>
        <w:t>Spotřeba jednotlivých položek u potravin, nápojů a cigaret byla propočítána jako průměr na 1</w:t>
      </w:r>
      <w:r w:rsidR="00703CEA">
        <w:rPr>
          <w:rFonts w:ascii="Arial" w:hAnsi="Arial" w:cs="Arial"/>
          <w:sz w:val="20"/>
        </w:rPr>
        <w:t> </w:t>
      </w:r>
      <w:r>
        <w:rPr>
          <w:rFonts w:ascii="Arial" w:hAnsi="Arial" w:cs="Arial"/>
          <w:sz w:val="20"/>
        </w:rPr>
        <w:t>obyvatele České republiky. Počet obyvatel je dán středním stavem obyvatelstva k 1.</w:t>
      </w:r>
      <w:r w:rsidR="00703CEA">
        <w:rPr>
          <w:rFonts w:ascii="Arial" w:hAnsi="Arial" w:cs="Arial"/>
          <w:sz w:val="20"/>
        </w:rPr>
        <w:t> </w:t>
      </w:r>
      <w:r>
        <w:rPr>
          <w:rFonts w:ascii="Arial" w:hAnsi="Arial" w:cs="Arial"/>
          <w:sz w:val="20"/>
        </w:rPr>
        <w:t xml:space="preserve">7. v příslušném roce. V následující tabulce jsou uvedeny střední stavy </w:t>
      </w:r>
      <w:r w:rsidR="004C333C">
        <w:rPr>
          <w:rFonts w:ascii="Arial" w:hAnsi="Arial" w:cs="Arial"/>
          <w:sz w:val="20"/>
        </w:rPr>
        <w:t>obyvate</w:t>
      </w:r>
      <w:r w:rsidR="00E17129">
        <w:rPr>
          <w:rFonts w:ascii="Arial" w:hAnsi="Arial" w:cs="Arial"/>
          <w:sz w:val="20"/>
        </w:rPr>
        <w:t>lstva v letech 2012–2021</w:t>
      </w:r>
      <w:r>
        <w:rPr>
          <w:rFonts w:ascii="Arial" w:hAnsi="Arial" w:cs="Arial"/>
          <w:sz w:val="20"/>
        </w:rPr>
        <w:t>.</w:t>
      </w:r>
    </w:p>
    <w:tbl>
      <w:tblPr>
        <w:tblW w:w="0" w:type="auto"/>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131"/>
        <w:gridCol w:w="3390"/>
        <w:gridCol w:w="1131"/>
        <w:gridCol w:w="3390"/>
      </w:tblGrid>
      <w:tr w:rsidR="00422D95" w:rsidTr="0076202D">
        <w:trPr>
          <w:jc w:val="center"/>
        </w:trPr>
        <w:tc>
          <w:tcPr>
            <w:tcW w:w="1131" w:type="dxa"/>
            <w:tcBorders>
              <w:top w:val="single" w:sz="12" w:space="0" w:color="auto"/>
              <w:bottom w:val="double" w:sz="4" w:space="0" w:color="auto"/>
              <w:right w:val="single" w:sz="6"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Rok</w:t>
            </w:r>
          </w:p>
        </w:tc>
        <w:tc>
          <w:tcPr>
            <w:tcW w:w="3390" w:type="dxa"/>
            <w:tcBorders>
              <w:top w:val="single" w:sz="12" w:space="0" w:color="auto"/>
              <w:left w:val="single" w:sz="6" w:space="0" w:color="auto"/>
              <w:bottom w:val="double" w:sz="4" w:space="0" w:color="auto"/>
              <w:right w:val="single" w:sz="12"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Střední stav obyvatelstva</w:t>
            </w:r>
          </w:p>
        </w:tc>
        <w:tc>
          <w:tcPr>
            <w:tcW w:w="1131" w:type="dxa"/>
            <w:tcBorders>
              <w:top w:val="single" w:sz="12" w:space="0" w:color="auto"/>
              <w:left w:val="single" w:sz="12" w:space="0" w:color="auto"/>
              <w:bottom w:val="double" w:sz="4" w:space="0" w:color="auto"/>
              <w:right w:val="single" w:sz="6"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Rok</w:t>
            </w:r>
          </w:p>
        </w:tc>
        <w:tc>
          <w:tcPr>
            <w:tcW w:w="3390" w:type="dxa"/>
            <w:tcBorders>
              <w:top w:val="single" w:sz="12" w:space="0" w:color="auto"/>
              <w:left w:val="single" w:sz="6" w:space="0" w:color="auto"/>
              <w:bottom w:val="double" w:sz="4"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Střední stav obyvatelstva</w:t>
            </w:r>
          </w:p>
        </w:tc>
      </w:tr>
      <w:tr w:rsidR="00D41874" w:rsidTr="00DF64A7">
        <w:trPr>
          <w:jc w:val="center"/>
        </w:trPr>
        <w:tc>
          <w:tcPr>
            <w:tcW w:w="1131" w:type="dxa"/>
            <w:tcBorders>
              <w:top w:val="double" w:sz="4" w:space="0" w:color="auto"/>
              <w:bottom w:val="dotted" w:sz="6" w:space="0" w:color="auto"/>
              <w:right w:val="single" w:sz="6" w:space="0" w:color="auto"/>
            </w:tcBorders>
            <w:vAlign w:val="center"/>
          </w:tcPr>
          <w:p w:rsidR="00D41874" w:rsidRPr="00DF64A7" w:rsidRDefault="00E17129" w:rsidP="00131697">
            <w:pPr>
              <w:spacing w:before="120"/>
              <w:jc w:val="center"/>
              <w:rPr>
                <w:rFonts w:ascii="Arial" w:hAnsi="Arial" w:cs="Arial"/>
                <w:sz w:val="20"/>
                <w:szCs w:val="20"/>
              </w:rPr>
            </w:pPr>
            <w:r>
              <w:rPr>
                <w:rFonts w:ascii="Arial" w:hAnsi="Arial" w:cs="Arial"/>
                <w:sz w:val="20"/>
                <w:szCs w:val="20"/>
              </w:rPr>
              <w:t>2012</w:t>
            </w:r>
          </w:p>
        </w:tc>
        <w:tc>
          <w:tcPr>
            <w:tcW w:w="3390" w:type="dxa"/>
            <w:tcBorders>
              <w:top w:val="double" w:sz="4" w:space="0" w:color="auto"/>
              <w:left w:val="single" w:sz="6" w:space="0" w:color="auto"/>
              <w:bottom w:val="dotted" w:sz="6" w:space="0" w:color="auto"/>
              <w:right w:val="single" w:sz="12" w:space="0" w:color="auto"/>
            </w:tcBorders>
            <w:vAlign w:val="center"/>
          </w:tcPr>
          <w:p w:rsidR="00D41874" w:rsidRPr="00DF64A7" w:rsidRDefault="00E17129" w:rsidP="00131697">
            <w:pPr>
              <w:spacing w:before="120"/>
              <w:jc w:val="center"/>
              <w:rPr>
                <w:rFonts w:ascii="Arial" w:hAnsi="Arial" w:cs="Arial"/>
                <w:sz w:val="20"/>
                <w:szCs w:val="20"/>
              </w:rPr>
            </w:pPr>
            <w:r>
              <w:rPr>
                <w:rFonts w:ascii="Arial" w:hAnsi="Arial" w:cs="Arial"/>
                <w:sz w:val="20"/>
                <w:szCs w:val="20"/>
              </w:rPr>
              <w:t>10 509 286</w:t>
            </w:r>
          </w:p>
        </w:tc>
        <w:tc>
          <w:tcPr>
            <w:tcW w:w="1131" w:type="dxa"/>
            <w:tcBorders>
              <w:top w:val="double" w:sz="4" w:space="0" w:color="auto"/>
              <w:left w:val="single" w:sz="12" w:space="0" w:color="auto"/>
              <w:bottom w:val="dotted" w:sz="6" w:space="0" w:color="auto"/>
              <w:right w:val="single" w:sz="6" w:space="0" w:color="auto"/>
            </w:tcBorders>
            <w:vAlign w:val="center"/>
          </w:tcPr>
          <w:p w:rsidR="00D41874" w:rsidRPr="00DF64A7" w:rsidRDefault="00E17129" w:rsidP="00131697">
            <w:pPr>
              <w:spacing w:before="120"/>
              <w:jc w:val="center"/>
              <w:rPr>
                <w:rFonts w:ascii="Arial" w:hAnsi="Arial" w:cs="Arial"/>
                <w:sz w:val="20"/>
                <w:szCs w:val="20"/>
              </w:rPr>
            </w:pPr>
            <w:r>
              <w:rPr>
                <w:rFonts w:ascii="Arial" w:hAnsi="Arial" w:cs="Arial"/>
                <w:sz w:val="20"/>
                <w:szCs w:val="20"/>
              </w:rPr>
              <w:t>2017</w:t>
            </w:r>
          </w:p>
        </w:tc>
        <w:tc>
          <w:tcPr>
            <w:tcW w:w="3390" w:type="dxa"/>
            <w:tcBorders>
              <w:top w:val="double" w:sz="4" w:space="0" w:color="auto"/>
              <w:left w:val="single" w:sz="6" w:space="0" w:color="auto"/>
              <w:bottom w:val="dotted" w:sz="6" w:space="0" w:color="auto"/>
            </w:tcBorders>
            <w:vAlign w:val="center"/>
          </w:tcPr>
          <w:p w:rsidR="00D41874" w:rsidRPr="00DF64A7" w:rsidRDefault="00E17129" w:rsidP="00131697">
            <w:pPr>
              <w:spacing w:before="120"/>
              <w:jc w:val="center"/>
              <w:rPr>
                <w:rFonts w:ascii="Arial" w:hAnsi="Arial" w:cs="Arial"/>
                <w:sz w:val="20"/>
                <w:szCs w:val="20"/>
              </w:rPr>
            </w:pPr>
            <w:r>
              <w:rPr>
                <w:rFonts w:ascii="Arial" w:hAnsi="Arial" w:cs="Arial"/>
                <w:sz w:val="20"/>
                <w:szCs w:val="20"/>
              </w:rPr>
              <w:t>10 589 526</w:t>
            </w:r>
          </w:p>
        </w:tc>
      </w:tr>
      <w:tr w:rsidR="00D41874" w:rsidTr="00DF64A7">
        <w:trPr>
          <w:jc w:val="center"/>
        </w:trPr>
        <w:tc>
          <w:tcPr>
            <w:tcW w:w="1131" w:type="dxa"/>
            <w:tcBorders>
              <w:top w:val="dotted" w:sz="6" w:space="0" w:color="auto"/>
              <w:bottom w:val="dotted" w:sz="6" w:space="0" w:color="auto"/>
              <w:right w:val="single" w:sz="6" w:space="0" w:color="auto"/>
            </w:tcBorders>
            <w:vAlign w:val="center"/>
          </w:tcPr>
          <w:p w:rsidR="00D41874" w:rsidRPr="00DF64A7" w:rsidRDefault="00E17129" w:rsidP="00131697">
            <w:pPr>
              <w:spacing w:before="120"/>
              <w:jc w:val="center"/>
              <w:rPr>
                <w:rFonts w:ascii="Arial" w:hAnsi="Arial" w:cs="Arial"/>
                <w:sz w:val="20"/>
                <w:szCs w:val="20"/>
              </w:rPr>
            </w:pPr>
            <w:r>
              <w:rPr>
                <w:rFonts w:ascii="Arial" w:hAnsi="Arial" w:cs="Arial"/>
                <w:sz w:val="20"/>
                <w:szCs w:val="20"/>
              </w:rPr>
              <w:t>2013</w:t>
            </w:r>
          </w:p>
        </w:tc>
        <w:tc>
          <w:tcPr>
            <w:tcW w:w="3390" w:type="dxa"/>
            <w:tcBorders>
              <w:top w:val="dotted" w:sz="6" w:space="0" w:color="auto"/>
              <w:left w:val="single" w:sz="6" w:space="0" w:color="auto"/>
              <w:bottom w:val="dotted" w:sz="6" w:space="0" w:color="auto"/>
              <w:right w:val="single" w:sz="12" w:space="0" w:color="auto"/>
            </w:tcBorders>
            <w:vAlign w:val="center"/>
          </w:tcPr>
          <w:p w:rsidR="00D41874" w:rsidRPr="00DF64A7" w:rsidRDefault="00E17129" w:rsidP="00131697">
            <w:pPr>
              <w:spacing w:before="120"/>
              <w:jc w:val="center"/>
              <w:rPr>
                <w:rFonts w:ascii="Arial" w:hAnsi="Arial" w:cs="Arial"/>
                <w:sz w:val="20"/>
                <w:szCs w:val="20"/>
              </w:rPr>
            </w:pPr>
            <w:r>
              <w:rPr>
                <w:rFonts w:ascii="Arial" w:hAnsi="Arial" w:cs="Arial"/>
                <w:sz w:val="20"/>
                <w:szCs w:val="20"/>
              </w:rPr>
              <w:t>10 510 719</w:t>
            </w:r>
          </w:p>
        </w:tc>
        <w:tc>
          <w:tcPr>
            <w:tcW w:w="1131" w:type="dxa"/>
            <w:tcBorders>
              <w:top w:val="dotted" w:sz="6" w:space="0" w:color="auto"/>
              <w:left w:val="single" w:sz="12" w:space="0" w:color="auto"/>
              <w:bottom w:val="dotted" w:sz="6" w:space="0" w:color="auto"/>
              <w:right w:val="single" w:sz="6" w:space="0" w:color="auto"/>
            </w:tcBorders>
            <w:vAlign w:val="center"/>
          </w:tcPr>
          <w:p w:rsidR="00D41874" w:rsidRPr="00DF64A7" w:rsidRDefault="00E17129" w:rsidP="00131697">
            <w:pPr>
              <w:spacing w:before="120"/>
              <w:jc w:val="center"/>
              <w:rPr>
                <w:rFonts w:ascii="Arial" w:hAnsi="Arial" w:cs="Arial"/>
                <w:sz w:val="20"/>
                <w:szCs w:val="20"/>
              </w:rPr>
            </w:pPr>
            <w:r>
              <w:rPr>
                <w:rFonts w:ascii="Arial" w:hAnsi="Arial" w:cs="Arial"/>
                <w:sz w:val="20"/>
                <w:szCs w:val="20"/>
              </w:rPr>
              <w:t>2018</w:t>
            </w:r>
          </w:p>
        </w:tc>
        <w:tc>
          <w:tcPr>
            <w:tcW w:w="3390" w:type="dxa"/>
            <w:tcBorders>
              <w:top w:val="dotted" w:sz="6" w:space="0" w:color="auto"/>
              <w:left w:val="single" w:sz="6" w:space="0" w:color="auto"/>
              <w:bottom w:val="dotted" w:sz="6" w:space="0" w:color="auto"/>
            </w:tcBorders>
            <w:vAlign w:val="center"/>
          </w:tcPr>
          <w:p w:rsidR="00D41874" w:rsidRPr="00DF64A7" w:rsidRDefault="00E17129" w:rsidP="00131697">
            <w:pPr>
              <w:spacing w:before="120"/>
              <w:jc w:val="center"/>
              <w:rPr>
                <w:rFonts w:ascii="Arial" w:hAnsi="Arial" w:cs="Arial"/>
                <w:sz w:val="20"/>
                <w:szCs w:val="20"/>
              </w:rPr>
            </w:pPr>
            <w:r>
              <w:rPr>
                <w:rFonts w:ascii="Arial" w:hAnsi="Arial" w:cs="Arial"/>
                <w:sz w:val="20"/>
                <w:szCs w:val="20"/>
              </w:rPr>
              <w:t>10 626 430</w:t>
            </w:r>
          </w:p>
        </w:tc>
      </w:tr>
      <w:tr w:rsidR="00D41874" w:rsidTr="00DF64A7">
        <w:trPr>
          <w:jc w:val="center"/>
        </w:trPr>
        <w:tc>
          <w:tcPr>
            <w:tcW w:w="1131" w:type="dxa"/>
            <w:tcBorders>
              <w:top w:val="dotted" w:sz="6" w:space="0" w:color="auto"/>
              <w:bottom w:val="dotted" w:sz="6" w:space="0" w:color="auto"/>
              <w:right w:val="single" w:sz="6" w:space="0" w:color="auto"/>
            </w:tcBorders>
            <w:vAlign w:val="center"/>
          </w:tcPr>
          <w:p w:rsidR="00D41874" w:rsidRPr="00DF64A7" w:rsidRDefault="00E17129" w:rsidP="00131697">
            <w:pPr>
              <w:spacing w:before="120"/>
              <w:jc w:val="center"/>
              <w:rPr>
                <w:rFonts w:ascii="Arial" w:hAnsi="Arial" w:cs="Arial"/>
                <w:sz w:val="20"/>
                <w:szCs w:val="20"/>
              </w:rPr>
            </w:pPr>
            <w:r>
              <w:rPr>
                <w:rFonts w:ascii="Arial" w:hAnsi="Arial" w:cs="Arial"/>
                <w:sz w:val="20"/>
                <w:szCs w:val="20"/>
              </w:rPr>
              <w:t>2014</w:t>
            </w:r>
          </w:p>
        </w:tc>
        <w:tc>
          <w:tcPr>
            <w:tcW w:w="3390" w:type="dxa"/>
            <w:tcBorders>
              <w:top w:val="dotted" w:sz="6" w:space="0" w:color="auto"/>
              <w:left w:val="single" w:sz="6" w:space="0" w:color="auto"/>
              <w:bottom w:val="dotted" w:sz="6" w:space="0" w:color="auto"/>
              <w:right w:val="single" w:sz="12" w:space="0" w:color="auto"/>
            </w:tcBorders>
            <w:vAlign w:val="center"/>
          </w:tcPr>
          <w:p w:rsidR="00D41874" w:rsidRPr="00DF64A7" w:rsidRDefault="00E17129" w:rsidP="00131697">
            <w:pPr>
              <w:spacing w:before="120"/>
              <w:jc w:val="center"/>
              <w:rPr>
                <w:rFonts w:ascii="Arial" w:hAnsi="Arial" w:cs="Arial"/>
                <w:sz w:val="20"/>
                <w:szCs w:val="20"/>
              </w:rPr>
            </w:pPr>
            <w:r>
              <w:rPr>
                <w:rFonts w:ascii="Arial" w:hAnsi="Arial" w:cs="Arial"/>
                <w:sz w:val="20"/>
                <w:szCs w:val="20"/>
              </w:rPr>
              <w:t>10 524 783</w:t>
            </w:r>
          </w:p>
        </w:tc>
        <w:tc>
          <w:tcPr>
            <w:tcW w:w="1131" w:type="dxa"/>
            <w:tcBorders>
              <w:top w:val="dotted" w:sz="6" w:space="0" w:color="auto"/>
              <w:left w:val="single" w:sz="12" w:space="0" w:color="auto"/>
              <w:bottom w:val="dotted" w:sz="6" w:space="0" w:color="auto"/>
              <w:right w:val="single" w:sz="6" w:space="0" w:color="auto"/>
            </w:tcBorders>
            <w:vAlign w:val="center"/>
          </w:tcPr>
          <w:p w:rsidR="00D41874" w:rsidRPr="00DF64A7" w:rsidRDefault="00E17129" w:rsidP="00131697">
            <w:pPr>
              <w:spacing w:before="120"/>
              <w:jc w:val="center"/>
              <w:rPr>
                <w:rFonts w:ascii="Arial" w:hAnsi="Arial" w:cs="Arial"/>
                <w:sz w:val="20"/>
                <w:szCs w:val="20"/>
              </w:rPr>
            </w:pPr>
            <w:r>
              <w:rPr>
                <w:rFonts w:ascii="Arial" w:hAnsi="Arial" w:cs="Arial"/>
                <w:sz w:val="20"/>
                <w:szCs w:val="20"/>
              </w:rPr>
              <w:t>2019</w:t>
            </w:r>
          </w:p>
        </w:tc>
        <w:tc>
          <w:tcPr>
            <w:tcW w:w="3390" w:type="dxa"/>
            <w:tcBorders>
              <w:top w:val="dotted" w:sz="6" w:space="0" w:color="auto"/>
              <w:left w:val="single" w:sz="6" w:space="0" w:color="auto"/>
              <w:bottom w:val="dotted" w:sz="6" w:space="0" w:color="auto"/>
            </w:tcBorders>
            <w:vAlign w:val="center"/>
          </w:tcPr>
          <w:p w:rsidR="00D41874" w:rsidRPr="00DF64A7" w:rsidRDefault="00E17129" w:rsidP="00131697">
            <w:pPr>
              <w:spacing w:before="120"/>
              <w:jc w:val="center"/>
              <w:rPr>
                <w:rFonts w:ascii="Arial" w:hAnsi="Arial" w:cs="Arial"/>
                <w:sz w:val="20"/>
                <w:szCs w:val="20"/>
              </w:rPr>
            </w:pPr>
            <w:r>
              <w:rPr>
                <w:rFonts w:ascii="Arial" w:hAnsi="Arial" w:cs="Arial"/>
                <w:sz w:val="20"/>
                <w:szCs w:val="20"/>
              </w:rPr>
              <w:t xml:space="preserve">10 669 324 </w:t>
            </w:r>
          </w:p>
        </w:tc>
      </w:tr>
      <w:tr w:rsidR="00D41874" w:rsidTr="00DF64A7">
        <w:trPr>
          <w:jc w:val="center"/>
        </w:trPr>
        <w:tc>
          <w:tcPr>
            <w:tcW w:w="1131" w:type="dxa"/>
            <w:tcBorders>
              <w:top w:val="dotted" w:sz="6" w:space="0" w:color="auto"/>
              <w:bottom w:val="dotted" w:sz="6" w:space="0" w:color="auto"/>
              <w:right w:val="single" w:sz="6" w:space="0" w:color="auto"/>
            </w:tcBorders>
            <w:vAlign w:val="center"/>
          </w:tcPr>
          <w:p w:rsidR="00D41874" w:rsidRPr="00DF64A7" w:rsidRDefault="00E17129" w:rsidP="00131697">
            <w:pPr>
              <w:spacing w:before="120"/>
              <w:jc w:val="center"/>
              <w:rPr>
                <w:rFonts w:ascii="Arial" w:hAnsi="Arial" w:cs="Arial"/>
                <w:sz w:val="20"/>
                <w:szCs w:val="20"/>
              </w:rPr>
            </w:pPr>
            <w:r>
              <w:rPr>
                <w:rFonts w:ascii="Arial" w:hAnsi="Arial" w:cs="Arial"/>
                <w:sz w:val="20"/>
                <w:szCs w:val="20"/>
              </w:rPr>
              <w:t>2015</w:t>
            </w:r>
          </w:p>
        </w:tc>
        <w:tc>
          <w:tcPr>
            <w:tcW w:w="3390" w:type="dxa"/>
            <w:tcBorders>
              <w:top w:val="dotted" w:sz="6" w:space="0" w:color="auto"/>
              <w:left w:val="single" w:sz="6" w:space="0" w:color="auto"/>
              <w:bottom w:val="dotted" w:sz="6" w:space="0" w:color="auto"/>
              <w:right w:val="single" w:sz="12" w:space="0" w:color="auto"/>
            </w:tcBorders>
            <w:vAlign w:val="center"/>
          </w:tcPr>
          <w:p w:rsidR="00D41874" w:rsidRPr="00DF64A7" w:rsidRDefault="00E17129" w:rsidP="00131697">
            <w:pPr>
              <w:spacing w:before="120"/>
              <w:jc w:val="center"/>
              <w:rPr>
                <w:rFonts w:ascii="Arial" w:hAnsi="Arial" w:cs="Arial"/>
                <w:sz w:val="20"/>
                <w:szCs w:val="20"/>
              </w:rPr>
            </w:pPr>
            <w:r>
              <w:rPr>
                <w:rFonts w:ascii="Arial" w:hAnsi="Arial" w:cs="Arial"/>
                <w:sz w:val="20"/>
                <w:szCs w:val="20"/>
              </w:rPr>
              <w:t>10 542 942</w:t>
            </w:r>
          </w:p>
        </w:tc>
        <w:tc>
          <w:tcPr>
            <w:tcW w:w="1131" w:type="dxa"/>
            <w:tcBorders>
              <w:top w:val="dotted" w:sz="6" w:space="0" w:color="auto"/>
              <w:left w:val="single" w:sz="12" w:space="0" w:color="auto"/>
              <w:bottom w:val="dotted" w:sz="6" w:space="0" w:color="auto"/>
              <w:right w:val="single" w:sz="6" w:space="0" w:color="auto"/>
            </w:tcBorders>
            <w:vAlign w:val="center"/>
          </w:tcPr>
          <w:p w:rsidR="00D41874" w:rsidRPr="00DF64A7" w:rsidRDefault="00E17129" w:rsidP="00131697">
            <w:pPr>
              <w:spacing w:before="120"/>
              <w:jc w:val="center"/>
              <w:rPr>
                <w:rFonts w:ascii="Arial" w:hAnsi="Arial" w:cs="Arial"/>
                <w:sz w:val="20"/>
                <w:szCs w:val="20"/>
              </w:rPr>
            </w:pPr>
            <w:r>
              <w:rPr>
                <w:rFonts w:ascii="Arial" w:hAnsi="Arial" w:cs="Arial"/>
                <w:sz w:val="20"/>
                <w:szCs w:val="20"/>
              </w:rPr>
              <w:t>2020</w:t>
            </w:r>
          </w:p>
        </w:tc>
        <w:tc>
          <w:tcPr>
            <w:tcW w:w="3390" w:type="dxa"/>
            <w:tcBorders>
              <w:top w:val="dotted" w:sz="6" w:space="0" w:color="auto"/>
              <w:left w:val="single" w:sz="6" w:space="0" w:color="auto"/>
              <w:bottom w:val="dotted" w:sz="6" w:space="0" w:color="auto"/>
            </w:tcBorders>
            <w:vAlign w:val="center"/>
          </w:tcPr>
          <w:p w:rsidR="00D41874" w:rsidRPr="00DF64A7" w:rsidRDefault="00D41874" w:rsidP="00131697">
            <w:pPr>
              <w:spacing w:before="120"/>
              <w:jc w:val="center"/>
              <w:rPr>
                <w:rFonts w:ascii="Arial" w:hAnsi="Arial" w:cs="Arial"/>
                <w:color w:val="000000"/>
                <w:sz w:val="20"/>
                <w:szCs w:val="20"/>
              </w:rPr>
            </w:pPr>
            <w:r w:rsidRPr="00DF64A7">
              <w:rPr>
                <w:rFonts w:ascii="Arial" w:hAnsi="Arial" w:cs="Arial"/>
                <w:sz w:val="20"/>
                <w:szCs w:val="20"/>
              </w:rPr>
              <w:t>10</w:t>
            </w:r>
            <w:r w:rsidR="00E17129">
              <w:rPr>
                <w:rFonts w:ascii="Arial" w:hAnsi="Arial" w:cs="Arial"/>
                <w:color w:val="000000"/>
                <w:sz w:val="20"/>
                <w:szCs w:val="20"/>
              </w:rPr>
              <w:t> 700 155</w:t>
            </w:r>
          </w:p>
        </w:tc>
      </w:tr>
      <w:tr w:rsidR="00D41874" w:rsidTr="00DF64A7">
        <w:trPr>
          <w:jc w:val="center"/>
        </w:trPr>
        <w:tc>
          <w:tcPr>
            <w:tcW w:w="1131" w:type="dxa"/>
            <w:tcBorders>
              <w:top w:val="dotted" w:sz="6" w:space="0" w:color="auto"/>
              <w:bottom w:val="single" w:sz="12" w:space="0" w:color="auto"/>
              <w:right w:val="single" w:sz="6" w:space="0" w:color="auto"/>
            </w:tcBorders>
            <w:vAlign w:val="center"/>
          </w:tcPr>
          <w:p w:rsidR="00D41874" w:rsidRPr="00DF64A7" w:rsidRDefault="00E17129" w:rsidP="00131697">
            <w:pPr>
              <w:spacing w:before="120"/>
              <w:jc w:val="center"/>
              <w:rPr>
                <w:rFonts w:ascii="Arial" w:hAnsi="Arial" w:cs="Arial"/>
                <w:sz w:val="20"/>
                <w:szCs w:val="20"/>
              </w:rPr>
            </w:pPr>
            <w:r>
              <w:rPr>
                <w:rFonts w:ascii="Arial" w:hAnsi="Arial" w:cs="Arial"/>
                <w:sz w:val="20"/>
                <w:szCs w:val="20"/>
              </w:rPr>
              <w:t>2016</w:t>
            </w:r>
          </w:p>
        </w:tc>
        <w:tc>
          <w:tcPr>
            <w:tcW w:w="3390" w:type="dxa"/>
            <w:tcBorders>
              <w:top w:val="dotted" w:sz="6" w:space="0" w:color="auto"/>
              <w:left w:val="single" w:sz="6" w:space="0" w:color="auto"/>
              <w:bottom w:val="single" w:sz="12" w:space="0" w:color="auto"/>
              <w:right w:val="single" w:sz="12" w:space="0" w:color="auto"/>
            </w:tcBorders>
            <w:vAlign w:val="center"/>
          </w:tcPr>
          <w:p w:rsidR="00D41874" w:rsidRPr="00DF64A7" w:rsidRDefault="00E17129" w:rsidP="00131697">
            <w:pPr>
              <w:spacing w:before="120"/>
              <w:jc w:val="center"/>
              <w:rPr>
                <w:rFonts w:ascii="Arial" w:hAnsi="Arial" w:cs="Arial"/>
                <w:sz w:val="20"/>
                <w:szCs w:val="20"/>
              </w:rPr>
            </w:pPr>
            <w:r>
              <w:rPr>
                <w:rFonts w:ascii="Arial" w:hAnsi="Arial" w:cs="Arial"/>
                <w:sz w:val="20"/>
                <w:szCs w:val="20"/>
              </w:rPr>
              <w:t>10 565 284</w:t>
            </w:r>
          </w:p>
        </w:tc>
        <w:tc>
          <w:tcPr>
            <w:tcW w:w="1131" w:type="dxa"/>
            <w:tcBorders>
              <w:top w:val="dotted" w:sz="6" w:space="0" w:color="auto"/>
              <w:left w:val="single" w:sz="12" w:space="0" w:color="auto"/>
              <w:bottom w:val="single" w:sz="12" w:space="0" w:color="auto"/>
              <w:right w:val="single" w:sz="6" w:space="0" w:color="auto"/>
            </w:tcBorders>
            <w:vAlign w:val="center"/>
          </w:tcPr>
          <w:p w:rsidR="00D41874" w:rsidRPr="00DF64A7" w:rsidRDefault="00E17129" w:rsidP="00DF64A7">
            <w:pPr>
              <w:spacing w:before="120"/>
              <w:jc w:val="center"/>
              <w:rPr>
                <w:rFonts w:ascii="Arial" w:hAnsi="Arial" w:cs="Arial"/>
                <w:sz w:val="20"/>
                <w:szCs w:val="20"/>
              </w:rPr>
            </w:pPr>
            <w:r>
              <w:rPr>
                <w:rFonts w:ascii="Arial" w:hAnsi="Arial" w:cs="Arial"/>
                <w:sz w:val="20"/>
                <w:szCs w:val="20"/>
              </w:rPr>
              <w:t>2021</w:t>
            </w:r>
          </w:p>
        </w:tc>
        <w:tc>
          <w:tcPr>
            <w:tcW w:w="3390" w:type="dxa"/>
            <w:tcBorders>
              <w:top w:val="dotted" w:sz="6" w:space="0" w:color="auto"/>
              <w:left w:val="single" w:sz="6" w:space="0" w:color="auto"/>
              <w:bottom w:val="single" w:sz="12" w:space="0" w:color="auto"/>
            </w:tcBorders>
            <w:vAlign w:val="center"/>
          </w:tcPr>
          <w:p w:rsidR="00D41874" w:rsidRPr="00DF64A7" w:rsidRDefault="00E17129" w:rsidP="00DF64A7">
            <w:pPr>
              <w:spacing w:before="120"/>
              <w:jc w:val="center"/>
              <w:rPr>
                <w:rFonts w:ascii="Arial" w:hAnsi="Arial" w:cs="Arial"/>
                <w:color w:val="000000"/>
                <w:sz w:val="20"/>
                <w:szCs w:val="20"/>
              </w:rPr>
            </w:pPr>
            <w:r>
              <w:rPr>
                <w:rFonts w:ascii="Arial" w:hAnsi="Arial" w:cs="Arial"/>
                <w:color w:val="000000"/>
                <w:sz w:val="20"/>
                <w:szCs w:val="20"/>
              </w:rPr>
              <w:t>10 500 850</w:t>
            </w:r>
          </w:p>
        </w:tc>
      </w:tr>
    </w:tbl>
    <w:p w:rsidR="008414DF" w:rsidRDefault="008414DF" w:rsidP="00496D61">
      <w:pPr>
        <w:spacing w:before="120" w:after="120"/>
        <w:jc w:val="both"/>
        <w:rPr>
          <w:rFonts w:ascii="Arial" w:hAnsi="Arial" w:cs="Arial"/>
          <w:sz w:val="20"/>
        </w:rPr>
      </w:pPr>
    </w:p>
    <w:p w:rsidR="002E4BDE" w:rsidRPr="002E4BDE" w:rsidRDefault="002E4BDE" w:rsidP="002E4BDE">
      <w:pPr>
        <w:ind w:firstLine="708"/>
        <w:rPr>
          <w:rFonts w:ascii="Arial" w:hAnsi="Arial" w:cs="Arial"/>
          <w:sz w:val="20"/>
          <w:szCs w:val="20"/>
        </w:rPr>
      </w:pPr>
      <w:r w:rsidRPr="002E4BDE">
        <w:rPr>
          <w:rFonts w:ascii="Arial" w:hAnsi="Arial" w:cs="Arial"/>
          <w:sz w:val="20"/>
          <w:szCs w:val="20"/>
        </w:rPr>
        <w:t>Potravinová soběstačnost aneb soběstačnost ve výrobě potravin je vyjádřena podílem tuzemské výroby a tuzemské spotřeby. Publikované údaje jsou vypočteny z podílu výroby na obyvatele a spotřeby na obyvatele pro jednotlivé položky, převedeno na procenta.</w:t>
      </w:r>
    </w:p>
    <w:p w:rsidR="002E4BDE" w:rsidRDefault="002E4BDE" w:rsidP="00496D61">
      <w:pPr>
        <w:spacing w:before="120" w:after="120"/>
        <w:jc w:val="both"/>
        <w:rPr>
          <w:rFonts w:ascii="Arial" w:hAnsi="Arial" w:cs="Arial"/>
          <w:sz w:val="20"/>
        </w:rPr>
      </w:pPr>
    </w:p>
    <w:p w:rsidR="00422D95" w:rsidRPr="008A02C1" w:rsidRDefault="00422D95" w:rsidP="008414DF">
      <w:pPr>
        <w:spacing w:before="120" w:after="120"/>
        <w:jc w:val="both"/>
        <w:rPr>
          <w:rFonts w:ascii="Arial" w:hAnsi="Arial" w:cs="Arial"/>
          <w:b/>
          <w:sz w:val="20"/>
        </w:rPr>
      </w:pPr>
      <w:r w:rsidRPr="008A02C1">
        <w:rPr>
          <w:rFonts w:ascii="Arial" w:hAnsi="Arial" w:cs="Arial"/>
          <w:b/>
          <w:sz w:val="20"/>
        </w:rPr>
        <w:t>Použité značky v tabulkách publikace</w:t>
      </w:r>
    </w:p>
    <w:p w:rsidR="00422D95" w:rsidRDefault="00422D95" w:rsidP="008414DF">
      <w:pPr>
        <w:tabs>
          <w:tab w:val="left" w:pos="567"/>
        </w:tabs>
        <w:spacing w:before="120" w:after="120"/>
        <w:jc w:val="both"/>
        <w:rPr>
          <w:rFonts w:ascii="Arial" w:hAnsi="Arial" w:cs="Arial"/>
          <w:sz w:val="20"/>
        </w:rPr>
      </w:pPr>
      <w:r>
        <w:rPr>
          <w:rFonts w:ascii="Arial" w:hAnsi="Arial" w:cs="Arial"/>
          <w:sz w:val="20"/>
        </w:rPr>
        <w:t>.</w:t>
      </w:r>
      <w:r w:rsidR="008414DF">
        <w:rPr>
          <w:rFonts w:ascii="Arial" w:hAnsi="Arial" w:cs="Arial"/>
          <w:sz w:val="20"/>
        </w:rPr>
        <w:tab/>
      </w:r>
      <w:r>
        <w:rPr>
          <w:rFonts w:ascii="Arial" w:hAnsi="Arial" w:cs="Arial"/>
          <w:sz w:val="20"/>
        </w:rPr>
        <w:t>tečka na místě čísla značí, že údaj není k</w:t>
      </w:r>
      <w:r w:rsidR="002A2E86">
        <w:rPr>
          <w:rFonts w:ascii="Arial" w:hAnsi="Arial" w:cs="Arial"/>
          <w:sz w:val="20"/>
        </w:rPr>
        <w:t> </w:t>
      </w:r>
      <w:r>
        <w:rPr>
          <w:rFonts w:ascii="Arial" w:hAnsi="Arial" w:cs="Arial"/>
          <w:sz w:val="20"/>
        </w:rPr>
        <w:t>dispozici</w:t>
      </w:r>
      <w:r w:rsidR="002A2E86">
        <w:rPr>
          <w:rFonts w:ascii="Arial" w:hAnsi="Arial" w:cs="Arial"/>
          <w:sz w:val="20"/>
        </w:rPr>
        <w:t xml:space="preserve"> nebo je nespolehlivý</w:t>
      </w:r>
    </w:p>
    <w:p w:rsidR="00422D95" w:rsidRDefault="00422D95" w:rsidP="008414DF">
      <w:pPr>
        <w:tabs>
          <w:tab w:val="left" w:pos="567"/>
        </w:tabs>
        <w:spacing w:before="120" w:after="120"/>
        <w:jc w:val="both"/>
        <w:rPr>
          <w:rFonts w:ascii="Arial" w:hAnsi="Arial" w:cs="Arial"/>
          <w:sz w:val="20"/>
        </w:rPr>
      </w:pPr>
      <w:r>
        <w:rPr>
          <w:rFonts w:ascii="Arial" w:hAnsi="Arial" w:cs="Arial"/>
          <w:sz w:val="20"/>
        </w:rPr>
        <w:t>x</w:t>
      </w:r>
      <w:r w:rsidR="008414DF">
        <w:rPr>
          <w:rFonts w:ascii="Arial" w:hAnsi="Arial" w:cs="Arial"/>
          <w:sz w:val="20"/>
        </w:rPr>
        <w:tab/>
      </w:r>
      <w:r>
        <w:rPr>
          <w:rFonts w:ascii="Arial" w:hAnsi="Arial" w:cs="Arial"/>
          <w:sz w:val="20"/>
        </w:rPr>
        <w:t>ležatý křížek na místě čísla značí, že zápis není možný z logických důvodů</w:t>
      </w:r>
    </w:p>
    <w:p w:rsidR="00C26D00" w:rsidRDefault="00422D95" w:rsidP="008414DF">
      <w:pPr>
        <w:tabs>
          <w:tab w:val="left" w:pos="567"/>
        </w:tabs>
      </w:pPr>
      <w:r>
        <w:rPr>
          <w:rFonts w:ascii="Arial" w:hAnsi="Arial" w:cs="Arial"/>
          <w:sz w:val="20"/>
        </w:rPr>
        <w:t>0</w:t>
      </w:r>
      <w:r w:rsidR="008414DF">
        <w:rPr>
          <w:rFonts w:ascii="Arial" w:hAnsi="Arial" w:cs="Arial"/>
          <w:sz w:val="20"/>
        </w:rPr>
        <w:tab/>
      </w:r>
      <w:r w:rsidRPr="00B27E6E">
        <w:rPr>
          <w:rFonts w:ascii="Arial" w:hAnsi="Arial" w:cs="Arial"/>
          <w:sz w:val="20"/>
        </w:rPr>
        <w:t>nula se používá pro označení číse</w:t>
      </w:r>
      <w:r w:rsidR="00E03141">
        <w:rPr>
          <w:rFonts w:ascii="Arial" w:hAnsi="Arial" w:cs="Arial"/>
          <w:sz w:val="20"/>
        </w:rPr>
        <w:t>lných údajů menších než polovina zvolené měřicí jednotky</w:t>
      </w:r>
    </w:p>
    <w:sectPr w:rsidR="00C26D00" w:rsidSect="00C26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E68"/>
    <w:multiLevelType w:val="hybridMultilevel"/>
    <w:tmpl w:val="9E1290E2"/>
    <w:lvl w:ilvl="0" w:tplc="158631CE">
      <w:start w:val="1"/>
      <w:numFmt w:val="bullet"/>
      <w:lvlText w:val=""/>
      <w:lvlJc w:val="left"/>
      <w:pPr>
        <w:tabs>
          <w:tab w:val="num" w:pos="397"/>
        </w:tabs>
        <w:ind w:left="397" w:hanging="397"/>
      </w:pPr>
      <w:rPr>
        <w:rFonts w:ascii="Wingdings" w:hAnsi="Wingdings" w:hint="default"/>
        <w:sz w:val="14"/>
      </w:rPr>
    </w:lvl>
    <w:lvl w:ilvl="1" w:tplc="04050003">
      <w:start w:val="1"/>
      <w:numFmt w:val="bullet"/>
      <w:lvlText w:val="o"/>
      <w:lvlJc w:val="left"/>
      <w:pPr>
        <w:tabs>
          <w:tab w:val="num" w:pos="1666"/>
        </w:tabs>
        <w:ind w:left="1666" w:hanging="360"/>
      </w:pPr>
      <w:rPr>
        <w:rFonts w:ascii="Courier New" w:hAnsi="Courier New" w:hint="default"/>
      </w:rPr>
    </w:lvl>
    <w:lvl w:ilvl="2" w:tplc="04050005" w:tentative="1">
      <w:start w:val="1"/>
      <w:numFmt w:val="bullet"/>
      <w:lvlText w:val=""/>
      <w:lvlJc w:val="left"/>
      <w:pPr>
        <w:tabs>
          <w:tab w:val="num" w:pos="2386"/>
        </w:tabs>
        <w:ind w:left="2386" w:hanging="360"/>
      </w:pPr>
      <w:rPr>
        <w:rFonts w:ascii="Wingdings" w:hAnsi="Wingdings" w:hint="default"/>
      </w:rPr>
    </w:lvl>
    <w:lvl w:ilvl="3" w:tplc="04050001" w:tentative="1">
      <w:start w:val="1"/>
      <w:numFmt w:val="bullet"/>
      <w:lvlText w:val=""/>
      <w:lvlJc w:val="left"/>
      <w:pPr>
        <w:tabs>
          <w:tab w:val="num" w:pos="3106"/>
        </w:tabs>
        <w:ind w:left="3106" w:hanging="360"/>
      </w:pPr>
      <w:rPr>
        <w:rFonts w:ascii="Symbol" w:hAnsi="Symbol" w:hint="default"/>
      </w:rPr>
    </w:lvl>
    <w:lvl w:ilvl="4" w:tplc="04050003" w:tentative="1">
      <w:start w:val="1"/>
      <w:numFmt w:val="bullet"/>
      <w:lvlText w:val="o"/>
      <w:lvlJc w:val="left"/>
      <w:pPr>
        <w:tabs>
          <w:tab w:val="num" w:pos="3826"/>
        </w:tabs>
        <w:ind w:left="3826" w:hanging="360"/>
      </w:pPr>
      <w:rPr>
        <w:rFonts w:ascii="Courier New" w:hAnsi="Courier New" w:hint="default"/>
      </w:rPr>
    </w:lvl>
    <w:lvl w:ilvl="5" w:tplc="04050005" w:tentative="1">
      <w:start w:val="1"/>
      <w:numFmt w:val="bullet"/>
      <w:lvlText w:val=""/>
      <w:lvlJc w:val="left"/>
      <w:pPr>
        <w:tabs>
          <w:tab w:val="num" w:pos="4546"/>
        </w:tabs>
        <w:ind w:left="4546" w:hanging="360"/>
      </w:pPr>
      <w:rPr>
        <w:rFonts w:ascii="Wingdings" w:hAnsi="Wingdings" w:hint="default"/>
      </w:rPr>
    </w:lvl>
    <w:lvl w:ilvl="6" w:tplc="04050001" w:tentative="1">
      <w:start w:val="1"/>
      <w:numFmt w:val="bullet"/>
      <w:lvlText w:val=""/>
      <w:lvlJc w:val="left"/>
      <w:pPr>
        <w:tabs>
          <w:tab w:val="num" w:pos="5266"/>
        </w:tabs>
        <w:ind w:left="5266" w:hanging="360"/>
      </w:pPr>
      <w:rPr>
        <w:rFonts w:ascii="Symbol" w:hAnsi="Symbol" w:hint="default"/>
      </w:rPr>
    </w:lvl>
    <w:lvl w:ilvl="7" w:tplc="04050003" w:tentative="1">
      <w:start w:val="1"/>
      <w:numFmt w:val="bullet"/>
      <w:lvlText w:val="o"/>
      <w:lvlJc w:val="left"/>
      <w:pPr>
        <w:tabs>
          <w:tab w:val="num" w:pos="5986"/>
        </w:tabs>
        <w:ind w:left="5986" w:hanging="360"/>
      </w:pPr>
      <w:rPr>
        <w:rFonts w:ascii="Courier New" w:hAnsi="Courier New" w:hint="default"/>
      </w:rPr>
    </w:lvl>
    <w:lvl w:ilvl="8" w:tplc="04050005" w:tentative="1">
      <w:start w:val="1"/>
      <w:numFmt w:val="bullet"/>
      <w:lvlText w:val=""/>
      <w:lvlJc w:val="left"/>
      <w:pPr>
        <w:tabs>
          <w:tab w:val="num" w:pos="6706"/>
        </w:tabs>
        <w:ind w:left="67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E8"/>
    <w:rsid w:val="000124BB"/>
    <w:rsid w:val="00034104"/>
    <w:rsid w:val="00052A7B"/>
    <w:rsid w:val="0005448A"/>
    <w:rsid w:val="000D3848"/>
    <w:rsid w:val="00111FE5"/>
    <w:rsid w:val="0011637B"/>
    <w:rsid w:val="00173F54"/>
    <w:rsid w:val="002454C9"/>
    <w:rsid w:val="00285102"/>
    <w:rsid w:val="002A2E86"/>
    <w:rsid w:val="002B0BF6"/>
    <w:rsid w:val="002E4BDE"/>
    <w:rsid w:val="0036470B"/>
    <w:rsid w:val="0037730A"/>
    <w:rsid w:val="003809EE"/>
    <w:rsid w:val="003A3CB6"/>
    <w:rsid w:val="00406F65"/>
    <w:rsid w:val="00422D95"/>
    <w:rsid w:val="00496D61"/>
    <w:rsid w:val="004C333C"/>
    <w:rsid w:val="005A3720"/>
    <w:rsid w:val="0069521D"/>
    <w:rsid w:val="00703CEA"/>
    <w:rsid w:val="00724E11"/>
    <w:rsid w:val="007500D0"/>
    <w:rsid w:val="0076202D"/>
    <w:rsid w:val="008414DF"/>
    <w:rsid w:val="008467DF"/>
    <w:rsid w:val="00887D39"/>
    <w:rsid w:val="008A4F70"/>
    <w:rsid w:val="008C1001"/>
    <w:rsid w:val="008E21B4"/>
    <w:rsid w:val="009B1B26"/>
    <w:rsid w:val="009D3A58"/>
    <w:rsid w:val="00A407EB"/>
    <w:rsid w:val="00BA2CFD"/>
    <w:rsid w:val="00C042D5"/>
    <w:rsid w:val="00C26D00"/>
    <w:rsid w:val="00C41ED7"/>
    <w:rsid w:val="00D075C0"/>
    <w:rsid w:val="00D41874"/>
    <w:rsid w:val="00D87C98"/>
    <w:rsid w:val="00DA1852"/>
    <w:rsid w:val="00DA3DFD"/>
    <w:rsid w:val="00DC3796"/>
    <w:rsid w:val="00DC599A"/>
    <w:rsid w:val="00DF64A7"/>
    <w:rsid w:val="00E03141"/>
    <w:rsid w:val="00E17129"/>
    <w:rsid w:val="00E321B9"/>
    <w:rsid w:val="00E37815"/>
    <w:rsid w:val="00E610E8"/>
    <w:rsid w:val="00E83BB9"/>
    <w:rsid w:val="00E95D8E"/>
    <w:rsid w:val="00F34910"/>
    <w:rsid w:val="00FF50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B21B7-FDC3-4DD1-BCBA-52A6F7B2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2D9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22D95"/>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480" w:lineRule="atLeast"/>
      <w:jc w:val="center"/>
      <w:outlineLvl w:val="0"/>
    </w:pPr>
    <w:rPr>
      <w:rFonts w:ascii="Arial Narrow" w:hAnsi="Arial Narrow"/>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2D95"/>
    <w:rPr>
      <w:rFonts w:ascii="Arial Narrow" w:eastAsia="Times New Roman" w:hAnsi="Arial Narrow" w:cs="Times New Roman"/>
      <w:b/>
      <w:bCs/>
      <w:sz w:val="30"/>
      <w:szCs w:val="30"/>
      <w:lang w:eastAsia="cs-CZ"/>
    </w:rPr>
  </w:style>
  <w:style w:type="paragraph" w:styleId="Zkladntextodsazen3">
    <w:name w:val="Body Text Indent 3"/>
    <w:basedOn w:val="Normln"/>
    <w:link w:val="Zkladntextodsazen3Char"/>
    <w:semiHidden/>
    <w:rsid w:val="00422D95"/>
    <w:pPr>
      <w:spacing w:line="360" w:lineRule="auto"/>
      <w:ind w:firstLine="708"/>
      <w:jc w:val="both"/>
    </w:pPr>
    <w:rPr>
      <w:rFonts w:ascii="Arial" w:hAnsi="Arial" w:cs="Arial"/>
      <w:sz w:val="22"/>
    </w:rPr>
  </w:style>
  <w:style w:type="character" w:customStyle="1" w:styleId="Zkladntextodsazen3Char">
    <w:name w:val="Základní text odsazený 3 Char"/>
    <w:basedOn w:val="Standardnpsmoodstavce"/>
    <w:link w:val="Zkladntextodsazen3"/>
    <w:semiHidden/>
    <w:rsid w:val="00422D95"/>
    <w:rPr>
      <w:rFonts w:ascii="Arial" w:eastAsia="Times New Roman" w:hAnsi="Arial" w:cs="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90858">
      <w:bodyDiv w:val="1"/>
      <w:marLeft w:val="0"/>
      <w:marRight w:val="0"/>
      <w:marTop w:val="0"/>
      <w:marBottom w:val="0"/>
      <w:divBdr>
        <w:top w:val="none" w:sz="0" w:space="0" w:color="auto"/>
        <w:left w:val="none" w:sz="0" w:space="0" w:color="auto"/>
        <w:bottom w:val="none" w:sz="0" w:space="0" w:color="auto"/>
        <w:right w:val="none" w:sz="0" w:space="0" w:color="auto"/>
      </w:divBdr>
    </w:div>
    <w:div w:id="1517160989">
      <w:bodyDiv w:val="1"/>
      <w:marLeft w:val="0"/>
      <w:marRight w:val="0"/>
      <w:marTop w:val="0"/>
      <w:marBottom w:val="0"/>
      <w:divBdr>
        <w:top w:val="none" w:sz="0" w:space="0" w:color="auto"/>
        <w:left w:val="none" w:sz="0" w:space="0" w:color="auto"/>
        <w:bottom w:val="none" w:sz="0" w:space="0" w:color="auto"/>
        <w:right w:val="none" w:sz="0" w:space="0" w:color="auto"/>
      </w:divBdr>
    </w:div>
    <w:div w:id="1955404128">
      <w:bodyDiv w:val="1"/>
      <w:marLeft w:val="0"/>
      <w:marRight w:val="0"/>
      <w:marTop w:val="0"/>
      <w:marBottom w:val="0"/>
      <w:divBdr>
        <w:top w:val="none" w:sz="0" w:space="0" w:color="auto"/>
        <w:left w:val="none" w:sz="0" w:space="0" w:color="auto"/>
        <w:bottom w:val="none" w:sz="0" w:space="0" w:color="auto"/>
        <w:right w:val="none" w:sz="0" w:space="0" w:color="auto"/>
      </w:divBdr>
    </w:div>
    <w:div w:id="195810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446</Words>
  <Characters>2637</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creator>hnidkova2727</dc:creator>
  <cp:lastModifiedBy>Klémová Lea</cp:lastModifiedBy>
  <cp:revision>12</cp:revision>
  <dcterms:created xsi:type="dcterms:W3CDTF">2021-10-26T11:15:00Z</dcterms:created>
  <dcterms:modified xsi:type="dcterms:W3CDTF">2022-11-29T09:20:00Z</dcterms:modified>
</cp:coreProperties>
</file>