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3.xml" ContentType="application/vnd.openxmlformats-officedocument.themeOverrid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Override4.xml" ContentType="application/vnd.openxmlformats-officedocument.themeOverrid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theme/themeOverride5.xml" ContentType="application/vnd.openxmlformats-officedocument.themeOverrid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theme/themeOverride6.xml" ContentType="application/vnd.openxmlformats-officedocument.themeOverrid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theme/themeOverride7.xml" ContentType="application/vnd.openxmlformats-officedocument.themeOverride+xml"/>
  <Override PartName="/word/charts/chart11.xml" ContentType="application/vnd.openxmlformats-officedocument.drawingml.chart+xml"/>
  <Override PartName="/word/charts/style11.xml" ContentType="application/vnd.ms-office.chartstyle+xml"/>
  <Override PartName="/word/charts/colors11.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E45676" w14:textId="77777777" w:rsidR="00EE4B1B" w:rsidRDefault="00D62F16" w:rsidP="00100F5C">
      <w:pPr>
        <w:pStyle w:val="Nadpis1"/>
      </w:pPr>
      <w:bookmarkStart w:id="0" w:name="_GoBack"/>
      <w:bookmarkEnd w:id="0"/>
      <w:r>
        <w:t>6. Mezinárodní srovnání</w:t>
      </w:r>
    </w:p>
    <w:p w14:paraId="0AD5B6AD" w14:textId="77777777" w:rsidR="00D62F16" w:rsidRDefault="00D62F16" w:rsidP="00D62F16">
      <w:pPr>
        <w:spacing w:before="0" w:after="240"/>
      </w:pPr>
      <w:bookmarkStart w:id="1" w:name="_Hlk66542715"/>
      <w:r>
        <w:t xml:space="preserve">Tato kapitola je zaměřena na </w:t>
      </w:r>
      <w:r w:rsidRPr="00821DA1">
        <w:rPr>
          <w:b/>
        </w:rPr>
        <w:t>porovnání základních ukazatelů výdajů na zdravotní péči v rámci zemí Evropské unie (EU) a dalších vybraných zemí Organizace pro hospodářskou spolupráci a rozvoj (OECD)</w:t>
      </w:r>
      <w:r>
        <w:t xml:space="preserve">. Všechny země EU jsou povinny publikovat své výdaje na zdravotní péči podle manuálu SHA 2011, který by měl zajistit celosvětový standart. Je potřeba mít na paměti, že nástroj SHA je vlivem rozdílných zdravotnických systémů a různé dostupnosti dat napříč jednotlivými zeměmi limitován. Ne vždy jsou tedy všechny údaje mezinárodně srovnatelné. </w:t>
      </w:r>
    </w:p>
    <w:p w14:paraId="43CDBB1A" w14:textId="77777777" w:rsidR="00D62F16" w:rsidRDefault="00D62F16" w:rsidP="00D62F16">
      <w:pPr>
        <w:spacing w:before="0" w:after="240"/>
      </w:pPr>
      <w:r>
        <w:t xml:space="preserve">Hodnoty výdajů na zdravotní péči v jednotlivých zemích se </w:t>
      </w:r>
      <w:r w:rsidRPr="00821DA1">
        <w:rPr>
          <w:b/>
        </w:rPr>
        <w:t>přepočítávají pomocí směnného kurzu</w:t>
      </w:r>
      <w:r>
        <w:t xml:space="preserve"> (např. koruna proti euru nebo dolaru) </w:t>
      </w:r>
      <w:r w:rsidRPr="00821DA1">
        <w:rPr>
          <w:b/>
        </w:rPr>
        <w:t xml:space="preserve">nebo parity kupních sil </w:t>
      </w:r>
      <w:r>
        <w:t>(PPP).</w:t>
      </w:r>
    </w:p>
    <w:p w14:paraId="468FAD63" w14:textId="6AE2E623" w:rsidR="00D62F16" w:rsidRDefault="00D62F16" w:rsidP="00D62F16">
      <w:pPr>
        <w:spacing w:before="0" w:after="240"/>
      </w:pPr>
      <w:r w:rsidRPr="00821DA1">
        <w:rPr>
          <w:b/>
        </w:rPr>
        <w:t xml:space="preserve">Pro zpracování byla použita nejnovější data dostupná k prosinci 2020 z databází </w:t>
      </w:r>
      <w:proofErr w:type="spellStart"/>
      <w:r w:rsidRPr="00821DA1">
        <w:rPr>
          <w:b/>
        </w:rPr>
        <w:t>Eurostatu</w:t>
      </w:r>
      <w:proofErr w:type="spellEnd"/>
      <w:r w:rsidRPr="00821DA1">
        <w:rPr>
          <w:b/>
        </w:rPr>
        <w:t xml:space="preserve"> a OECD</w:t>
      </w:r>
      <w:r>
        <w:t>, což byla konkrétně data za rok 2018. T</w:t>
      </w:r>
      <w:r w:rsidR="00DF5092">
        <w:t>ato</w:t>
      </w:r>
      <w:r>
        <w:t xml:space="preserve"> data zahrnují například celkové výdaje na zdravotní péči, podíl celkových výdajů na zdravotní péči na HDP, výdaje na zdravotní péči na jednoho obyvatele, výdaje na zdravotní péči podle zdroje financování, typu poskytovatele nebo druhu poskytnuté zdravotní péče.</w:t>
      </w:r>
    </w:p>
    <w:p w14:paraId="10FB79BF" w14:textId="77777777" w:rsidR="00D62F16" w:rsidRDefault="00D62F16" w:rsidP="006C2260">
      <w:pPr>
        <w:pStyle w:val="Box1"/>
      </w:pPr>
      <w:r w:rsidRPr="00D62F16">
        <w:t>Všechny údaje týkající se podílu výdajů na zdravotní péči na HDP zde uvedené jsou bez započtení výdajů na dlouhodobou sociální péči. Tyto výdaje nejsou do celkových výdajů na zdravotní péči započítány, protože nejsou od většiny zemí EU k dispozici.</w:t>
      </w:r>
    </w:p>
    <w:p w14:paraId="1A7A5281" w14:textId="77777777" w:rsidR="00D62F16" w:rsidRDefault="00D62F16" w:rsidP="00D62F16">
      <w:pPr>
        <w:pStyle w:val="Nadpis3"/>
      </w:pPr>
      <w:r>
        <w:t xml:space="preserve">6.1. </w:t>
      </w:r>
      <w:r w:rsidRPr="003F4E54">
        <w:t>Celkové výdaje na zdravotní péči</w:t>
      </w:r>
    </w:p>
    <w:p w14:paraId="61BBE897" w14:textId="33C7D27D" w:rsidR="00D62F16" w:rsidRDefault="00D62F16" w:rsidP="00D62F16">
      <w:pPr>
        <w:spacing w:before="0" w:after="240"/>
      </w:pPr>
      <w:r>
        <w:t>Pro mezinárodní srovnání lze využít jak absolutní výdaje, tak i několik základních ukazatelů o celkov</w:t>
      </w:r>
      <w:r w:rsidR="00DF5092">
        <w:t>ých výdajích na zdravotní péči.</w:t>
      </w:r>
      <w:r>
        <w:t xml:space="preserve"> </w:t>
      </w:r>
      <w:r w:rsidRPr="00821DA1">
        <w:rPr>
          <w:b/>
        </w:rPr>
        <w:t>Absolutní celkové výdaje</w:t>
      </w:r>
      <w:r>
        <w:t xml:space="preserve"> </w:t>
      </w:r>
      <w:r w:rsidRPr="00821DA1">
        <w:rPr>
          <w:b/>
        </w:rPr>
        <w:t>jsou vždy ovlivněny velikostí státu</w:t>
      </w:r>
      <w:r>
        <w:t xml:space="preserve">, proto je vhodnější například srovnání </w:t>
      </w:r>
      <w:r w:rsidRPr="00821DA1">
        <w:rPr>
          <w:b/>
        </w:rPr>
        <w:t>výdajů na zdravotní péči připadajících na jednoho obyvatele.</w:t>
      </w:r>
      <w:r>
        <w:t xml:space="preserve"> Dalším ukazatelem je </w:t>
      </w:r>
      <w:r w:rsidRPr="00821DA1">
        <w:rPr>
          <w:b/>
        </w:rPr>
        <w:t>poměření celkových výdajů k hrubému domácímu produktu (HDP).</w:t>
      </w:r>
    </w:p>
    <w:p w14:paraId="00D6DEDF" w14:textId="77777777" w:rsidR="00D62F16" w:rsidRPr="00D62F16" w:rsidRDefault="00D62F16" w:rsidP="00D62F16">
      <w:pPr>
        <w:spacing w:before="0" w:after="240"/>
        <w:rPr>
          <w:b/>
          <w:i/>
        </w:rPr>
      </w:pPr>
      <w:r w:rsidRPr="00D62F16">
        <w:rPr>
          <w:b/>
          <w:i/>
        </w:rPr>
        <w:t>V Evropské unii bylo na zdravotní péči v roce 2018 vynaloženo celkem 1,57 bilionu EUR</w:t>
      </w:r>
    </w:p>
    <w:p w14:paraId="4E30C7B5" w14:textId="77777777" w:rsidR="00D62F16" w:rsidRDefault="00D62F16" w:rsidP="00D62F16">
      <w:pPr>
        <w:spacing w:before="0" w:after="240"/>
      </w:pPr>
      <w:r>
        <w:t xml:space="preserve">Jak už bylo výše zmíněno, celkové výdaje na zdravotní péči jsou vždy ovlivněny velikostí daného státu, proto mají ze všech zemí OECD </w:t>
      </w:r>
      <w:r w:rsidRPr="00821DA1">
        <w:rPr>
          <w:b/>
        </w:rPr>
        <w:t>dlouhodobě nejvyšší výdaje na zdravotní péči Spojené státy</w:t>
      </w:r>
      <w:r>
        <w:t xml:space="preserve">. V roce 2018 to bylo </w:t>
      </w:r>
      <w:r w:rsidRPr="00821DA1">
        <w:rPr>
          <w:b/>
        </w:rPr>
        <w:t>2,86 bilionů EUR</w:t>
      </w:r>
      <w:r>
        <w:t>, což je skoro dvakrát více než v celé Evropské unii.</w:t>
      </w:r>
    </w:p>
    <w:p w14:paraId="406A5B86" w14:textId="77777777" w:rsidR="00D62F16" w:rsidRDefault="00D62F16" w:rsidP="00D62F16">
      <w:pPr>
        <w:spacing w:before="0" w:after="240"/>
      </w:pPr>
      <w:r w:rsidRPr="00821DA1">
        <w:rPr>
          <w:b/>
        </w:rPr>
        <w:t>Na více než polovině celkových výdajů</w:t>
      </w:r>
      <w:r>
        <w:t xml:space="preserve"> vynaložených na zdravotnictví v EU se podílely tři nejlidnatější země a to </w:t>
      </w:r>
      <w:r w:rsidRPr="00821DA1">
        <w:rPr>
          <w:b/>
        </w:rPr>
        <w:t>Německo (24,4 %), Francie (16,9 %) a Velká Británie (15,4 %)</w:t>
      </w:r>
      <w:r>
        <w:t>. Co se týče výdajů jednotlivých států EU v roce 2018 (viz graf č. 6.1), nejvíce prostředků na zdravotní péči bylo použito v Německu (384 mld. EUR), dále ve Francii nebo Velké Británii, kde celkové výdaje přesáhly částku 200 mld. EUR. Ve většině zemí EU byla celková suma pod průměrem EU, který činil 56 mld. EUR. Do této kategorie spadá i </w:t>
      </w:r>
      <w:r w:rsidRPr="00821DA1">
        <w:rPr>
          <w:b/>
        </w:rPr>
        <w:t>Česko s 15,9 mld. EUR (15. nejvyšší hodnota)</w:t>
      </w:r>
      <w:r>
        <w:t>. Nejnižší výdaje byly ve státech s nejmenším počtem obyvatel, na Kypru (1,4 mld. EUR) nebo Maltě (1,1 mld. EUR).</w:t>
      </w:r>
    </w:p>
    <w:p w14:paraId="4B45F0C8" w14:textId="77777777" w:rsidR="00D62F16" w:rsidRPr="00D62F16" w:rsidRDefault="00D62F16" w:rsidP="00D62F16">
      <w:pPr>
        <w:spacing w:before="0" w:after="240"/>
        <w:rPr>
          <w:b/>
          <w:i/>
          <w:szCs w:val="24"/>
        </w:rPr>
      </w:pPr>
      <w:r w:rsidRPr="00D62F16">
        <w:rPr>
          <w:b/>
          <w:i/>
          <w:szCs w:val="24"/>
        </w:rPr>
        <w:t>Mezi roky 2017-2018 došlo ke zvýšení výdajů až o 18 %</w:t>
      </w:r>
    </w:p>
    <w:p w14:paraId="5532FEF9" w14:textId="77777777" w:rsidR="00D62F16" w:rsidRDefault="00D62F16" w:rsidP="00D62F16">
      <w:pPr>
        <w:spacing w:before="0" w:after="240"/>
      </w:pPr>
      <w:r w:rsidRPr="002577B5">
        <w:t>Za posledních pět let docházelo téměř u poloviny zemí EU každoročně ke zvýšení celkových výdajů na zdravotnictví.</w:t>
      </w:r>
      <w:r>
        <w:t xml:space="preserve"> U ostatních se hodnoty významně neměnily nebo došlo k mírnému snížení a poté v dalších </w:t>
      </w:r>
      <w:proofErr w:type="gramStart"/>
      <w:r>
        <w:t>letech</w:t>
      </w:r>
      <w:proofErr w:type="gramEnd"/>
      <w:r>
        <w:t xml:space="preserve"> ke zvýšení. </w:t>
      </w:r>
    </w:p>
    <w:p w14:paraId="206C79E4" w14:textId="77777777" w:rsidR="00D62F16" w:rsidRDefault="00D62F16" w:rsidP="00D62F16">
      <w:pPr>
        <w:spacing w:before="0" w:after="240"/>
      </w:pPr>
      <w:r>
        <w:t xml:space="preserve">Při </w:t>
      </w:r>
      <w:r w:rsidRPr="002577B5">
        <w:t>srovnání celkových výdajů za roky 2017 a 2018, došlo</w:t>
      </w:r>
      <w:r>
        <w:t xml:space="preserve"> </w:t>
      </w:r>
      <w:r w:rsidRPr="00821DA1">
        <w:rPr>
          <w:b/>
        </w:rPr>
        <w:t>ve všech zemích s výjimkou Řecka a Švédska meziročně ke zvýšení</w:t>
      </w:r>
      <w:r>
        <w:t>. K </w:t>
      </w:r>
      <w:r w:rsidRPr="00821DA1">
        <w:rPr>
          <w:b/>
        </w:rPr>
        <w:t>nejvyššímu nárůstu došlo v Rumunsku</w:t>
      </w:r>
      <w:r>
        <w:t xml:space="preserve">, a to přibližně o 18 %, což je nejvyšší zvýšení za posledních 5 let ze všech zemí EU, dále </w:t>
      </w:r>
      <w:r w:rsidRPr="00821DA1">
        <w:rPr>
          <w:b/>
        </w:rPr>
        <w:t>v Česku o 14 %,</w:t>
      </w:r>
      <w:r>
        <w:t xml:space="preserve"> Lotyšsku o 12 % nebo Estonsku o 10 %. U ostatních zemí se zvýšení pohybovalo v rozmezí 1,6 % - 8,8 %. </w:t>
      </w:r>
    </w:p>
    <w:p w14:paraId="7C8CD4B9" w14:textId="77777777" w:rsidR="00D62F16" w:rsidRPr="00D62F16" w:rsidRDefault="00D62F16" w:rsidP="00F71C3C">
      <w:pPr>
        <w:spacing w:after="120" w:line="240" w:lineRule="auto"/>
        <w:rPr>
          <w:rFonts w:eastAsia="Calibri" w:cs="Times New Roman"/>
          <w:b/>
          <w:iCs/>
          <w:sz w:val="18"/>
          <w:szCs w:val="18"/>
        </w:rPr>
      </w:pPr>
      <w:bookmarkStart w:id="2" w:name="_Hlk66543012"/>
      <w:r w:rsidRPr="00D62F16">
        <w:rPr>
          <w:rFonts w:eastAsia="Calibri" w:cs="Times New Roman"/>
          <w:b/>
          <w:iCs/>
          <w:sz w:val="18"/>
          <w:szCs w:val="18"/>
        </w:rPr>
        <w:lastRenderedPageBreak/>
        <w:t xml:space="preserve">Graf </w:t>
      </w:r>
      <w:proofErr w:type="gramStart"/>
      <w:r w:rsidRPr="00D62F16">
        <w:rPr>
          <w:rFonts w:eastAsia="Calibri" w:cs="Times New Roman"/>
          <w:b/>
          <w:iCs/>
          <w:sz w:val="18"/>
          <w:szCs w:val="18"/>
        </w:rPr>
        <w:t>č. 6.</w:t>
      </w:r>
      <w:proofErr w:type="gramEnd"/>
      <w:r w:rsidRPr="00D62F16">
        <w:rPr>
          <w:rFonts w:eastAsia="Calibri" w:cs="Times New Roman"/>
          <w:b/>
          <w:iCs/>
          <w:sz w:val="18"/>
          <w:szCs w:val="18"/>
        </w:rPr>
        <w:fldChar w:fldCharType="begin"/>
      </w:r>
      <w:r w:rsidRPr="00D62F16">
        <w:rPr>
          <w:rFonts w:eastAsia="Calibri" w:cs="Times New Roman"/>
          <w:b/>
          <w:iCs/>
          <w:sz w:val="18"/>
          <w:szCs w:val="18"/>
        </w:rPr>
        <w:instrText xml:space="preserve"> SEQ Graf_č._6. \* ARABIC </w:instrText>
      </w:r>
      <w:r w:rsidRPr="00D62F16">
        <w:rPr>
          <w:rFonts w:eastAsia="Calibri" w:cs="Times New Roman"/>
          <w:b/>
          <w:iCs/>
          <w:sz w:val="18"/>
          <w:szCs w:val="18"/>
        </w:rPr>
        <w:fldChar w:fldCharType="separate"/>
      </w:r>
      <w:r w:rsidRPr="00D62F16">
        <w:rPr>
          <w:rFonts w:eastAsia="Calibri" w:cs="Times New Roman"/>
          <w:b/>
          <w:iCs/>
          <w:noProof/>
          <w:sz w:val="18"/>
          <w:szCs w:val="18"/>
        </w:rPr>
        <w:t>1</w:t>
      </w:r>
      <w:r w:rsidRPr="00D62F16">
        <w:rPr>
          <w:rFonts w:eastAsia="Calibri" w:cs="Times New Roman"/>
          <w:b/>
          <w:iCs/>
          <w:noProof/>
          <w:sz w:val="18"/>
          <w:szCs w:val="18"/>
        </w:rPr>
        <w:fldChar w:fldCharType="end"/>
      </w:r>
      <w:proofErr w:type="gramStart"/>
      <w:r w:rsidR="0085013A">
        <w:rPr>
          <w:rFonts w:eastAsia="Calibri" w:cs="Times New Roman"/>
          <w:b/>
          <w:iCs/>
          <w:noProof/>
          <w:sz w:val="18"/>
          <w:szCs w:val="18"/>
        </w:rPr>
        <w:t>.</w:t>
      </w:r>
      <w:proofErr w:type="gramEnd"/>
      <w:r w:rsidRPr="00D62F16">
        <w:rPr>
          <w:rFonts w:eastAsia="Calibri" w:cs="Times New Roman"/>
          <w:b/>
          <w:iCs/>
          <w:sz w:val="18"/>
          <w:szCs w:val="18"/>
        </w:rPr>
        <w:t xml:space="preserve"> Celkové výdaje na zdravotní péči ve vybraných evropských zemích v roce 2018 v mld. EUR </w:t>
      </w:r>
    </w:p>
    <w:bookmarkEnd w:id="2"/>
    <w:p w14:paraId="41C9C68D" w14:textId="77777777" w:rsidR="00D62F16" w:rsidRPr="00D62F16" w:rsidRDefault="00D62F16" w:rsidP="00C17915">
      <w:pPr>
        <w:keepNext/>
        <w:spacing w:after="120"/>
        <w:rPr>
          <w:rFonts w:eastAsia="Calibri" w:cs="Times New Roman"/>
        </w:rPr>
      </w:pPr>
      <w:r w:rsidRPr="00D62F16">
        <w:rPr>
          <w:rFonts w:eastAsia="Calibri" w:cs="Times New Roman"/>
          <w:noProof/>
          <w:lang w:eastAsia="cs-CZ"/>
        </w:rPr>
        <w:drawing>
          <wp:anchor distT="0" distB="0" distL="114300" distR="114300" simplePos="0" relativeHeight="251660800" behindDoc="0" locked="0" layoutInCell="1" allowOverlap="1" wp14:anchorId="65F3DB23" wp14:editId="5744085D">
            <wp:simplePos x="0" y="0"/>
            <wp:positionH relativeFrom="column">
              <wp:posOffset>2326990</wp:posOffset>
            </wp:positionH>
            <wp:positionV relativeFrom="paragraph">
              <wp:posOffset>8540</wp:posOffset>
            </wp:positionV>
            <wp:extent cx="3195145" cy="3058510"/>
            <wp:effectExtent l="0" t="0" r="5715" b="8890"/>
            <wp:wrapNone/>
            <wp:docPr id="8" name="Graf 8"/>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margin">
              <wp14:pctWidth>0</wp14:pctWidth>
            </wp14:sizeRelH>
            <wp14:sizeRelV relativeFrom="margin">
              <wp14:pctHeight>0</wp14:pctHeight>
            </wp14:sizeRelV>
          </wp:anchor>
        </w:drawing>
      </w:r>
      <w:r w:rsidRPr="00D62F16">
        <w:rPr>
          <w:rFonts w:eastAsia="Calibri" w:cs="Times New Roman"/>
          <w:noProof/>
          <w:lang w:eastAsia="cs-CZ"/>
        </w:rPr>
        <w:drawing>
          <wp:inline distT="0" distB="0" distL="0" distR="0" wp14:anchorId="1ADDBF16" wp14:editId="0C25FA47">
            <wp:extent cx="6064469" cy="4487918"/>
            <wp:effectExtent l="0" t="0" r="12700" b="8255"/>
            <wp:docPr id="9" name="Graf 9">
              <a:extLst xmlns:a="http://schemas.openxmlformats.org/drawingml/2006/main">
                <a:ext uri="{FF2B5EF4-FFF2-40B4-BE49-F238E27FC236}">
                  <a16:creationId xmlns:a16="http://schemas.microsoft.com/office/drawing/2014/main" id="{00000000-0008-0000-01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sidRPr="00D62F16">
        <w:rPr>
          <w:rFonts w:eastAsia="Calibri" w:cs="Times New Roman"/>
        </w:rPr>
        <w:t xml:space="preserve"> </w:t>
      </w:r>
    </w:p>
    <w:p w14:paraId="74D2E71C" w14:textId="77777777" w:rsidR="00D62F16" w:rsidRPr="00D62F16" w:rsidRDefault="00D62F16" w:rsidP="00F71C3C">
      <w:pPr>
        <w:spacing w:after="60"/>
        <w:rPr>
          <w:rFonts w:eastAsia="Calibri" w:cs="Times New Roman"/>
          <w:i/>
          <w:iCs/>
          <w:sz w:val="16"/>
          <w:szCs w:val="16"/>
        </w:rPr>
      </w:pPr>
      <w:bookmarkStart w:id="3" w:name="_Hlk66543254"/>
      <w:r w:rsidRPr="00D62F16">
        <w:rPr>
          <w:rFonts w:eastAsia="Calibri" w:cs="Times New Roman"/>
          <w:i/>
          <w:iCs/>
          <w:sz w:val="16"/>
          <w:szCs w:val="16"/>
        </w:rPr>
        <w:t>Pozn. Velká Británie je brána jako člen EU, neboť k odchodu z EU došlo až v roce 2020.</w:t>
      </w:r>
    </w:p>
    <w:p w14:paraId="59F91FD8" w14:textId="77777777" w:rsidR="00D62F16" w:rsidRPr="00F71C3C" w:rsidRDefault="00D62F16" w:rsidP="00D62F16">
      <w:pPr>
        <w:spacing w:before="0" w:after="240"/>
        <w:jc w:val="right"/>
        <w:rPr>
          <w:rFonts w:eastAsia="Calibri" w:cs="Times New Roman"/>
          <w:b/>
          <w:i/>
          <w:iCs/>
          <w:sz w:val="16"/>
          <w:szCs w:val="16"/>
        </w:rPr>
      </w:pPr>
      <w:r w:rsidRPr="00F71C3C">
        <w:rPr>
          <w:rFonts w:eastAsia="Calibri" w:cs="Times New Roman"/>
          <w:b/>
          <w:i/>
          <w:iCs/>
          <w:sz w:val="16"/>
          <w:szCs w:val="16"/>
        </w:rPr>
        <w:t xml:space="preserve">Zdroj: Databáze </w:t>
      </w:r>
      <w:proofErr w:type="spellStart"/>
      <w:r w:rsidRPr="00F71C3C">
        <w:rPr>
          <w:rFonts w:eastAsia="Calibri" w:cs="Times New Roman"/>
          <w:b/>
          <w:i/>
          <w:iCs/>
          <w:sz w:val="16"/>
          <w:szCs w:val="16"/>
        </w:rPr>
        <w:t>Eurostatu</w:t>
      </w:r>
      <w:proofErr w:type="spellEnd"/>
      <w:r w:rsidRPr="00F71C3C">
        <w:rPr>
          <w:rFonts w:eastAsia="Calibri" w:cs="Times New Roman"/>
          <w:b/>
          <w:i/>
          <w:iCs/>
          <w:sz w:val="16"/>
          <w:szCs w:val="16"/>
        </w:rPr>
        <w:t xml:space="preserve"> (2020) a vlastní dopočty ČSÚ</w:t>
      </w:r>
    </w:p>
    <w:bookmarkEnd w:id="3"/>
    <w:p w14:paraId="45479947" w14:textId="5CA7C970" w:rsidR="00D62F16" w:rsidRPr="00D62F16" w:rsidRDefault="00D62F16" w:rsidP="00D62F16">
      <w:pPr>
        <w:spacing w:before="0" w:after="240"/>
        <w:rPr>
          <w:b/>
          <w:i/>
        </w:rPr>
      </w:pPr>
      <w:r w:rsidRPr="00D62F16">
        <w:rPr>
          <w:b/>
          <w:i/>
        </w:rPr>
        <w:t>Průměrné výdaje na zdravotní péči na jednoho obyvatele za rok 201</w:t>
      </w:r>
      <w:r w:rsidR="00DF5092">
        <w:rPr>
          <w:b/>
          <w:i/>
        </w:rPr>
        <w:t>8</w:t>
      </w:r>
      <w:r w:rsidRPr="00D62F16">
        <w:rPr>
          <w:b/>
          <w:i/>
        </w:rPr>
        <w:t xml:space="preserve"> EU jsou 3 068 EUR</w:t>
      </w:r>
    </w:p>
    <w:p w14:paraId="66D023A3" w14:textId="77777777" w:rsidR="00D62F16" w:rsidRDefault="00D62F16" w:rsidP="00D62F16">
      <w:pPr>
        <w:spacing w:before="0" w:after="240"/>
      </w:pPr>
      <w:r>
        <w:t xml:space="preserve">Dalším způsobem hodnocení výdajů na zdravotní péči je </w:t>
      </w:r>
      <w:r w:rsidRPr="00821DA1">
        <w:rPr>
          <w:b/>
        </w:rPr>
        <w:t>přepočet ročních výdajů na jednoho obyvatele</w:t>
      </w:r>
      <w:r>
        <w:t>. Tato hodnota je přepočtena pomocí směnného kurzu na eura (viz graf č. 6.2).</w:t>
      </w:r>
    </w:p>
    <w:p w14:paraId="59F4252A" w14:textId="77777777" w:rsidR="00D62F16" w:rsidRDefault="00D62F16" w:rsidP="00D62F16">
      <w:pPr>
        <w:spacing w:before="0" w:after="240"/>
      </w:pPr>
      <w:r w:rsidRPr="002577B5">
        <w:t xml:space="preserve">Nejvyšší </w:t>
      </w:r>
      <w:r w:rsidRPr="002577B5">
        <w:rPr>
          <w:b/>
        </w:rPr>
        <w:t>výdaje na zdravotní péči na jednoho obyvatele</w:t>
      </w:r>
      <w:r>
        <w:t xml:space="preserve"> v rámci zemí OECD byly opět ve </w:t>
      </w:r>
      <w:r w:rsidRPr="002577B5">
        <w:rPr>
          <w:b/>
        </w:rPr>
        <w:t xml:space="preserve">Spojených státech </w:t>
      </w:r>
      <w:r w:rsidRPr="002577B5">
        <w:t xml:space="preserve">a to přibližně </w:t>
      </w:r>
      <w:r w:rsidRPr="002577B5">
        <w:rPr>
          <w:b/>
        </w:rPr>
        <w:t>8 746 EUR</w:t>
      </w:r>
      <w:r w:rsidRPr="002577B5">
        <w:t>. Ze všech evropských zemí byla nejvyšší částka na jed</w:t>
      </w:r>
      <w:r>
        <w:t xml:space="preserve">noho obyvatele ve </w:t>
      </w:r>
      <w:r w:rsidRPr="00821DA1">
        <w:rPr>
          <w:b/>
        </w:rPr>
        <w:t>Švýcarsku (8 327 EUR)</w:t>
      </w:r>
      <w:r>
        <w:t>. Na těchto dvou zemích lze vidět vliv velikostí jednotlivých států na celkové výdaje na zdravotní péči. Ačkoliv se celkové výdaje těchto států velmi lišily, při přepočtu na jednoho obyvatele činí rozdíl jen 420 EUR. V evropských zemích mimo EU byly dále vyšší výdaje na jednoho obyvatele zaznamenány v Norsku (6 960 EUR), zatímco nejnižší v Bosně a Hercegovině (435 EUR).</w:t>
      </w:r>
    </w:p>
    <w:p w14:paraId="0642AD41" w14:textId="50DECB8D" w:rsidR="00D62F16" w:rsidRDefault="00D62F16" w:rsidP="00D62F16">
      <w:pPr>
        <w:spacing w:before="0" w:after="240"/>
      </w:pPr>
      <w:r w:rsidRPr="002577B5">
        <w:rPr>
          <w:b/>
        </w:rPr>
        <w:t>Výdaje na jednoho obyvatele</w:t>
      </w:r>
      <w:r w:rsidRPr="002577B5">
        <w:t xml:space="preserve"> se v rámci EU velmi liší. Nejvyšší částka na jednoho obyvatele v </w:t>
      </w:r>
      <w:r>
        <w:t>přepočtu na eura byla vynaložena v </w:t>
      </w:r>
      <w:r w:rsidRPr="00EF1D98">
        <w:rPr>
          <w:b/>
        </w:rPr>
        <w:t>Dánsku</w:t>
      </w:r>
      <w:r>
        <w:t xml:space="preserve"> a to konkrétně </w:t>
      </w:r>
      <w:r w:rsidRPr="00EF1D98">
        <w:rPr>
          <w:b/>
        </w:rPr>
        <w:t>5 256 EUR</w:t>
      </w:r>
      <w:r>
        <w:t>. Ačkoliv Lucembursko má druhé nejvyšší výdaje na jednoho obyvatele při přepočtu na eura, konkrétně 5 221 EUR, podíl výdajů na zdravotní péči na HDP je nejnižší z celé EU, což je způsobeno vysokou mírou ekonomické výkonosti této země. Další zemí s výdaji nad 5 000 EUR na jednoho obyvatele je Švédsko. Do skupiny zemí s výdaji na zdravotní péči nad 4 000 EUR na jednoho obyvatele patří ještě Německo, Irsko, Rakousko, N</w:t>
      </w:r>
      <w:r w:rsidR="00DF5092">
        <w:t>izozemsko</w:t>
      </w:r>
      <w:r>
        <w:t xml:space="preserve"> a Belgie. </w:t>
      </w:r>
    </w:p>
    <w:p w14:paraId="46FD46CB" w14:textId="77777777" w:rsidR="00142D08" w:rsidRPr="00142D08" w:rsidRDefault="00142D08" w:rsidP="00F71C3C">
      <w:pPr>
        <w:keepNext/>
        <w:spacing w:after="120" w:line="240" w:lineRule="auto"/>
        <w:rPr>
          <w:rFonts w:eastAsia="Calibri" w:cs="Times New Roman"/>
          <w:b/>
          <w:iCs/>
          <w:sz w:val="18"/>
          <w:szCs w:val="18"/>
        </w:rPr>
      </w:pPr>
      <w:r w:rsidRPr="00142D08">
        <w:rPr>
          <w:rFonts w:eastAsia="Calibri" w:cs="Times New Roman"/>
          <w:b/>
          <w:iCs/>
          <w:sz w:val="18"/>
          <w:szCs w:val="18"/>
        </w:rPr>
        <w:lastRenderedPageBreak/>
        <w:t xml:space="preserve">Graf </w:t>
      </w:r>
      <w:proofErr w:type="gramStart"/>
      <w:r w:rsidRPr="00142D08">
        <w:rPr>
          <w:rFonts w:eastAsia="Calibri" w:cs="Times New Roman"/>
          <w:b/>
          <w:iCs/>
          <w:sz w:val="18"/>
          <w:szCs w:val="18"/>
        </w:rPr>
        <w:t>č. 6.</w:t>
      </w:r>
      <w:r w:rsidRPr="00142D08">
        <w:rPr>
          <w:rFonts w:eastAsia="Calibri" w:cs="Times New Roman"/>
          <w:b/>
          <w:iCs/>
          <w:sz w:val="18"/>
          <w:szCs w:val="18"/>
        </w:rPr>
        <w:fldChar w:fldCharType="begin"/>
      </w:r>
      <w:r w:rsidRPr="00142D08">
        <w:rPr>
          <w:rFonts w:eastAsia="Calibri" w:cs="Times New Roman"/>
          <w:b/>
          <w:iCs/>
          <w:sz w:val="18"/>
          <w:szCs w:val="18"/>
        </w:rPr>
        <w:instrText xml:space="preserve"> SEQ Graf_č._6. \* ARABIC </w:instrText>
      </w:r>
      <w:r w:rsidRPr="00142D08">
        <w:rPr>
          <w:rFonts w:eastAsia="Calibri" w:cs="Times New Roman"/>
          <w:b/>
          <w:iCs/>
          <w:sz w:val="18"/>
          <w:szCs w:val="18"/>
        </w:rPr>
        <w:fldChar w:fldCharType="separate"/>
      </w:r>
      <w:r w:rsidRPr="00142D08">
        <w:rPr>
          <w:rFonts w:eastAsia="Calibri" w:cs="Times New Roman"/>
          <w:b/>
          <w:iCs/>
          <w:noProof/>
          <w:sz w:val="18"/>
          <w:szCs w:val="18"/>
        </w:rPr>
        <w:t>2</w:t>
      </w:r>
      <w:r w:rsidRPr="00142D08">
        <w:rPr>
          <w:rFonts w:eastAsia="Calibri" w:cs="Times New Roman"/>
          <w:b/>
          <w:iCs/>
          <w:noProof/>
          <w:sz w:val="18"/>
          <w:szCs w:val="18"/>
        </w:rPr>
        <w:fldChar w:fldCharType="end"/>
      </w:r>
      <w:r w:rsidR="0085013A">
        <w:rPr>
          <w:rFonts w:eastAsia="Calibri" w:cs="Times New Roman"/>
          <w:b/>
          <w:iCs/>
          <w:noProof/>
          <w:sz w:val="18"/>
          <w:szCs w:val="18"/>
        </w:rPr>
        <w:t>.</w:t>
      </w:r>
      <w:proofErr w:type="gramEnd"/>
      <w:r w:rsidRPr="00142D08">
        <w:rPr>
          <w:rFonts w:eastAsia="Calibri" w:cs="Times New Roman"/>
          <w:b/>
          <w:iCs/>
          <w:sz w:val="18"/>
          <w:szCs w:val="18"/>
        </w:rPr>
        <w:t xml:space="preserve"> Výdaje na zdravotní péči na jednoho obyvatele v zemích EU a vybraných zemích OECD v roce 2018 v </w:t>
      </w:r>
      <w:proofErr w:type="gramStart"/>
      <w:r w:rsidRPr="00142D08">
        <w:rPr>
          <w:rFonts w:eastAsia="Calibri" w:cs="Times New Roman"/>
          <w:b/>
          <w:iCs/>
          <w:sz w:val="18"/>
          <w:szCs w:val="18"/>
        </w:rPr>
        <w:t>EUR</w:t>
      </w:r>
      <w:proofErr w:type="gramEnd"/>
      <w:r w:rsidRPr="00142D08">
        <w:rPr>
          <w:rFonts w:eastAsia="Calibri" w:cs="Times New Roman"/>
          <w:b/>
          <w:iCs/>
          <w:sz w:val="18"/>
          <w:szCs w:val="18"/>
        </w:rPr>
        <w:t xml:space="preserve"> </w:t>
      </w:r>
    </w:p>
    <w:p w14:paraId="7D91ABB7" w14:textId="77777777" w:rsidR="00142D08" w:rsidRPr="00142D08" w:rsidRDefault="00142D08" w:rsidP="00C17915">
      <w:pPr>
        <w:keepNext/>
        <w:spacing w:after="120"/>
        <w:rPr>
          <w:rFonts w:eastAsia="Calibri" w:cs="Times New Roman"/>
        </w:rPr>
      </w:pPr>
      <w:r w:rsidRPr="00142D08">
        <w:rPr>
          <w:rFonts w:eastAsia="Calibri" w:cs="Times New Roman"/>
          <w:noProof/>
          <w:lang w:eastAsia="cs-CZ"/>
        </w:rPr>
        <w:drawing>
          <wp:inline distT="0" distB="0" distL="0" distR="0" wp14:anchorId="3A8DD0AD" wp14:editId="6D8B4274">
            <wp:extent cx="6085489" cy="4182745"/>
            <wp:effectExtent l="0" t="0" r="10795" b="8255"/>
            <wp:docPr id="13" name="Graf 13">
              <a:extLst xmlns:a="http://schemas.openxmlformats.org/drawingml/2006/main">
                <a:ext uri="{FF2B5EF4-FFF2-40B4-BE49-F238E27FC236}">
                  <a16:creationId xmlns:a16="http://schemas.microsoft.com/office/drawing/2014/main" id="{00000000-0008-0000-03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015E8DE6" w14:textId="3B3258C2" w:rsidR="00DF5092" w:rsidRPr="00DF5092" w:rsidRDefault="00DF5092" w:rsidP="00DF5092">
      <w:pPr>
        <w:spacing w:after="60"/>
        <w:rPr>
          <w:rFonts w:eastAsia="Calibri" w:cs="Times New Roman"/>
          <w:i/>
          <w:iCs/>
          <w:sz w:val="16"/>
          <w:szCs w:val="16"/>
        </w:rPr>
      </w:pPr>
      <w:r w:rsidRPr="00D62F16">
        <w:rPr>
          <w:rFonts w:eastAsia="Calibri" w:cs="Times New Roman"/>
          <w:i/>
          <w:iCs/>
          <w:sz w:val="16"/>
          <w:szCs w:val="16"/>
        </w:rPr>
        <w:t>Pozn. Velká Británie je brána jako člen EU, neboť k odchodu z EU došlo až v roce 2020.</w:t>
      </w:r>
    </w:p>
    <w:p w14:paraId="587580BE" w14:textId="3D4E56A3" w:rsidR="00142D08" w:rsidRPr="00F71C3C" w:rsidRDefault="00142D08" w:rsidP="00142D08">
      <w:pPr>
        <w:spacing w:before="0" w:after="240"/>
        <w:jc w:val="right"/>
        <w:rPr>
          <w:rFonts w:eastAsia="Calibri" w:cs="Times New Roman"/>
          <w:b/>
          <w:i/>
          <w:iCs/>
          <w:sz w:val="16"/>
          <w:szCs w:val="16"/>
        </w:rPr>
      </w:pPr>
      <w:r w:rsidRPr="00F71C3C">
        <w:rPr>
          <w:rFonts w:eastAsia="Calibri" w:cs="Times New Roman"/>
          <w:b/>
          <w:i/>
          <w:iCs/>
          <w:sz w:val="16"/>
          <w:szCs w:val="16"/>
        </w:rPr>
        <w:t xml:space="preserve">Zdroj: Databáze </w:t>
      </w:r>
      <w:proofErr w:type="spellStart"/>
      <w:r w:rsidRPr="00F71C3C">
        <w:rPr>
          <w:rFonts w:eastAsia="Calibri" w:cs="Times New Roman"/>
          <w:b/>
          <w:i/>
          <w:iCs/>
          <w:sz w:val="16"/>
          <w:szCs w:val="16"/>
        </w:rPr>
        <w:t>Eurostatu</w:t>
      </w:r>
      <w:proofErr w:type="spellEnd"/>
      <w:r w:rsidRPr="00F71C3C">
        <w:rPr>
          <w:rFonts w:eastAsia="Calibri" w:cs="Times New Roman"/>
          <w:b/>
          <w:i/>
          <w:iCs/>
          <w:sz w:val="16"/>
          <w:szCs w:val="16"/>
        </w:rPr>
        <w:t xml:space="preserve"> (2020) a vlastní dopočty ČSÚ</w:t>
      </w:r>
    </w:p>
    <w:p w14:paraId="2ED8DD34" w14:textId="396DD3D2" w:rsidR="00142D08" w:rsidRDefault="00142D08" w:rsidP="00142D08">
      <w:pPr>
        <w:spacing w:before="0" w:after="240"/>
      </w:pPr>
      <w:r>
        <w:t xml:space="preserve">Některé země v rámci výdajů na zdravotní péči nedosáhly ani na 1 000 EUR na jednoho obyvatele. Mezi tyto státy patří Lotyšsko, Maďarsko, Chorvatsko, Polsko a Bulharsko. Úplně nejnižší výdaje na jednoho obyvatele </w:t>
      </w:r>
      <w:r w:rsidR="00DF5092">
        <w:t xml:space="preserve">v rámci EU </w:t>
      </w:r>
      <w:r>
        <w:t>vychází v Rumunsku (584 EUR).</w:t>
      </w:r>
    </w:p>
    <w:p w14:paraId="50AAE81C" w14:textId="77777777" w:rsidR="00142D08" w:rsidRDefault="00142D08" w:rsidP="00142D08">
      <w:pPr>
        <w:spacing w:before="0" w:after="240"/>
      </w:pPr>
      <w:r>
        <w:t xml:space="preserve">Ačkoliv výdaje na zdravotní péči na jednoho obyvatele v České republice za poslední tři roky vzrostly o 300 EUR, jsou poloviční oproti průměru EU jako celku. </w:t>
      </w:r>
      <w:r w:rsidRPr="00EF1D98">
        <w:rPr>
          <w:b/>
        </w:rPr>
        <w:t>Česko</w:t>
      </w:r>
      <w:r>
        <w:t xml:space="preserve"> se tedy v pomyslném žebříčku výdajů na jednoho obyvatele v rámci zemí EU řadí na </w:t>
      </w:r>
      <w:r w:rsidRPr="00EF1D98">
        <w:rPr>
          <w:b/>
        </w:rPr>
        <w:t>18. místo s částkou 1 493 EUR</w:t>
      </w:r>
      <w:r>
        <w:t>. Při porovnání se  sousedními státy jsou české výdaje na jednoho obyvatele v porovnání s Německem nebo Rakouskem přibližně třikrát menší. Oproti Slovensku jsou o třetinu vyšší a v porovnání s Polskem jsou vyšší téměř o polovinu.</w:t>
      </w:r>
    </w:p>
    <w:p w14:paraId="47975A4E" w14:textId="77777777" w:rsidR="00142D08" w:rsidRPr="00142D08" w:rsidRDefault="00142D08" w:rsidP="00142D08">
      <w:pPr>
        <w:spacing w:before="0" w:after="240"/>
        <w:rPr>
          <w:b/>
          <w:i/>
        </w:rPr>
      </w:pPr>
      <w:r w:rsidRPr="00142D08">
        <w:rPr>
          <w:b/>
          <w:i/>
        </w:rPr>
        <w:t>Podíl výdajů na zdravotní péči na HDP se v posledních pěti letech v EU měnil minimálně</w:t>
      </w:r>
    </w:p>
    <w:p w14:paraId="14703DE7" w14:textId="77777777" w:rsidR="00142D08" w:rsidRDefault="00142D08" w:rsidP="00142D08">
      <w:pPr>
        <w:spacing w:before="0" w:after="240"/>
      </w:pPr>
      <w:r>
        <w:t xml:space="preserve">Jak lze vidět v grafu č. 6.3, jen tři z evropských </w:t>
      </w:r>
      <w:r w:rsidRPr="002577B5">
        <w:t>zemí přesáhly v roce 2018 hranici 11%</w:t>
      </w:r>
      <w:r w:rsidRPr="002577B5">
        <w:rPr>
          <w:b/>
        </w:rPr>
        <w:t xml:space="preserve"> </w:t>
      </w:r>
      <w:r w:rsidRPr="00EF1D98">
        <w:rPr>
          <w:b/>
        </w:rPr>
        <w:t>podílu výdajů na zdravotní péči na HDP</w:t>
      </w:r>
      <w:r>
        <w:t xml:space="preserve">. Konkrétně se jedná o </w:t>
      </w:r>
      <w:r w:rsidRPr="00EF1D98">
        <w:rPr>
          <w:b/>
        </w:rPr>
        <w:t>Švýcarsko (11,9 %), Německo (11,5 %) a Francii (11,3 %)</w:t>
      </w:r>
      <w:r>
        <w:t xml:space="preserve">. K této hranici se přiblížilo i Švédsko s 10,9 %. </w:t>
      </w:r>
      <w:r w:rsidRPr="002577B5">
        <w:t>V celé</w:t>
      </w:r>
      <w:r w:rsidRPr="00EF1D98">
        <w:rPr>
          <w:b/>
        </w:rPr>
        <w:t xml:space="preserve"> EU </w:t>
      </w:r>
      <w:r w:rsidRPr="002577B5">
        <w:t>byl podíl výdajů na zdravotní péči k HDP</w:t>
      </w:r>
      <w:r w:rsidRPr="00EF1D98">
        <w:rPr>
          <w:b/>
        </w:rPr>
        <w:t xml:space="preserve"> 9,9 %.</w:t>
      </w:r>
      <w:r>
        <w:t xml:space="preserve"> Tuto hodnotu přesáhly, kromě dvou výše zmíněných zemí EU, ještě Rakousko (10,3 %), Belgie (10,3 %), Dánsko (10,1 %), Velká Británie (10 %) a Nizozemsko (10 %). Nejnižší podíl výdajů na HDP je v Lucembursku (5,3 %) a Rumunsku (5,6 %), kde došlo od roku 2015 ke zvýšení o 0,6 procentního bodu, což je nejvyšší zvýšení ze všech zemí EU (od roku 2015).</w:t>
      </w:r>
    </w:p>
    <w:p w14:paraId="3103790C" w14:textId="77777777" w:rsidR="00142D08" w:rsidRDefault="00142D08" w:rsidP="00142D08">
      <w:pPr>
        <w:spacing w:before="0" w:after="240"/>
      </w:pPr>
      <w:r>
        <w:t xml:space="preserve">Co se týče </w:t>
      </w:r>
      <w:r w:rsidRPr="00EF1D98">
        <w:rPr>
          <w:b/>
        </w:rPr>
        <w:t>Česka</w:t>
      </w:r>
      <w:r>
        <w:t xml:space="preserve">, je </w:t>
      </w:r>
      <w:r w:rsidRPr="00EF1D98">
        <w:rPr>
          <w:b/>
        </w:rPr>
        <w:t xml:space="preserve">podíl výdajů na zdravotní péči k HDP </w:t>
      </w:r>
      <w:r w:rsidRPr="002577B5">
        <w:t>již několik let výrazně pod průměrem EU</w:t>
      </w:r>
      <w:r>
        <w:t xml:space="preserve">. Nicméně oproti předchozímu roku si Česká republika polepšila v pomyslném žebříčku zemí EU o jedno místo, což ji tedy v roce 2018 řadí na 16. místo. V roce 2018 byla v ČR hodnota podílu výdajů na zdravotní péči k </w:t>
      </w:r>
      <w:r>
        <w:lastRenderedPageBreak/>
        <w:t>HDP 7,65 %</w:t>
      </w:r>
      <w:r>
        <w:rPr>
          <w:rStyle w:val="Znakapoznpodarou"/>
        </w:rPr>
        <w:footnoteReference w:id="1"/>
      </w:r>
      <w:r>
        <w:t xml:space="preserve">, což je zhruba na úrovni Korey (podíl na HDP v roce 2018 -7,6 %). Meziročně vzrostl podíl na HDP v Česku o 0,42 procentního bodu, což je nejvyšší meziroční nárůst ze všech zemí EU. </w:t>
      </w:r>
    </w:p>
    <w:p w14:paraId="6D4788B0" w14:textId="3A694835" w:rsidR="00142D08" w:rsidRPr="00142D08" w:rsidRDefault="00DF5092" w:rsidP="00F71C3C">
      <w:pPr>
        <w:keepNext/>
        <w:spacing w:after="120" w:line="240" w:lineRule="auto"/>
        <w:rPr>
          <w:rFonts w:eastAsia="Calibri" w:cs="Times New Roman"/>
          <w:b/>
          <w:iCs/>
          <w:sz w:val="18"/>
          <w:szCs w:val="18"/>
        </w:rPr>
      </w:pPr>
      <w:r>
        <w:rPr>
          <w:rFonts w:eastAsia="Calibri" w:cs="Times New Roman"/>
          <w:b/>
          <w:iCs/>
          <w:sz w:val="18"/>
          <w:szCs w:val="18"/>
        </w:rPr>
        <w:t xml:space="preserve">Graf </w:t>
      </w:r>
      <w:proofErr w:type="gramStart"/>
      <w:r>
        <w:rPr>
          <w:rFonts w:eastAsia="Calibri" w:cs="Times New Roman"/>
          <w:b/>
          <w:iCs/>
          <w:sz w:val="18"/>
          <w:szCs w:val="18"/>
        </w:rPr>
        <w:t>č. 6.</w:t>
      </w:r>
      <w:r w:rsidR="00142D08" w:rsidRPr="00142D08">
        <w:rPr>
          <w:rFonts w:eastAsia="Calibri" w:cs="Times New Roman"/>
          <w:b/>
          <w:iCs/>
          <w:sz w:val="18"/>
          <w:szCs w:val="18"/>
        </w:rPr>
        <w:fldChar w:fldCharType="begin"/>
      </w:r>
      <w:r w:rsidR="00142D08" w:rsidRPr="00142D08">
        <w:rPr>
          <w:rFonts w:eastAsia="Calibri" w:cs="Times New Roman"/>
          <w:b/>
          <w:iCs/>
          <w:sz w:val="18"/>
          <w:szCs w:val="18"/>
        </w:rPr>
        <w:instrText xml:space="preserve"> SEQ Graf_č._6. \* ARABIC </w:instrText>
      </w:r>
      <w:r w:rsidR="00142D08" w:rsidRPr="00142D08">
        <w:rPr>
          <w:rFonts w:eastAsia="Calibri" w:cs="Times New Roman"/>
          <w:b/>
          <w:iCs/>
          <w:sz w:val="18"/>
          <w:szCs w:val="18"/>
        </w:rPr>
        <w:fldChar w:fldCharType="separate"/>
      </w:r>
      <w:r w:rsidR="00142D08" w:rsidRPr="00142D08">
        <w:rPr>
          <w:rFonts w:eastAsia="Calibri" w:cs="Times New Roman"/>
          <w:b/>
          <w:iCs/>
          <w:noProof/>
          <w:sz w:val="18"/>
          <w:szCs w:val="18"/>
        </w:rPr>
        <w:t>3</w:t>
      </w:r>
      <w:r w:rsidR="00142D08" w:rsidRPr="00142D08">
        <w:rPr>
          <w:rFonts w:eastAsia="Calibri" w:cs="Times New Roman"/>
          <w:b/>
          <w:iCs/>
          <w:noProof/>
          <w:sz w:val="18"/>
          <w:szCs w:val="18"/>
        </w:rPr>
        <w:fldChar w:fldCharType="end"/>
      </w:r>
      <w:r w:rsidR="0085013A">
        <w:rPr>
          <w:rFonts w:eastAsia="Calibri" w:cs="Times New Roman"/>
          <w:b/>
          <w:iCs/>
          <w:noProof/>
          <w:sz w:val="18"/>
          <w:szCs w:val="18"/>
        </w:rPr>
        <w:t>.</w:t>
      </w:r>
      <w:proofErr w:type="gramEnd"/>
      <w:r w:rsidR="00142D08" w:rsidRPr="00142D08">
        <w:rPr>
          <w:rFonts w:eastAsia="Calibri" w:cs="Times New Roman"/>
          <w:b/>
          <w:iCs/>
          <w:sz w:val="18"/>
          <w:szCs w:val="18"/>
        </w:rPr>
        <w:t xml:space="preserve"> Podíl výdajů na zdravotní péči na HDP v zemích EU a vybraných zemích OECD v roce 2018 (v %)</w:t>
      </w:r>
    </w:p>
    <w:p w14:paraId="6C53C524" w14:textId="77777777" w:rsidR="00142D08" w:rsidRPr="00142D08" w:rsidRDefault="00142D08" w:rsidP="00C17915">
      <w:pPr>
        <w:spacing w:after="120"/>
        <w:rPr>
          <w:rFonts w:eastAsia="Calibri" w:cs="Times New Roman"/>
        </w:rPr>
      </w:pPr>
      <w:r w:rsidRPr="00142D08">
        <w:rPr>
          <w:rFonts w:eastAsia="Calibri" w:cs="Times New Roman"/>
          <w:noProof/>
          <w:lang w:eastAsia="cs-CZ"/>
        </w:rPr>
        <w:drawing>
          <wp:inline distT="0" distB="0" distL="0" distR="0" wp14:anchorId="12815288" wp14:editId="29D42CD6">
            <wp:extent cx="6085205" cy="4225159"/>
            <wp:effectExtent l="0" t="0" r="10795" b="4445"/>
            <wp:docPr id="1" name="Graf 1">
              <a:extLst xmlns:a="http://schemas.openxmlformats.org/drawingml/2006/main">
                <a:ext uri="{FF2B5EF4-FFF2-40B4-BE49-F238E27FC236}">
                  <a16:creationId xmlns:a16="http://schemas.microsoft.com/office/drawing/2014/main" id="{00000000-0008-0000-03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403C48C5" w14:textId="21797921" w:rsidR="00DF5092" w:rsidRPr="00DF5092" w:rsidRDefault="00DF5092" w:rsidP="00DF5092">
      <w:pPr>
        <w:spacing w:after="60"/>
        <w:rPr>
          <w:rFonts w:eastAsia="Calibri" w:cs="Times New Roman"/>
          <w:i/>
          <w:iCs/>
          <w:sz w:val="16"/>
          <w:szCs w:val="16"/>
        </w:rPr>
      </w:pPr>
      <w:r w:rsidRPr="00D62F16">
        <w:rPr>
          <w:rFonts w:eastAsia="Calibri" w:cs="Times New Roman"/>
          <w:i/>
          <w:iCs/>
          <w:sz w:val="16"/>
          <w:szCs w:val="16"/>
        </w:rPr>
        <w:t>Pozn. Velká Británie je brána jako člen EU, neboť k odchodu z EU došlo až v roce 2020.</w:t>
      </w:r>
    </w:p>
    <w:p w14:paraId="64BEE3FF" w14:textId="287C364F" w:rsidR="00142D08" w:rsidRPr="00F71C3C" w:rsidRDefault="00142D08" w:rsidP="00142D08">
      <w:pPr>
        <w:spacing w:before="0" w:after="240"/>
        <w:jc w:val="right"/>
        <w:rPr>
          <w:rFonts w:eastAsia="Calibri" w:cs="Times New Roman"/>
          <w:b/>
          <w:i/>
          <w:iCs/>
          <w:sz w:val="16"/>
          <w:szCs w:val="16"/>
        </w:rPr>
      </w:pPr>
      <w:r w:rsidRPr="00F71C3C">
        <w:rPr>
          <w:rFonts w:eastAsia="Calibri" w:cs="Times New Roman"/>
          <w:b/>
          <w:i/>
          <w:iCs/>
          <w:sz w:val="16"/>
          <w:szCs w:val="16"/>
        </w:rPr>
        <w:t xml:space="preserve">Zdroj: Databáze </w:t>
      </w:r>
      <w:proofErr w:type="spellStart"/>
      <w:r w:rsidRPr="00F71C3C">
        <w:rPr>
          <w:rFonts w:eastAsia="Calibri" w:cs="Times New Roman"/>
          <w:b/>
          <w:i/>
          <w:iCs/>
          <w:sz w:val="16"/>
          <w:szCs w:val="16"/>
        </w:rPr>
        <w:t>Eurostatu</w:t>
      </w:r>
      <w:proofErr w:type="spellEnd"/>
      <w:r w:rsidRPr="00F71C3C">
        <w:rPr>
          <w:rFonts w:eastAsia="Calibri" w:cs="Times New Roman"/>
          <w:b/>
          <w:i/>
          <w:iCs/>
          <w:sz w:val="16"/>
          <w:szCs w:val="16"/>
        </w:rPr>
        <w:t xml:space="preserve"> a OECD (2020) a vlastní dopočty ČSÚ</w:t>
      </w:r>
    </w:p>
    <w:p w14:paraId="0A3D9976" w14:textId="77777777" w:rsidR="00142D08" w:rsidRDefault="00142D08" w:rsidP="00142D08">
      <w:pPr>
        <w:spacing w:before="0" w:after="240"/>
      </w:pPr>
      <w:r>
        <w:t>Zcela nejvyšší podíl výdajů na zdravotní péči na HDP mají dlouhodobě ze všech zemí OECD Spojené státy. V roce 2018 to bylo konkrétně 16,9 %. Oproti předchozímu roku došlo k poklesu o 0,1 procentního bodu. Na druhou stranu nejnižší podíl na HDP je v Turecku (4,2 %), kde došlo od roku 2010 ke snížení o 0,9 procentního bodu.</w:t>
      </w:r>
    </w:p>
    <w:p w14:paraId="783505F3" w14:textId="77777777" w:rsidR="00142D08" w:rsidRDefault="00142D08" w:rsidP="00142D08">
      <w:pPr>
        <w:pStyle w:val="Nadpis3"/>
      </w:pPr>
      <w:r>
        <w:t xml:space="preserve">6.2. </w:t>
      </w:r>
      <w:r w:rsidRPr="003F4E54">
        <w:t>Výdaje na zdravotní péči podle zdroje financování</w:t>
      </w:r>
    </w:p>
    <w:p w14:paraId="2532436D" w14:textId="77777777" w:rsidR="00142D08" w:rsidRPr="00142D08" w:rsidRDefault="00142D08" w:rsidP="00142D08">
      <w:pPr>
        <w:spacing w:before="0" w:after="240"/>
        <w:rPr>
          <w:b/>
          <w:i/>
        </w:rPr>
      </w:pPr>
      <w:r w:rsidRPr="00142D08">
        <w:rPr>
          <w:b/>
          <w:i/>
        </w:rPr>
        <w:t>V zemích EU převažuje financování zdravotní péče z veřejných zdrojů</w:t>
      </w:r>
    </w:p>
    <w:p w14:paraId="145161BA" w14:textId="77777777" w:rsidR="00142D08" w:rsidRDefault="00142D08" w:rsidP="00142D08">
      <w:pPr>
        <w:spacing w:before="0" w:after="240"/>
      </w:pPr>
      <w:r>
        <w:t xml:space="preserve">Ačkoliv se zastoupení zdrojů financování zdravotní péče v jednotlivých státech EU liší, tak v grafu č. 6.4 lze vidět, že převažuje financování z </w:t>
      </w:r>
      <w:r w:rsidRPr="003507C4">
        <w:rPr>
          <w:b/>
        </w:rPr>
        <w:t>veřejných zdrojů</w:t>
      </w:r>
      <w:r>
        <w:t xml:space="preserve"> (výdaje z veřejných rozpočtů (státní a místní) a výdaje z povinného zdravotního pojištění), dále následují </w:t>
      </w:r>
      <w:r w:rsidRPr="003507C4">
        <w:rPr>
          <w:b/>
        </w:rPr>
        <w:t>přímé výdaje domácností</w:t>
      </w:r>
      <w:r>
        <w:t xml:space="preserve"> a </w:t>
      </w:r>
      <w:r w:rsidRPr="003507C4">
        <w:rPr>
          <w:b/>
        </w:rPr>
        <w:t>dobrovolné zdravotní pojištění</w:t>
      </w:r>
      <w:r>
        <w:t xml:space="preserve">. </w:t>
      </w:r>
    </w:p>
    <w:p w14:paraId="111EC7BB" w14:textId="22E9B26B" w:rsidR="00142D08" w:rsidRDefault="00142D08" w:rsidP="00142D08">
      <w:pPr>
        <w:spacing w:before="0" w:after="240"/>
      </w:pPr>
      <w:r>
        <w:t xml:space="preserve">Nejvyšší podíl </w:t>
      </w:r>
      <w:r w:rsidRPr="00C97157">
        <w:rPr>
          <w:b/>
        </w:rPr>
        <w:t xml:space="preserve">financování </w:t>
      </w:r>
      <w:r>
        <w:rPr>
          <w:b/>
        </w:rPr>
        <w:t xml:space="preserve">zdravotní péče </w:t>
      </w:r>
      <w:r w:rsidRPr="00C97157">
        <w:rPr>
          <w:b/>
        </w:rPr>
        <w:t>z veřejných zdrojů</w:t>
      </w:r>
      <w:r>
        <w:t xml:space="preserve"> byl v roce 2018 zaznamenán ve </w:t>
      </w:r>
      <w:r w:rsidRPr="00EF1D98">
        <w:rPr>
          <w:b/>
        </w:rPr>
        <w:t>Švéd</w:t>
      </w:r>
      <w:r w:rsidR="00DF5092">
        <w:rPr>
          <w:b/>
        </w:rPr>
        <w:t>s</w:t>
      </w:r>
      <w:r w:rsidRPr="00EF1D98">
        <w:rPr>
          <w:b/>
        </w:rPr>
        <w:t>ku a Německu</w:t>
      </w:r>
      <w:r>
        <w:t xml:space="preserve">, u obou zemí je to 85 % veškerých výdajů na zdraví. Druhý nejvyšší podíl byl 84 % v Lucembursku, Dánsku a Francii. V České republice, stejně jako v Chorvatsku, bylo z veřejných zdrojů </w:t>
      </w:r>
      <w:r>
        <w:lastRenderedPageBreak/>
        <w:t>financováno 83 % celkových výdajů na zdravotní péči. Podíly dalších zdrojů financování zdravotní péče se u těchto dvou zemí liší. V Česku výrazně převažují přímé výdaje domácností, na rozdíl od Chorvatska, kde jsou výdaje rozděleny, jak mezi platby domácností, tak i dobrovolné zdravotní pojištění. Mezi země, u kterých je podíl financování zdravotní péče z veřejných zdrojů vyšší než průměr EU (79 %), dále patří Nizozemsko, Slovensko a Rumunsko.</w:t>
      </w:r>
    </w:p>
    <w:p w14:paraId="64E11C62" w14:textId="77777777" w:rsidR="00142D08" w:rsidRPr="00142D08" w:rsidRDefault="00142D08" w:rsidP="00F71C3C">
      <w:pPr>
        <w:keepNext/>
        <w:spacing w:after="120" w:line="240" w:lineRule="auto"/>
        <w:rPr>
          <w:rFonts w:eastAsia="Calibri" w:cs="Times New Roman"/>
          <w:b/>
          <w:iCs/>
          <w:sz w:val="18"/>
          <w:szCs w:val="18"/>
        </w:rPr>
      </w:pPr>
      <w:r w:rsidRPr="00142D08">
        <w:rPr>
          <w:rFonts w:eastAsia="Calibri" w:cs="Times New Roman"/>
          <w:b/>
          <w:iCs/>
          <w:sz w:val="18"/>
          <w:szCs w:val="18"/>
        </w:rPr>
        <w:t xml:space="preserve">Graf </w:t>
      </w:r>
      <w:proofErr w:type="gramStart"/>
      <w:r w:rsidRPr="00142D08">
        <w:rPr>
          <w:rFonts w:eastAsia="Calibri" w:cs="Times New Roman"/>
          <w:b/>
          <w:iCs/>
          <w:sz w:val="18"/>
          <w:szCs w:val="18"/>
        </w:rPr>
        <w:t>č. 6.</w:t>
      </w:r>
      <w:r w:rsidRPr="00142D08">
        <w:rPr>
          <w:rFonts w:eastAsia="Calibri" w:cs="Times New Roman"/>
          <w:b/>
          <w:iCs/>
          <w:sz w:val="18"/>
          <w:szCs w:val="18"/>
        </w:rPr>
        <w:fldChar w:fldCharType="begin"/>
      </w:r>
      <w:r w:rsidRPr="00142D08">
        <w:rPr>
          <w:rFonts w:eastAsia="Calibri" w:cs="Times New Roman"/>
          <w:b/>
          <w:iCs/>
          <w:sz w:val="18"/>
          <w:szCs w:val="18"/>
        </w:rPr>
        <w:instrText xml:space="preserve"> SEQ Graf_č._6. \* ARABIC </w:instrText>
      </w:r>
      <w:r w:rsidRPr="00142D08">
        <w:rPr>
          <w:rFonts w:eastAsia="Calibri" w:cs="Times New Roman"/>
          <w:b/>
          <w:iCs/>
          <w:sz w:val="18"/>
          <w:szCs w:val="18"/>
        </w:rPr>
        <w:fldChar w:fldCharType="separate"/>
      </w:r>
      <w:r w:rsidRPr="00142D08">
        <w:rPr>
          <w:rFonts w:eastAsia="Calibri" w:cs="Times New Roman"/>
          <w:b/>
          <w:iCs/>
          <w:noProof/>
          <w:sz w:val="18"/>
          <w:szCs w:val="18"/>
        </w:rPr>
        <w:t>4</w:t>
      </w:r>
      <w:r w:rsidRPr="00142D08">
        <w:rPr>
          <w:rFonts w:eastAsia="Calibri" w:cs="Times New Roman"/>
          <w:b/>
          <w:iCs/>
          <w:noProof/>
          <w:sz w:val="18"/>
          <w:szCs w:val="18"/>
        </w:rPr>
        <w:fldChar w:fldCharType="end"/>
      </w:r>
      <w:r w:rsidR="0085013A">
        <w:rPr>
          <w:rFonts w:eastAsia="Calibri" w:cs="Times New Roman"/>
          <w:b/>
          <w:iCs/>
          <w:noProof/>
          <w:sz w:val="18"/>
          <w:szCs w:val="18"/>
        </w:rPr>
        <w:t>.</w:t>
      </w:r>
      <w:proofErr w:type="gramEnd"/>
      <w:r w:rsidRPr="00142D08">
        <w:rPr>
          <w:rFonts w:eastAsia="Calibri" w:cs="Times New Roman"/>
          <w:b/>
          <w:iCs/>
          <w:sz w:val="18"/>
          <w:szCs w:val="18"/>
        </w:rPr>
        <w:t xml:space="preserve"> Struktura výdajů na zdravotní péči v zemích EU podle zdroje financování v roce 2018 (v %)</w:t>
      </w:r>
    </w:p>
    <w:p w14:paraId="2B0AD86F" w14:textId="77777777" w:rsidR="00142D08" w:rsidRPr="00142D08" w:rsidRDefault="00142D08" w:rsidP="00C17915">
      <w:pPr>
        <w:spacing w:after="120"/>
        <w:rPr>
          <w:rFonts w:eastAsia="Calibri" w:cs="Times New Roman"/>
        </w:rPr>
      </w:pPr>
      <w:r w:rsidRPr="00142D08">
        <w:rPr>
          <w:rFonts w:eastAsia="Calibri" w:cs="Times New Roman"/>
          <w:noProof/>
          <w:lang w:eastAsia="cs-CZ"/>
        </w:rPr>
        <w:drawing>
          <wp:inline distT="0" distB="0" distL="0" distR="0" wp14:anchorId="6997C2FA" wp14:editId="505DDD22">
            <wp:extent cx="6074979" cy="4245610"/>
            <wp:effectExtent l="0" t="0" r="2540" b="2540"/>
            <wp:docPr id="14" name="Graf 14">
              <a:extLst xmlns:a="http://schemas.openxmlformats.org/drawingml/2006/main">
                <a:ext uri="{FF2B5EF4-FFF2-40B4-BE49-F238E27FC236}">
                  <a16:creationId xmlns:a16="http://schemas.microsoft.com/office/drawing/2014/main" id="{00000000-0008-0000-05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57657F23" w14:textId="0DC9D160" w:rsidR="00DF5092" w:rsidRDefault="00DF5092" w:rsidP="00DF5092">
      <w:pPr>
        <w:spacing w:after="60"/>
        <w:rPr>
          <w:rFonts w:eastAsia="Calibri" w:cs="Times New Roman"/>
          <w:i/>
          <w:iCs/>
          <w:sz w:val="16"/>
          <w:szCs w:val="16"/>
        </w:rPr>
      </w:pPr>
      <w:r w:rsidRPr="00D62F16">
        <w:rPr>
          <w:rFonts w:eastAsia="Calibri" w:cs="Times New Roman"/>
          <w:i/>
          <w:iCs/>
          <w:sz w:val="16"/>
          <w:szCs w:val="16"/>
        </w:rPr>
        <w:t>Pozn. Velká Británie je brána jako člen EU, neboť k odchodu z EU došlo až v roce 2020.</w:t>
      </w:r>
    </w:p>
    <w:p w14:paraId="5A1DE554" w14:textId="0CE8BB48" w:rsidR="00142D08" w:rsidRPr="00142D08" w:rsidRDefault="00142D08" w:rsidP="00F71C3C">
      <w:pPr>
        <w:spacing w:before="0" w:after="60"/>
        <w:rPr>
          <w:rFonts w:eastAsia="Calibri" w:cs="Times New Roman"/>
          <w:i/>
          <w:iCs/>
          <w:sz w:val="16"/>
          <w:szCs w:val="16"/>
        </w:rPr>
      </w:pPr>
      <w:r w:rsidRPr="00142D08">
        <w:rPr>
          <w:rFonts w:eastAsia="Calibri" w:cs="Times New Roman"/>
          <w:i/>
          <w:iCs/>
          <w:sz w:val="16"/>
          <w:szCs w:val="16"/>
        </w:rPr>
        <w:t xml:space="preserve">* ostatní zdroje – neziskové instituce, závodní preventivní péče a programy financování pro nerezidenty </w:t>
      </w:r>
    </w:p>
    <w:p w14:paraId="47F39A89" w14:textId="77777777" w:rsidR="00142D08" w:rsidRPr="00F71C3C" w:rsidRDefault="00142D08" w:rsidP="00142D08">
      <w:pPr>
        <w:spacing w:before="0" w:after="240"/>
        <w:jc w:val="right"/>
        <w:rPr>
          <w:rFonts w:eastAsia="Calibri" w:cs="Times New Roman"/>
          <w:b/>
          <w:i/>
          <w:iCs/>
          <w:sz w:val="16"/>
          <w:szCs w:val="16"/>
        </w:rPr>
      </w:pPr>
      <w:r w:rsidRPr="00F71C3C">
        <w:rPr>
          <w:rFonts w:eastAsia="Calibri" w:cs="Times New Roman"/>
          <w:b/>
          <w:i/>
          <w:iCs/>
          <w:sz w:val="16"/>
          <w:szCs w:val="16"/>
        </w:rPr>
        <w:t xml:space="preserve">Zdroj: Databáze </w:t>
      </w:r>
      <w:proofErr w:type="spellStart"/>
      <w:r w:rsidRPr="00F71C3C">
        <w:rPr>
          <w:rFonts w:eastAsia="Calibri" w:cs="Times New Roman"/>
          <w:b/>
          <w:i/>
          <w:iCs/>
          <w:sz w:val="16"/>
          <w:szCs w:val="16"/>
        </w:rPr>
        <w:t>Eurostatu</w:t>
      </w:r>
      <w:proofErr w:type="spellEnd"/>
      <w:r w:rsidRPr="00F71C3C">
        <w:rPr>
          <w:rFonts w:eastAsia="Calibri" w:cs="Times New Roman"/>
          <w:b/>
          <w:i/>
          <w:iCs/>
          <w:sz w:val="16"/>
          <w:szCs w:val="16"/>
        </w:rPr>
        <w:t xml:space="preserve"> (2020) a vlastní dopočty ČSÚ</w:t>
      </w:r>
    </w:p>
    <w:p w14:paraId="677C5D7F" w14:textId="77777777" w:rsidR="00142D08" w:rsidRPr="00142D08" w:rsidRDefault="00142D08" w:rsidP="00142D08">
      <w:pPr>
        <w:spacing w:before="0" w:after="240"/>
        <w:rPr>
          <w:b/>
          <w:i/>
        </w:rPr>
      </w:pPr>
      <w:r w:rsidRPr="00142D08">
        <w:rPr>
          <w:b/>
          <w:i/>
        </w:rPr>
        <w:t>Hlavním zdrojem financování zdravotní péče v EU (resp. evropském průměru) je povinné pojištění – 55 %, z veřejných rozpočtů je hrazeno 45 % výdajů</w:t>
      </w:r>
    </w:p>
    <w:p w14:paraId="291BC846" w14:textId="77777777" w:rsidR="00142D08" w:rsidRDefault="00142D08" w:rsidP="00142D08">
      <w:pPr>
        <w:spacing w:before="0" w:after="240"/>
      </w:pPr>
      <w:r>
        <w:t xml:space="preserve">Podrobné rozdělení výdajů na zdravotní péči z veřejných zdrojů v EU je uvedeno v grafu č. 6.5. </w:t>
      </w:r>
    </w:p>
    <w:p w14:paraId="29DEF7ED" w14:textId="77777777" w:rsidR="00142D08" w:rsidRDefault="00142D08" w:rsidP="00142D08">
      <w:pPr>
        <w:spacing w:before="0" w:after="240"/>
      </w:pPr>
      <w:r w:rsidRPr="00CB5E02">
        <w:rPr>
          <w:b/>
        </w:rPr>
        <w:t>Výdaji z veřejných zdrojů</w:t>
      </w:r>
      <w:r>
        <w:t xml:space="preserve"> se rozumí financování z povinného veřejného zdravotního pojištění nebo z veřejných rozpočtů, tedy ze státních (např. ve Velké Británii) nebo místních rozpočtů (např. ve Skandinávských zemích), jehož charakteristiku stanovuje zákon nebo vláda. V šesti zemích EU je zdravotní péče financována jen </w:t>
      </w:r>
      <w:r w:rsidRPr="00CB5E02">
        <w:rPr>
          <w:b/>
        </w:rPr>
        <w:t>z veřejných rozpočtů</w:t>
      </w:r>
      <w:r>
        <w:t>, konkrétně v Dánsku, Lotyšsku, Švédsku, Velké Británii, Itálii nebo na Maltě. Více než 80 % z veřejných výdajů na zdravotní péči je financováno z veřejných rozpočtů v Itálii, na Kypru, v Irsku, Portugalsku, Španělsku nebo Finsku.</w:t>
      </w:r>
    </w:p>
    <w:p w14:paraId="69DA1869" w14:textId="270DDF57" w:rsidR="00142D08" w:rsidRDefault="00142D08" w:rsidP="00142D08">
      <w:pPr>
        <w:spacing w:before="0" w:after="240"/>
      </w:pPr>
      <w:r>
        <w:t xml:space="preserve">Druhý způsob financování představuje </w:t>
      </w:r>
      <w:r w:rsidRPr="00CB5E02">
        <w:rPr>
          <w:b/>
        </w:rPr>
        <w:t>p</w:t>
      </w:r>
      <w:r w:rsidR="00DF5092">
        <w:rPr>
          <w:b/>
        </w:rPr>
        <w:t>ovinné</w:t>
      </w:r>
      <w:r w:rsidRPr="00CB5E02">
        <w:rPr>
          <w:b/>
        </w:rPr>
        <w:t xml:space="preserve"> zdravotní pojištění</w:t>
      </w:r>
      <w:r>
        <w:t>. Tento systém zajišťuje přístup ke zdravotní péči na základě plateb provedených pojištěnou osobou nebo jejím jménem. Tento zdroj převládá nejvíce na Slovensku (97 % veřejných výdajů na zdravotní péči), dále ve Slovinsku, Chorvatsku nebo Lucembursku (všude 95 % veřejných výdajů na zdravotní péči).</w:t>
      </w:r>
    </w:p>
    <w:p w14:paraId="6EE761C3" w14:textId="77777777" w:rsidR="00142D08" w:rsidRDefault="00142D08" w:rsidP="00142D08">
      <w:pPr>
        <w:spacing w:before="0" w:after="240"/>
      </w:pPr>
      <w:r>
        <w:lastRenderedPageBreak/>
        <w:t>V </w:t>
      </w:r>
      <w:r w:rsidRPr="00CB5E02">
        <w:rPr>
          <w:b/>
        </w:rPr>
        <w:t>Česku</w:t>
      </w:r>
      <w:r>
        <w:t xml:space="preserve"> jsou na financování zdravotní péče z veřejných zdrojů využity oba výše zmíněné zdroje. Nicméně z 84 % převažuje financování pomocí systému povinného zdravotního pojištění. Z veřejných rozpočtů je financováno jen 16 % výdajů. </w:t>
      </w:r>
    </w:p>
    <w:p w14:paraId="3D9E6C14" w14:textId="2DE95D84" w:rsidR="00142D08" w:rsidRDefault="00142D08" w:rsidP="00142D08">
      <w:pPr>
        <w:spacing w:before="0" w:after="240"/>
      </w:pPr>
      <w:r>
        <w:t xml:space="preserve">Posledním veřejným zdrojem financování zdravotní péče je v několika zemích </w:t>
      </w:r>
      <w:r w:rsidRPr="00CB5E02">
        <w:rPr>
          <w:b/>
        </w:rPr>
        <w:t>systém povinného soukromého pojištění</w:t>
      </w:r>
      <w:r>
        <w:t xml:space="preserve">. Obyvatelé těchto zemí nebo velká </w:t>
      </w:r>
      <w:r w:rsidR="00DF5092">
        <w:t>část</w:t>
      </w:r>
      <w:r>
        <w:t xml:space="preserve"> </w:t>
      </w:r>
      <w:r w:rsidR="00DF5092">
        <w:t>populace je povinna</w:t>
      </w:r>
      <w:r>
        <w:t xml:space="preserve"> si zakoupit soukromé pojistné krytí. Tento systém financování zdravotní péče je používán především v Nizozemsku (na financování zdravotní péče z veřejných zdrojů se podílí z 68 %) a spíše doplňkově v Německu (9 %) a Francii (8 %).</w:t>
      </w:r>
    </w:p>
    <w:p w14:paraId="01A50706" w14:textId="77777777" w:rsidR="00142D08" w:rsidRPr="00821DA1" w:rsidRDefault="00142D08" w:rsidP="00F71C3C">
      <w:pPr>
        <w:pStyle w:val="Titulek"/>
        <w:keepNext/>
        <w:spacing w:after="120"/>
        <w:rPr>
          <w:b/>
          <w:i w:val="0"/>
          <w:color w:val="auto"/>
        </w:rPr>
      </w:pPr>
      <w:r w:rsidRPr="00821DA1">
        <w:rPr>
          <w:b/>
          <w:i w:val="0"/>
          <w:color w:val="auto"/>
        </w:rPr>
        <w:t xml:space="preserve">Graf </w:t>
      </w:r>
      <w:proofErr w:type="gramStart"/>
      <w:r w:rsidRPr="00821DA1">
        <w:rPr>
          <w:b/>
          <w:i w:val="0"/>
          <w:color w:val="auto"/>
        </w:rPr>
        <w:t>č. 6.</w:t>
      </w:r>
      <w:r w:rsidRPr="00821DA1">
        <w:rPr>
          <w:b/>
          <w:i w:val="0"/>
          <w:color w:val="auto"/>
        </w:rPr>
        <w:fldChar w:fldCharType="begin"/>
      </w:r>
      <w:r w:rsidRPr="00821DA1">
        <w:rPr>
          <w:b/>
          <w:i w:val="0"/>
          <w:color w:val="auto"/>
        </w:rPr>
        <w:instrText xml:space="preserve"> SEQ Graf_č._6. \* ARABIC </w:instrText>
      </w:r>
      <w:r w:rsidRPr="00821DA1">
        <w:rPr>
          <w:b/>
          <w:i w:val="0"/>
          <w:color w:val="auto"/>
        </w:rPr>
        <w:fldChar w:fldCharType="separate"/>
      </w:r>
      <w:r w:rsidRPr="00821DA1">
        <w:rPr>
          <w:b/>
          <w:i w:val="0"/>
          <w:noProof/>
          <w:color w:val="auto"/>
        </w:rPr>
        <w:t>5</w:t>
      </w:r>
      <w:r w:rsidRPr="00821DA1">
        <w:rPr>
          <w:b/>
          <w:i w:val="0"/>
          <w:noProof/>
          <w:color w:val="auto"/>
        </w:rPr>
        <w:fldChar w:fldCharType="end"/>
      </w:r>
      <w:r w:rsidR="0085013A">
        <w:rPr>
          <w:b/>
          <w:i w:val="0"/>
          <w:noProof/>
          <w:color w:val="auto"/>
        </w:rPr>
        <w:t>.</w:t>
      </w:r>
      <w:proofErr w:type="gramEnd"/>
      <w:r w:rsidRPr="00821DA1">
        <w:rPr>
          <w:b/>
          <w:i w:val="0"/>
          <w:color w:val="auto"/>
        </w:rPr>
        <w:t xml:space="preserve"> Struktura financování zdravotní péče z veřejných zdrojů v zemích EU v roce 2018 (v %)</w:t>
      </w:r>
    </w:p>
    <w:p w14:paraId="330B16CB" w14:textId="71B244BC" w:rsidR="00142D08" w:rsidRDefault="00142D08" w:rsidP="00C17915">
      <w:pPr>
        <w:spacing w:after="120"/>
      </w:pPr>
      <w:r>
        <w:rPr>
          <w:noProof/>
          <w:lang w:eastAsia="cs-CZ"/>
        </w:rPr>
        <w:drawing>
          <wp:inline distT="0" distB="0" distL="0" distR="0" wp14:anchorId="27606808" wp14:editId="248D56B4">
            <wp:extent cx="6085489" cy="4183117"/>
            <wp:effectExtent l="0" t="0" r="10795" b="8255"/>
            <wp:docPr id="16" name="Graf 16">
              <a:extLst xmlns:a="http://schemas.openxmlformats.org/drawingml/2006/main">
                <a:ext uri="{FF2B5EF4-FFF2-40B4-BE49-F238E27FC236}">
                  <a16:creationId xmlns:a16="http://schemas.microsoft.com/office/drawing/2014/main" id="{00000000-0008-0000-05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5F03DE1A" w14:textId="75094928" w:rsidR="00DF5092" w:rsidRPr="00DF5092" w:rsidRDefault="00DF5092" w:rsidP="00DF5092">
      <w:pPr>
        <w:spacing w:after="60"/>
        <w:rPr>
          <w:rFonts w:eastAsia="Calibri" w:cs="Times New Roman"/>
          <w:i/>
          <w:iCs/>
          <w:sz w:val="16"/>
          <w:szCs w:val="16"/>
        </w:rPr>
      </w:pPr>
      <w:r w:rsidRPr="00D62F16">
        <w:rPr>
          <w:rFonts w:eastAsia="Calibri" w:cs="Times New Roman"/>
          <w:i/>
          <w:iCs/>
          <w:sz w:val="16"/>
          <w:szCs w:val="16"/>
        </w:rPr>
        <w:t>Pozn. Velká Británie je brána jako člen EU, neboť k odchodu z EU došlo až v roce 2020.</w:t>
      </w:r>
    </w:p>
    <w:p w14:paraId="4B764AA1" w14:textId="77777777" w:rsidR="00142D08" w:rsidRPr="00F71C3C" w:rsidRDefault="00142D08" w:rsidP="00142D08">
      <w:pPr>
        <w:spacing w:before="0" w:after="240"/>
        <w:jc w:val="right"/>
        <w:rPr>
          <w:b/>
          <w:i/>
          <w:iCs/>
          <w:sz w:val="16"/>
          <w:szCs w:val="16"/>
        </w:rPr>
      </w:pPr>
      <w:r w:rsidRPr="00F71C3C">
        <w:rPr>
          <w:b/>
          <w:i/>
          <w:iCs/>
          <w:sz w:val="16"/>
          <w:szCs w:val="16"/>
        </w:rPr>
        <w:t xml:space="preserve">Zdroj: Databáze </w:t>
      </w:r>
      <w:proofErr w:type="spellStart"/>
      <w:r w:rsidRPr="00F71C3C">
        <w:rPr>
          <w:b/>
          <w:i/>
          <w:iCs/>
          <w:sz w:val="16"/>
          <w:szCs w:val="16"/>
        </w:rPr>
        <w:t>Eurostatu</w:t>
      </w:r>
      <w:proofErr w:type="spellEnd"/>
      <w:r w:rsidRPr="00F71C3C">
        <w:rPr>
          <w:b/>
          <w:i/>
          <w:iCs/>
          <w:sz w:val="16"/>
          <w:szCs w:val="16"/>
        </w:rPr>
        <w:t xml:space="preserve"> (2020) a vlastní dopočty ČSÚ</w:t>
      </w:r>
    </w:p>
    <w:p w14:paraId="1419E283" w14:textId="77777777" w:rsidR="00142D08" w:rsidRPr="00142D08" w:rsidRDefault="00142D08" w:rsidP="00142D08">
      <w:pPr>
        <w:spacing w:before="0" w:after="240"/>
        <w:rPr>
          <w:b/>
          <w:i/>
        </w:rPr>
      </w:pPr>
      <w:r w:rsidRPr="00142D08">
        <w:rPr>
          <w:b/>
          <w:i/>
        </w:rPr>
        <w:t>Z přímých plateb domácností je v EU v průměru financováno 16 % z celkových výdajů na zdravotní péči</w:t>
      </w:r>
    </w:p>
    <w:p w14:paraId="4013797B" w14:textId="77777777" w:rsidR="00142D08" w:rsidRPr="008F6F96" w:rsidRDefault="00142D08" w:rsidP="00142D08">
      <w:pPr>
        <w:spacing w:before="0" w:after="240"/>
        <w:rPr>
          <w:b/>
        </w:rPr>
      </w:pPr>
      <w:r>
        <w:t xml:space="preserve">Kypr je jediná země EU, kde nad veřejnými zdroji financování zdravotní péče (43 %) převažují </w:t>
      </w:r>
      <w:r w:rsidRPr="00C97157">
        <w:rPr>
          <w:b/>
        </w:rPr>
        <w:t>přímé platby domácnost</w:t>
      </w:r>
      <w:r>
        <w:rPr>
          <w:b/>
        </w:rPr>
        <w:t>í</w:t>
      </w:r>
      <w:r>
        <w:t xml:space="preserve"> (45 %), tedy platby z primárních příjmů nebo úspor domácností. Další země, kde se na financování zdravotní péče podílí z větší části domácnosti, jsou Lotyšsko a Bulharsko s 39 % nebo Řecko s 36 %. Jak už bylo výše zmíněno, průměrný podíl plateb z kapes domácností na celkových výdajích na zdravotní péči v Evropské unii je 16 %. Co se týče Česka, je tento podíl menší, konkrétně 14 %. Nejnižší podíl výdajů domácností na celkovém financování zdravotní péče je ve Francii (9 %).</w:t>
      </w:r>
    </w:p>
    <w:p w14:paraId="46283EDF" w14:textId="77777777" w:rsidR="00142D08" w:rsidRPr="0085013A" w:rsidRDefault="00142D08" w:rsidP="0085013A">
      <w:pPr>
        <w:spacing w:before="0" w:after="240"/>
      </w:pPr>
      <w:r>
        <w:t xml:space="preserve">V grafu č. 6.6 jsou uvedeny </w:t>
      </w:r>
      <w:r w:rsidRPr="00EF1D98">
        <w:rPr>
          <w:b/>
        </w:rPr>
        <w:t>výdaje na zdravotní péči z přímých plateb domácností na jednoho obyvatele</w:t>
      </w:r>
      <w:r>
        <w:t xml:space="preserve">. </w:t>
      </w:r>
      <w:r w:rsidRPr="002577B5">
        <w:t>Více než polovina zemí EU je nad průměrem</w:t>
      </w:r>
      <w:r w:rsidRPr="00EF1D98">
        <w:rPr>
          <w:b/>
        </w:rPr>
        <w:t xml:space="preserve"> EU, </w:t>
      </w:r>
      <w:r w:rsidRPr="002577B5">
        <w:t>který je</w:t>
      </w:r>
      <w:r w:rsidRPr="00EF1D98">
        <w:rPr>
          <w:b/>
        </w:rPr>
        <w:t xml:space="preserve"> 481 EUR.</w:t>
      </w:r>
      <w:r>
        <w:t xml:space="preserve"> Nejvyšší výdaje na zdraví na jednoho obyvatele hrazené domácnostmi byly evidovány v Rakousku (827 EUR). Na Kypru, kde tento typ financování zdravotní péče převažuje, vychází výdaje domácností na zdraví na jednoho obyvatele 734 EUR, což zemi řadí na 4. místo. </w:t>
      </w:r>
      <w:r w:rsidRPr="00EF1D98">
        <w:rPr>
          <w:b/>
        </w:rPr>
        <w:t>Česká republika</w:t>
      </w:r>
      <w:r>
        <w:t xml:space="preserve"> je s částkou </w:t>
      </w:r>
      <w:r w:rsidRPr="00EF1D98">
        <w:rPr>
          <w:b/>
        </w:rPr>
        <w:t>212 EUR na jednoho obyvatele</w:t>
      </w:r>
      <w:r>
        <w:t xml:space="preserve"> zemí s 5. nejnižšími výdaji </w:t>
      </w:r>
      <w:r>
        <w:lastRenderedPageBreak/>
        <w:t xml:space="preserve">domácností na zdravotní péči., Nachází se před dvěma sousedními státy (Slovensko - 208 EUR a Polsko - 169 EUR). Absolutně nejnižší výdaje domácností na zdravotní péči na jednoho obyvatele byly v Rumunsku (114 EUR) a Chorvatsku, (90 EUR). </w:t>
      </w:r>
    </w:p>
    <w:p w14:paraId="1100CD07" w14:textId="77777777" w:rsidR="00142D08" w:rsidRPr="00142D08" w:rsidRDefault="00142D08" w:rsidP="00F71C3C">
      <w:pPr>
        <w:keepNext/>
        <w:spacing w:after="120" w:line="240" w:lineRule="auto"/>
        <w:rPr>
          <w:rFonts w:eastAsia="Calibri" w:cs="Times New Roman"/>
          <w:b/>
          <w:iCs/>
          <w:sz w:val="18"/>
          <w:szCs w:val="18"/>
        </w:rPr>
      </w:pPr>
      <w:r w:rsidRPr="00142D08">
        <w:rPr>
          <w:rFonts w:eastAsia="Calibri" w:cs="Times New Roman"/>
          <w:b/>
          <w:iCs/>
          <w:sz w:val="18"/>
          <w:szCs w:val="18"/>
        </w:rPr>
        <w:t xml:space="preserve">Graf </w:t>
      </w:r>
      <w:proofErr w:type="gramStart"/>
      <w:r w:rsidRPr="00142D08">
        <w:rPr>
          <w:rFonts w:eastAsia="Calibri" w:cs="Times New Roman"/>
          <w:b/>
          <w:iCs/>
          <w:sz w:val="18"/>
          <w:szCs w:val="18"/>
        </w:rPr>
        <w:t>č. 6.</w:t>
      </w:r>
      <w:r w:rsidRPr="00142D08">
        <w:rPr>
          <w:rFonts w:eastAsia="Calibri" w:cs="Times New Roman"/>
          <w:b/>
          <w:iCs/>
          <w:sz w:val="18"/>
          <w:szCs w:val="18"/>
        </w:rPr>
        <w:fldChar w:fldCharType="begin"/>
      </w:r>
      <w:r w:rsidRPr="00142D08">
        <w:rPr>
          <w:rFonts w:eastAsia="Calibri" w:cs="Times New Roman"/>
          <w:b/>
          <w:iCs/>
          <w:sz w:val="18"/>
          <w:szCs w:val="18"/>
        </w:rPr>
        <w:instrText xml:space="preserve"> SEQ Graf_č._6. \* ARABIC </w:instrText>
      </w:r>
      <w:r w:rsidRPr="00142D08">
        <w:rPr>
          <w:rFonts w:eastAsia="Calibri" w:cs="Times New Roman"/>
          <w:b/>
          <w:iCs/>
          <w:sz w:val="18"/>
          <w:szCs w:val="18"/>
        </w:rPr>
        <w:fldChar w:fldCharType="separate"/>
      </w:r>
      <w:r w:rsidRPr="00142D08">
        <w:rPr>
          <w:rFonts w:eastAsia="Calibri" w:cs="Times New Roman"/>
          <w:b/>
          <w:iCs/>
          <w:noProof/>
          <w:sz w:val="18"/>
          <w:szCs w:val="18"/>
        </w:rPr>
        <w:t>6</w:t>
      </w:r>
      <w:r w:rsidRPr="00142D08">
        <w:rPr>
          <w:rFonts w:eastAsia="Calibri" w:cs="Times New Roman"/>
          <w:b/>
          <w:iCs/>
          <w:noProof/>
          <w:sz w:val="18"/>
          <w:szCs w:val="18"/>
        </w:rPr>
        <w:fldChar w:fldCharType="end"/>
      </w:r>
      <w:r w:rsidR="0085013A">
        <w:rPr>
          <w:rFonts w:eastAsia="Calibri" w:cs="Times New Roman"/>
          <w:b/>
          <w:iCs/>
          <w:noProof/>
          <w:sz w:val="18"/>
          <w:szCs w:val="18"/>
        </w:rPr>
        <w:t>.</w:t>
      </w:r>
      <w:proofErr w:type="gramEnd"/>
      <w:r w:rsidRPr="00142D08">
        <w:rPr>
          <w:rFonts w:eastAsia="Calibri" w:cs="Times New Roman"/>
          <w:b/>
          <w:iCs/>
          <w:sz w:val="18"/>
          <w:szCs w:val="18"/>
        </w:rPr>
        <w:t xml:space="preserve"> Výdaje na zdravotní péči v zemích EU financované z </w:t>
      </w:r>
      <w:r>
        <w:rPr>
          <w:rFonts w:eastAsia="Calibri" w:cs="Times New Roman"/>
          <w:b/>
          <w:iCs/>
          <w:sz w:val="18"/>
          <w:szCs w:val="18"/>
        </w:rPr>
        <w:t xml:space="preserve">přímých plateb domácností </w:t>
      </w:r>
      <w:r w:rsidRPr="00142D08">
        <w:rPr>
          <w:rFonts w:eastAsia="Calibri" w:cs="Times New Roman"/>
          <w:b/>
          <w:iCs/>
          <w:sz w:val="18"/>
          <w:szCs w:val="18"/>
        </w:rPr>
        <w:t>na jednoho obyvatele v roce 2018</w:t>
      </w:r>
      <w:r>
        <w:rPr>
          <w:rFonts w:eastAsia="Calibri" w:cs="Times New Roman"/>
          <w:b/>
          <w:iCs/>
          <w:sz w:val="18"/>
          <w:szCs w:val="18"/>
        </w:rPr>
        <w:t xml:space="preserve"> (EUR)</w:t>
      </w:r>
    </w:p>
    <w:p w14:paraId="66C63B1D" w14:textId="72FA4307" w:rsidR="00142D08" w:rsidRDefault="00142D08" w:rsidP="00C17915">
      <w:pPr>
        <w:spacing w:after="120"/>
        <w:rPr>
          <w:rFonts w:eastAsia="Calibri" w:cs="Times New Roman"/>
        </w:rPr>
      </w:pPr>
      <w:r w:rsidRPr="00142D08">
        <w:rPr>
          <w:rFonts w:eastAsia="Calibri" w:cs="Times New Roman"/>
          <w:noProof/>
          <w:lang w:eastAsia="cs-CZ"/>
        </w:rPr>
        <w:drawing>
          <wp:inline distT="0" distB="0" distL="0" distR="0" wp14:anchorId="0E32D64B" wp14:editId="453DFAF8">
            <wp:extent cx="6106160" cy="4403834"/>
            <wp:effectExtent l="0" t="0" r="8890" b="15875"/>
            <wp:docPr id="18" name="Graf 18">
              <a:extLst xmlns:a="http://schemas.openxmlformats.org/drawingml/2006/main">
                <a:ext uri="{FF2B5EF4-FFF2-40B4-BE49-F238E27FC236}">
                  <a16:creationId xmlns:a16="http://schemas.microsoft.com/office/drawing/2014/main" id="{00000000-0008-0000-07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05EA6B2B" w14:textId="6A6BA7E7" w:rsidR="00DF5092" w:rsidRPr="00DF5092" w:rsidRDefault="00DF5092" w:rsidP="00DF5092">
      <w:pPr>
        <w:spacing w:after="60"/>
        <w:rPr>
          <w:rFonts w:eastAsia="Calibri" w:cs="Times New Roman"/>
          <w:i/>
          <w:iCs/>
          <w:sz w:val="16"/>
          <w:szCs w:val="16"/>
        </w:rPr>
      </w:pPr>
      <w:r w:rsidRPr="00D62F16">
        <w:rPr>
          <w:rFonts w:eastAsia="Calibri" w:cs="Times New Roman"/>
          <w:i/>
          <w:iCs/>
          <w:sz w:val="16"/>
          <w:szCs w:val="16"/>
        </w:rPr>
        <w:t>Pozn. Velká Británie je brána jako člen EU, neboť k odchodu z EU došlo až v roce 2020.</w:t>
      </w:r>
    </w:p>
    <w:p w14:paraId="5DD6C2DE" w14:textId="77777777" w:rsidR="00142D08" w:rsidRPr="00F71C3C" w:rsidRDefault="00142D08" w:rsidP="00142D08">
      <w:pPr>
        <w:spacing w:before="0" w:after="240"/>
        <w:jc w:val="right"/>
        <w:rPr>
          <w:rFonts w:eastAsia="Calibri" w:cs="Times New Roman"/>
          <w:b/>
          <w:i/>
          <w:iCs/>
          <w:sz w:val="16"/>
          <w:szCs w:val="16"/>
        </w:rPr>
      </w:pPr>
      <w:r w:rsidRPr="00F71C3C">
        <w:rPr>
          <w:rFonts w:eastAsia="Calibri" w:cs="Times New Roman"/>
          <w:b/>
          <w:i/>
          <w:iCs/>
          <w:sz w:val="16"/>
          <w:szCs w:val="16"/>
        </w:rPr>
        <w:t xml:space="preserve">Zdroj: Databáze </w:t>
      </w:r>
      <w:proofErr w:type="spellStart"/>
      <w:r w:rsidRPr="00F71C3C">
        <w:rPr>
          <w:rFonts w:eastAsia="Calibri" w:cs="Times New Roman"/>
          <w:b/>
          <w:i/>
          <w:iCs/>
          <w:sz w:val="16"/>
          <w:szCs w:val="16"/>
        </w:rPr>
        <w:t>Eurostatu</w:t>
      </w:r>
      <w:proofErr w:type="spellEnd"/>
      <w:r w:rsidRPr="00F71C3C">
        <w:rPr>
          <w:rFonts w:eastAsia="Calibri" w:cs="Times New Roman"/>
          <w:b/>
          <w:i/>
          <w:iCs/>
          <w:sz w:val="16"/>
          <w:szCs w:val="16"/>
        </w:rPr>
        <w:t xml:space="preserve"> (2020) a vlastní dopočty ČSÚ</w:t>
      </w:r>
    </w:p>
    <w:p w14:paraId="12FE97BE" w14:textId="77777777" w:rsidR="00142D08" w:rsidRDefault="00142D08" w:rsidP="00142D08">
      <w:pPr>
        <w:spacing w:before="0" w:after="240"/>
      </w:pPr>
      <w:r>
        <w:t xml:space="preserve">Poslední významnější složkou financování zdravotní péče je </w:t>
      </w:r>
      <w:r w:rsidRPr="00C97157">
        <w:rPr>
          <w:b/>
        </w:rPr>
        <w:t>dobrovolné zdravotní pojištění</w:t>
      </w:r>
      <w:r>
        <w:t xml:space="preserve">, které může být zřizováno a hrazeno na základě uvážení jednotlivců nebo firem. Většinou je nakupováno od soukromých pojišťoven. Nejvyšší zastoupení tohoto zdroje financování zdravotní péče je ve Slovinsku (14 %), což je 3,5x více než je průměr v EU (4 %).  Další země, kde je více uplatňováno dobrovolné zdravotní pojištění, jsou Irsko (12 %) nebo Kypr (11 %). V Česku je podíl výdajů na zdravotní péči z dobrovolného pojištění na celkových výdajích jen 0,14 %. </w:t>
      </w:r>
    </w:p>
    <w:p w14:paraId="4C100660" w14:textId="77777777" w:rsidR="00142D08" w:rsidRDefault="00142D08" w:rsidP="00142D08">
      <w:pPr>
        <w:pStyle w:val="Nadpis3"/>
      </w:pPr>
      <w:r>
        <w:t>6.3. Výdaje na zdravotní péči podle druhu poskytnuté péče</w:t>
      </w:r>
    </w:p>
    <w:p w14:paraId="1DD16D1D" w14:textId="77777777" w:rsidR="00142D08" w:rsidRDefault="00142D08" w:rsidP="00142D08">
      <w:pPr>
        <w:spacing w:before="0" w:after="240"/>
      </w:pPr>
      <w:r>
        <w:t xml:space="preserve">Dalším způsobem členění výdajů na zdravotní péči je jejich struktura podle </w:t>
      </w:r>
      <w:r w:rsidRPr="003507C4">
        <w:rPr>
          <w:b/>
        </w:rPr>
        <w:t>druhu poskytnuté péče</w:t>
      </w:r>
      <w:r>
        <w:t xml:space="preserve">. Zdravotní péče může zahrnovat jak </w:t>
      </w:r>
      <w:r w:rsidRPr="003507C4">
        <w:rPr>
          <w:b/>
        </w:rPr>
        <w:t>péči o jednotlivce</w:t>
      </w:r>
      <w:r>
        <w:t xml:space="preserve"> (např. ambulantní nebo lůžková péče), tak i </w:t>
      </w:r>
      <w:r w:rsidRPr="003507C4">
        <w:rPr>
          <w:b/>
        </w:rPr>
        <w:t>péči o kolektiv</w:t>
      </w:r>
      <w:r>
        <w:t>, jejímž cílem je zlepšit celkové zdravotní standardy nebo výkonnost a efektivitu zdravotního systému (např. programy týkající se preventivní péče nebo finanční správa zdravotnických programů).</w:t>
      </w:r>
    </w:p>
    <w:p w14:paraId="0653BC05" w14:textId="77777777" w:rsidR="00142D08" w:rsidRPr="00142D08" w:rsidRDefault="00142D08" w:rsidP="00142D08">
      <w:pPr>
        <w:spacing w:before="0" w:after="240"/>
        <w:rPr>
          <w:b/>
          <w:i/>
        </w:rPr>
      </w:pPr>
      <w:r w:rsidRPr="00142D08">
        <w:rPr>
          <w:b/>
          <w:i/>
        </w:rPr>
        <w:t>V Evropské unii jsou nejvyšší výdaje za léčebnou a rehabilitační péči</w:t>
      </w:r>
    </w:p>
    <w:p w14:paraId="5560AE0F" w14:textId="77777777" w:rsidR="00142D08" w:rsidRDefault="00142D08" w:rsidP="00142D08">
      <w:pPr>
        <w:spacing w:before="0" w:after="240"/>
      </w:pPr>
      <w:r>
        <w:t xml:space="preserve">V grafu č. 6.7 lze vidět </w:t>
      </w:r>
      <w:r w:rsidRPr="00EF1D98">
        <w:rPr>
          <w:b/>
        </w:rPr>
        <w:t xml:space="preserve">podíly jednotlivých druhů zdravotní péče a služeb poskytnutých </w:t>
      </w:r>
      <w:r w:rsidRPr="002577B5">
        <w:t>v roce 2018</w:t>
      </w:r>
      <w:r>
        <w:t xml:space="preserve">. </w:t>
      </w:r>
      <w:r w:rsidRPr="002577B5">
        <w:t xml:space="preserve">Ve všech zemích EU převažují </w:t>
      </w:r>
      <w:r w:rsidRPr="002577B5">
        <w:rPr>
          <w:b/>
        </w:rPr>
        <w:t>výdaje za léčebnou a rehabilitační péči</w:t>
      </w:r>
      <w:r w:rsidRPr="002577B5">
        <w:t xml:space="preserve"> minimálně z poloviny (jen u Ně</w:t>
      </w:r>
      <w:r>
        <w:t xml:space="preserve">mecka </w:t>
      </w:r>
      <w:r>
        <w:lastRenderedPageBreak/>
        <w:t>je to 49 %). U několika zemí je na tyto druhy péče vydáno přes 60 % z celkových výdajů, například v Portugalsku je to 65 %. Česko je ve výdajích za léčebnou a rehabilitační péči o 1 % nad průměrem EU, který je 54</w:t>
      </w:r>
      <w:r>
        <w:rPr>
          <w:b/>
        </w:rPr>
        <w:t> </w:t>
      </w:r>
      <w:r>
        <w:t xml:space="preserve">%. </w:t>
      </w:r>
    </w:p>
    <w:p w14:paraId="79024FA9" w14:textId="77777777" w:rsidR="00142D08" w:rsidRPr="00821DA1" w:rsidRDefault="00142D08" w:rsidP="00F71C3C">
      <w:pPr>
        <w:pStyle w:val="Titulek"/>
        <w:keepNext/>
        <w:spacing w:after="120"/>
        <w:rPr>
          <w:b/>
          <w:i w:val="0"/>
          <w:color w:val="auto"/>
        </w:rPr>
      </w:pPr>
      <w:r w:rsidRPr="00821DA1">
        <w:rPr>
          <w:b/>
          <w:i w:val="0"/>
          <w:color w:val="auto"/>
        </w:rPr>
        <w:t xml:space="preserve">Graf </w:t>
      </w:r>
      <w:proofErr w:type="gramStart"/>
      <w:r w:rsidRPr="00821DA1">
        <w:rPr>
          <w:b/>
          <w:i w:val="0"/>
          <w:color w:val="auto"/>
        </w:rPr>
        <w:t>č. 6.</w:t>
      </w:r>
      <w:r w:rsidRPr="00821DA1">
        <w:rPr>
          <w:b/>
          <w:i w:val="0"/>
          <w:color w:val="auto"/>
        </w:rPr>
        <w:fldChar w:fldCharType="begin"/>
      </w:r>
      <w:r w:rsidRPr="00821DA1">
        <w:rPr>
          <w:b/>
          <w:i w:val="0"/>
          <w:color w:val="auto"/>
        </w:rPr>
        <w:instrText xml:space="preserve"> SEQ Graf_č._6. \* ARABIC </w:instrText>
      </w:r>
      <w:r w:rsidRPr="00821DA1">
        <w:rPr>
          <w:b/>
          <w:i w:val="0"/>
          <w:color w:val="auto"/>
        </w:rPr>
        <w:fldChar w:fldCharType="separate"/>
      </w:r>
      <w:r w:rsidRPr="00821DA1">
        <w:rPr>
          <w:b/>
          <w:i w:val="0"/>
          <w:noProof/>
          <w:color w:val="auto"/>
        </w:rPr>
        <w:t>7</w:t>
      </w:r>
      <w:r w:rsidRPr="00821DA1">
        <w:rPr>
          <w:b/>
          <w:i w:val="0"/>
          <w:noProof/>
          <w:color w:val="auto"/>
        </w:rPr>
        <w:fldChar w:fldCharType="end"/>
      </w:r>
      <w:r w:rsidR="0085013A">
        <w:rPr>
          <w:b/>
          <w:i w:val="0"/>
          <w:noProof/>
          <w:color w:val="auto"/>
        </w:rPr>
        <w:t>.</w:t>
      </w:r>
      <w:proofErr w:type="gramEnd"/>
      <w:r w:rsidRPr="00821DA1">
        <w:rPr>
          <w:b/>
          <w:i w:val="0"/>
          <w:color w:val="auto"/>
        </w:rPr>
        <w:t xml:space="preserve"> Struktura výdajů na zdravotní péči podle druhu poskytnuté péče nebo služby v zemích EU v roce 2018 (v %)</w:t>
      </w:r>
    </w:p>
    <w:p w14:paraId="68B6FAE8" w14:textId="20C8ACD1" w:rsidR="00142D08" w:rsidRDefault="00142D08" w:rsidP="00C17915">
      <w:pPr>
        <w:spacing w:after="120"/>
      </w:pPr>
      <w:r>
        <w:rPr>
          <w:noProof/>
          <w:lang w:eastAsia="cs-CZ"/>
        </w:rPr>
        <w:drawing>
          <wp:inline distT="0" distB="0" distL="0" distR="0" wp14:anchorId="07F4096B" wp14:editId="7C6947FB">
            <wp:extent cx="6074979" cy="4761186"/>
            <wp:effectExtent l="0" t="0" r="2540" b="1905"/>
            <wp:docPr id="20" name="Graf 20">
              <a:extLst xmlns:a="http://schemas.openxmlformats.org/drawingml/2006/main">
                <a:ext uri="{FF2B5EF4-FFF2-40B4-BE49-F238E27FC236}">
                  <a16:creationId xmlns:a16="http://schemas.microsoft.com/office/drawing/2014/main" id="{00000000-0008-0000-0900-000005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4D9A83CC" w14:textId="37B7C22E" w:rsidR="00DF5092" w:rsidRPr="00DF5092" w:rsidRDefault="00DF5092" w:rsidP="00DF5092">
      <w:pPr>
        <w:spacing w:after="60"/>
        <w:rPr>
          <w:rFonts w:eastAsia="Calibri" w:cs="Times New Roman"/>
          <w:i/>
          <w:iCs/>
          <w:sz w:val="16"/>
          <w:szCs w:val="16"/>
        </w:rPr>
      </w:pPr>
      <w:r w:rsidRPr="00D62F16">
        <w:rPr>
          <w:rFonts w:eastAsia="Calibri" w:cs="Times New Roman"/>
          <w:i/>
          <w:iCs/>
          <w:sz w:val="16"/>
          <w:szCs w:val="16"/>
        </w:rPr>
        <w:t>Pozn. Velká Británie je brána jako člen EU, neboť k odchodu z EU došlo až v roce 2020.</w:t>
      </w:r>
    </w:p>
    <w:p w14:paraId="4EC48181" w14:textId="77777777" w:rsidR="00142D08" w:rsidRPr="00F71C3C" w:rsidRDefault="00142D08" w:rsidP="00553C81">
      <w:pPr>
        <w:spacing w:before="0" w:after="240"/>
        <w:jc w:val="right"/>
        <w:rPr>
          <w:b/>
          <w:i/>
          <w:iCs/>
          <w:sz w:val="16"/>
          <w:szCs w:val="16"/>
        </w:rPr>
      </w:pPr>
      <w:r w:rsidRPr="00F71C3C">
        <w:rPr>
          <w:b/>
          <w:i/>
          <w:iCs/>
          <w:sz w:val="16"/>
          <w:szCs w:val="16"/>
        </w:rPr>
        <w:t xml:space="preserve">Zdroj: Databáze </w:t>
      </w:r>
      <w:proofErr w:type="spellStart"/>
      <w:r w:rsidRPr="00F71C3C">
        <w:rPr>
          <w:b/>
          <w:i/>
          <w:iCs/>
          <w:sz w:val="16"/>
          <w:szCs w:val="16"/>
        </w:rPr>
        <w:t>Eurostatu</w:t>
      </w:r>
      <w:proofErr w:type="spellEnd"/>
      <w:r w:rsidRPr="00F71C3C">
        <w:rPr>
          <w:b/>
          <w:i/>
          <w:iCs/>
          <w:sz w:val="16"/>
          <w:szCs w:val="16"/>
        </w:rPr>
        <w:t xml:space="preserve"> (2020) a vlastní dopočty ČSÚ</w:t>
      </w:r>
    </w:p>
    <w:p w14:paraId="63A908EE" w14:textId="77777777" w:rsidR="00553C81" w:rsidRDefault="00553C81" w:rsidP="00553C81">
      <w:pPr>
        <w:spacing w:before="0" w:after="240"/>
      </w:pPr>
      <w:r w:rsidRPr="000F2218">
        <w:rPr>
          <w:b/>
        </w:rPr>
        <w:t>Léče</w:t>
      </w:r>
      <w:r>
        <w:rPr>
          <w:b/>
        </w:rPr>
        <w:t>b</w:t>
      </w:r>
      <w:r w:rsidRPr="000F2218">
        <w:rPr>
          <w:b/>
        </w:rPr>
        <w:t>nou a rehabilitační péči</w:t>
      </w:r>
      <w:r>
        <w:t xml:space="preserve"> lze dále rozčlenit </w:t>
      </w:r>
      <w:r w:rsidRPr="00EF1D98">
        <w:rPr>
          <w:b/>
        </w:rPr>
        <w:t>na lůžkovou, ambulantní, denní a domácí</w:t>
      </w:r>
      <w:r>
        <w:t xml:space="preserve"> viz graf č. 6.8. </w:t>
      </w:r>
      <w:r w:rsidRPr="00EF1D98">
        <w:rPr>
          <w:b/>
        </w:rPr>
        <w:t>Lůžková péče</w:t>
      </w:r>
      <w:r>
        <w:t xml:space="preserve"> vyžaduje formální příjem do zdravotnického zařízení, stejně tak jako </w:t>
      </w:r>
      <w:r w:rsidRPr="00EF1D98">
        <w:rPr>
          <w:b/>
        </w:rPr>
        <w:t>denní péče</w:t>
      </w:r>
      <w:r>
        <w:t xml:space="preserve">. V rámci </w:t>
      </w:r>
      <w:r w:rsidRPr="00EF1D98">
        <w:rPr>
          <w:b/>
        </w:rPr>
        <w:t>domácí péče</w:t>
      </w:r>
      <w:r>
        <w:t xml:space="preserve"> jsou ale pacienti přijati s úmyslem propustit je v ten samý den, u lůžkové péče nikoliv. </w:t>
      </w:r>
      <w:r w:rsidRPr="00EF1D98">
        <w:rPr>
          <w:b/>
        </w:rPr>
        <w:t>Ambulantní a domácí péče</w:t>
      </w:r>
      <w:r>
        <w:t xml:space="preserve"> nevyžaduje formální příjem do zdravotnického zařízení. Domácí péče zahrnuje například lékařské nebo pečovatelské služby, které jsou spotřebovány pacienty v jejich domovech. </w:t>
      </w:r>
    </w:p>
    <w:p w14:paraId="66C86ED8" w14:textId="77777777" w:rsidR="00142D08" w:rsidRDefault="00553C81" w:rsidP="00142D08">
      <w:pPr>
        <w:spacing w:before="0" w:after="240"/>
      </w:pPr>
      <w:r w:rsidRPr="00EF1D98">
        <w:rPr>
          <w:b/>
        </w:rPr>
        <w:t xml:space="preserve">Podíly jednotlivých typů péče na celkových výdajích na léčebnou a rehabilitační zdravotní péči </w:t>
      </w:r>
      <w:r w:rsidRPr="002577B5">
        <w:t>se u jednotlivých zemí EU liší.</w:t>
      </w:r>
      <w:r w:rsidRPr="00EF1D98">
        <w:rPr>
          <w:b/>
        </w:rPr>
        <w:t xml:space="preserve"> </w:t>
      </w:r>
      <w:r>
        <w:t xml:space="preserve">V Řecku, Bulharsku nebo v Rumunsku převažuje z více než 60 % lůžková péče, zatímco například v Portugalsku převažuje naopak z 60 % ambulantní péče. V Česku je, stejně jako ve Španělsku, vydáno 52 % výdajů na ambulantní péči. Oproti tomu na lůžkovou připadá v Česku 45 % výdajů. Výdaje na domácí a denní péči jsou v porovnání s ostatními několikanásobně menší. Domácí péče je nejvýznamnější na Maltě (14 % z veškeré léčebné a rehabilitační péče) nebo potom s velkým odstupem ve Francii (7 %). Co se týče denní péče, nejvyšší podíl z celkových výdajů na léčebnou a rehabilitační péči tvoří v Rumunsku (15 %), Chorvatsku (14 %) nebo v Irsku, Lotyšsku a Portugalsku (13 %).  </w:t>
      </w:r>
    </w:p>
    <w:p w14:paraId="32515340" w14:textId="77777777" w:rsidR="00553C81" w:rsidRPr="00821DA1" w:rsidRDefault="00553C81" w:rsidP="00F71C3C">
      <w:pPr>
        <w:pStyle w:val="Titulek"/>
        <w:keepNext/>
        <w:spacing w:before="240" w:after="120"/>
        <w:rPr>
          <w:b/>
          <w:i w:val="0"/>
          <w:color w:val="auto"/>
        </w:rPr>
      </w:pPr>
      <w:r w:rsidRPr="00821DA1">
        <w:rPr>
          <w:b/>
          <w:i w:val="0"/>
          <w:color w:val="auto"/>
        </w:rPr>
        <w:lastRenderedPageBreak/>
        <w:t xml:space="preserve">Graf </w:t>
      </w:r>
      <w:proofErr w:type="gramStart"/>
      <w:r w:rsidRPr="00821DA1">
        <w:rPr>
          <w:b/>
          <w:i w:val="0"/>
          <w:color w:val="auto"/>
        </w:rPr>
        <w:t>č. 6.</w:t>
      </w:r>
      <w:r w:rsidRPr="00821DA1">
        <w:rPr>
          <w:b/>
          <w:i w:val="0"/>
          <w:color w:val="auto"/>
        </w:rPr>
        <w:fldChar w:fldCharType="begin"/>
      </w:r>
      <w:r w:rsidRPr="00821DA1">
        <w:rPr>
          <w:b/>
          <w:i w:val="0"/>
          <w:color w:val="auto"/>
        </w:rPr>
        <w:instrText xml:space="preserve"> SEQ Graf_č._6. \* ARABIC </w:instrText>
      </w:r>
      <w:r w:rsidRPr="00821DA1">
        <w:rPr>
          <w:b/>
          <w:i w:val="0"/>
          <w:color w:val="auto"/>
        </w:rPr>
        <w:fldChar w:fldCharType="separate"/>
      </w:r>
      <w:r w:rsidRPr="00821DA1">
        <w:rPr>
          <w:b/>
          <w:i w:val="0"/>
          <w:noProof/>
          <w:color w:val="auto"/>
        </w:rPr>
        <w:t>8</w:t>
      </w:r>
      <w:r w:rsidRPr="00821DA1">
        <w:rPr>
          <w:b/>
          <w:i w:val="0"/>
          <w:noProof/>
          <w:color w:val="auto"/>
        </w:rPr>
        <w:fldChar w:fldCharType="end"/>
      </w:r>
      <w:r w:rsidR="0085013A">
        <w:rPr>
          <w:b/>
          <w:i w:val="0"/>
          <w:noProof/>
          <w:color w:val="auto"/>
        </w:rPr>
        <w:t>.</w:t>
      </w:r>
      <w:proofErr w:type="gramEnd"/>
      <w:r w:rsidRPr="00821DA1">
        <w:rPr>
          <w:b/>
          <w:i w:val="0"/>
          <w:color w:val="auto"/>
        </w:rPr>
        <w:t xml:space="preserve"> Struktura výdajů na léčebnou a rehabilitační péči v zemích EU v roce 2018 (v %)</w:t>
      </w:r>
    </w:p>
    <w:p w14:paraId="74F37E9C" w14:textId="6EBEA90C" w:rsidR="00553C81" w:rsidRDefault="00553C81" w:rsidP="00C17915">
      <w:pPr>
        <w:spacing w:after="120"/>
      </w:pPr>
      <w:r>
        <w:rPr>
          <w:noProof/>
          <w:lang w:eastAsia="cs-CZ"/>
        </w:rPr>
        <w:drawing>
          <wp:inline distT="0" distB="0" distL="0" distR="0" wp14:anchorId="571497A0" wp14:editId="39D4A952">
            <wp:extent cx="6074979" cy="3289738"/>
            <wp:effectExtent l="0" t="0" r="2540" b="6350"/>
            <wp:docPr id="22" name="Graf 22">
              <a:extLst xmlns:a="http://schemas.openxmlformats.org/drawingml/2006/main">
                <a:ext uri="{FF2B5EF4-FFF2-40B4-BE49-F238E27FC236}">
                  <a16:creationId xmlns:a16="http://schemas.microsoft.com/office/drawing/2014/main" id="{00000000-0008-0000-0900-000008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23681F22" w14:textId="0C2B3F28" w:rsidR="00DF5092" w:rsidRPr="00DF5092" w:rsidRDefault="00DF5092" w:rsidP="00DF5092">
      <w:pPr>
        <w:spacing w:after="60"/>
        <w:rPr>
          <w:rFonts w:eastAsia="Calibri" w:cs="Times New Roman"/>
          <w:i/>
          <w:iCs/>
          <w:sz w:val="16"/>
          <w:szCs w:val="16"/>
        </w:rPr>
      </w:pPr>
      <w:r w:rsidRPr="00D62F16">
        <w:rPr>
          <w:rFonts w:eastAsia="Calibri" w:cs="Times New Roman"/>
          <w:i/>
          <w:iCs/>
          <w:sz w:val="16"/>
          <w:szCs w:val="16"/>
        </w:rPr>
        <w:t>Pozn. Velká Británie je brána jako člen EU, neboť k odchodu z EU došlo až v roce 2020.</w:t>
      </w:r>
    </w:p>
    <w:p w14:paraId="3C4D2800" w14:textId="77777777" w:rsidR="00553C81" w:rsidRPr="00F71C3C" w:rsidRDefault="00553C81" w:rsidP="00553C81">
      <w:pPr>
        <w:spacing w:before="0" w:after="240"/>
        <w:jc w:val="right"/>
        <w:rPr>
          <w:b/>
          <w:i/>
          <w:iCs/>
          <w:sz w:val="16"/>
          <w:szCs w:val="16"/>
        </w:rPr>
      </w:pPr>
      <w:r w:rsidRPr="00F71C3C">
        <w:rPr>
          <w:b/>
          <w:i/>
          <w:iCs/>
          <w:sz w:val="16"/>
          <w:szCs w:val="16"/>
        </w:rPr>
        <w:t xml:space="preserve">Zdroj: Databáze </w:t>
      </w:r>
      <w:proofErr w:type="spellStart"/>
      <w:r w:rsidRPr="00F71C3C">
        <w:rPr>
          <w:b/>
          <w:i/>
          <w:iCs/>
          <w:sz w:val="16"/>
          <w:szCs w:val="16"/>
        </w:rPr>
        <w:t>Eurostatu</w:t>
      </w:r>
      <w:proofErr w:type="spellEnd"/>
      <w:r w:rsidRPr="00F71C3C">
        <w:rPr>
          <w:b/>
          <w:i/>
          <w:iCs/>
          <w:sz w:val="16"/>
          <w:szCs w:val="16"/>
        </w:rPr>
        <w:t xml:space="preserve"> (2020) a vlastní dopočty ČSÚ</w:t>
      </w:r>
    </w:p>
    <w:p w14:paraId="77044F41" w14:textId="77777777" w:rsidR="00553C81" w:rsidRDefault="00553C81" w:rsidP="00553C81">
      <w:pPr>
        <w:spacing w:before="0" w:after="240"/>
      </w:pPr>
      <w:r w:rsidRPr="00EF1D98">
        <w:rPr>
          <w:b/>
        </w:rPr>
        <w:t>Z celkových výdajů za zdravotní péči se průměrný podíl výdajů za</w:t>
      </w:r>
      <w:r>
        <w:t xml:space="preserve"> </w:t>
      </w:r>
      <w:r w:rsidRPr="00557B45">
        <w:rPr>
          <w:b/>
        </w:rPr>
        <w:t xml:space="preserve">léky </w:t>
      </w:r>
      <w:r>
        <w:t xml:space="preserve">v zemích </w:t>
      </w:r>
      <w:r w:rsidRPr="00EF1D98">
        <w:rPr>
          <w:b/>
        </w:rPr>
        <w:t>EU pohybuje okolo 18 %.</w:t>
      </w:r>
      <w:r>
        <w:t xml:space="preserve"> Největší podíl výdajů za léky ze všech výdajů na zdravotní péči připadl v Bulharsku (37 %) a nejmenší v Dánsku (10 %). Pro mezinárodní srovnání jsou dostupné pouze výdaje za ambulantně vydané léky.</w:t>
      </w:r>
    </w:p>
    <w:p w14:paraId="7B6166D9" w14:textId="77777777" w:rsidR="00553C81" w:rsidRDefault="00553C81" w:rsidP="00553C81">
      <w:pPr>
        <w:spacing w:before="0" w:after="240"/>
      </w:pPr>
      <w:r w:rsidRPr="00EF1D98">
        <w:rPr>
          <w:b/>
        </w:rPr>
        <w:t xml:space="preserve">Struktura výdajů na léky podle zdroje financování </w:t>
      </w:r>
      <w:r w:rsidRPr="002577B5">
        <w:t>je v jednotlivých zemích EU velmi rozdílná</w:t>
      </w:r>
      <w:r>
        <w:t xml:space="preserve"> (viz graf č.  6.9). Z veřejných zdrojů jsou léky nejčastěji hrazeny v Německu (82 %) a ve Francii (81 %). Naopak podíl výdajů na léky z veřejných zdrojů je menší než 40 % v Litvě, Lotyšsku, Polsku, Bulharsku a na Kypru. Nejnižší podíl výdajů za léky připadá na domácnosti ve Francii (13 %), zatímco nejvíce na Kypru (75 %) nebo v Rumunsku (73 %). V Česku jsou výdaje za léky hrazeny domácnostmi ze 44 % a z veřejných zdrojů z 56 %. Tento poměr je nejvíce podobný tomu ve Finsku. </w:t>
      </w:r>
    </w:p>
    <w:p w14:paraId="62B384F2" w14:textId="78B80007" w:rsidR="00553C81" w:rsidRPr="00553C81" w:rsidRDefault="007241C2" w:rsidP="00F71C3C">
      <w:pPr>
        <w:keepNext/>
        <w:spacing w:after="120" w:line="240" w:lineRule="auto"/>
        <w:rPr>
          <w:rFonts w:eastAsia="Calibri" w:cs="Times New Roman"/>
          <w:b/>
          <w:iCs/>
          <w:sz w:val="18"/>
          <w:szCs w:val="18"/>
        </w:rPr>
      </w:pPr>
      <w:r>
        <w:rPr>
          <w:rFonts w:eastAsia="Calibri" w:cs="Times New Roman"/>
          <w:b/>
          <w:iCs/>
          <w:sz w:val="18"/>
          <w:szCs w:val="18"/>
        </w:rPr>
        <w:t xml:space="preserve">Graf </w:t>
      </w:r>
      <w:proofErr w:type="gramStart"/>
      <w:r>
        <w:rPr>
          <w:rFonts w:eastAsia="Calibri" w:cs="Times New Roman"/>
          <w:b/>
          <w:iCs/>
          <w:sz w:val="18"/>
          <w:szCs w:val="18"/>
        </w:rPr>
        <w:t>č. 6.</w:t>
      </w:r>
      <w:r w:rsidR="00553C81" w:rsidRPr="00553C81">
        <w:rPr>
          <w:rFonts w:eastAsia="Calibri" w:cs="Times New Roman"/>
          <w:b/>
          <w:iCs/>
          <w:sz w:val="18"/>
          <w:szCs w:val="18"/>
        </w:rPr>
        <w:fldChar w:fldCharType="begin"/>
      </w:r>
      <w:r w:rsidR="00553C81" w:rsidRPr="00553C81">
        <w:rPr>
          <w:rFonts w:eastAsia="Calibri" w:cs="Times New Roman"/>
          <w:b/>
          <w:iCs/>
          <w:sz w:val="18"/>
          <w:szCs w:val="18"/>
        </w:rPr>
        <w:instrText xml:space="preserve"> SEQ Graf_č._6. \* ARABIC </w:instrText>
      </w:r>
      <w:r w:rsidR="00553C81" w:rsidRPr="00553C81">
        <w:rPr>
          <w:rFonts w:eastAsia="Calibri" w:cs="Times New Roman"/>
          <w:b/>
          <w:iCs/>
          <w:sz w:val="18"/>
          <w:szCs w:val="18"/>
        </w:rPr>
        <w:fldChar w:fldCharType="separate"/>
      </w:r>
      <w:r w:rsidR="00553C81" w:rsidRPr="00553C81">
        <w:rPr>
          <w:rFonts w:eastAsia="Calibri" w:cs="Times New Roman"/>
          <w:b/>
          <w:iCs/>
          <w:noProof/>
          <w:sz w:val="18"/>
          <w:szCs w:val="18"/>
        </w:rPr>
        <w:t>9</w:t>
      </w:r>
      <w:r w:rsidR="00553C81" w:rsidRPr="00553C81">
        <w:rPr>
          <w:rFonts w:eastAsia="Calibri" w:cs="Times New Roman"/>
          <w:b/>
          <w:iCs/>
          <w:noProof/>
          <w:sz w:val="18"/>
          <w:szCs w:val="18"/>
        </w:rPr>
        <w:fldChar w:fldCharType="end"/>
      </w:r>
      <w:r w:rsidR="0085013A">
        <w:rPr>
          <w:rFonts w:eastAsia="Calibri" w:cs="Times New Roman"/>
          <w:b/>
          <w:iCs/>
          <w:noProof/>
          <w:sz w:val="18"/>
          <w:szCs w:val="18"/>
        </w:rPr>
        <w:t>.</w:t>
      </w:r>
      <w:proofErr w:type="gramEnd"/>
      <w:r w:rsidR="00553C81" w:rsidRPr="00553C81">
        <w:rPr>
          <w:rFonts w:eastAsia="Calibri" w:cs="Times New Roman"/>
          <w:b/>
          <w:iCs/>
          <w:sz w:val="18"/>
          <w:szCs w:val="18"/>
        </w:rPr>
        <w:t xml:space="preserve"> Struktura výdajů na léky podle zdrojů financování v zemích EU v roce 2018 (v %)</w:t>
      </w:r>
    </w:p>
    <w:p w14:paraId="1C002A55" w14:textId="2A45416D" w:rsidR="00553C81" w:rsidRDefault="00553C81" w:rsidP="00C17915">
      <w:pPr>
        <w:spacing w:after="120"/>
        <w:rPr>
          <w:rFonts w:eastAsia="Calibri" w:cs="Times New Roman"/>
        </w:rPr>
      </w:pPr>
      <w:r w:rsidRPr="00553C81">
        <w:rPr>
          <w:rFonts w:eastAsia="Calibri" w:cs="Times New Roman"/>
          <w:noProof/>
          <w:lang w:eastAsia="cs-CZ"/>
        </w:rPr>
        <w:drawing>
          <wp:inline distT="0" distB="0" distL="0" distR="0" wp14:anchorId="2D2AAD24" wp14:editId="23630DD9">
            <wp:extent cx="6114721" cy="2480441"/>
            <wp:effectExtent l="0" t="0" r="635" b="15240"/>
            <wp:docPr id="23" name="Graf 23">
              <a:extLst xmlns:a="http://schemas.openxmlformats.org/drawingml/2006/main">
                <a:ext uri="{FF2B5EF4-FFF2-40B4-BE49-F238E27FC236}">
                  <a16:creationId xmlns:a16="http://schemas.microsoft.com/office/drawing/2014/main" id="{00000000-0008-0000-0F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3DEBB044" w14:textId="5C59093B" w:rsidR="007241C2" w:rsidRPr="007241C2" w:rsidRDefault="007241C2" w:rsidP="007241C2">
      <w:pPr>
        <w:spacing w:after="60"/>
        <w:rPr>
          <w:rFonts w:eastAsia="Calibri" w:cs="Times New Roman"/>
          <w:i/>
          <w:iCs/>
          <w:sz w:val="16"/>
          <w:szCs w:val="16"/>
        </w:rPr>
      </w:pPr>
      <w:r w:rsidRPr="00D62F16">
        <w:rPr>
          <w:rFonts w:eastAsia="Calibri" w:cs="Times New Roman"/>
          <w:i/>
          <w:iCs/>
          <w:sz w:val="16"/>
          <w:szCs w:val="16"/>
        </w:rPr>
        <w:t>Pozn. Velká Británie je brána jako člen EU, neboť k odchodu z EU došlo až v roce 2020.</w:t>
      </w:r>
    </w:p>
    <w:p w14:paraId="4D64C05E" w14:textId="77777777" w:rsidR="00553C81" w:rsidRPr="00F71C3C" w:rsidRDefault="00553C81" w:rsidP="00F71C3C">
      <w:pPr>
        <w:spacing w:after="240"/>
        <w:jc w:val="right"/>
        <w:rPr>
          <w:rFonts w:eastAsia="Calibri" w:cs="Times New Roman"/>
          <w:b/>
          <w:i/>
          <w:iCs/>
          <w:sz w:val="16"/>
          <w:szCs w:val="16"/>
        </w:rPr>
      </w:pPr>
      <w:r w:rsidRPr="00F71C3C">
        <w:rPr>
          <w:rFonts w:eastAsia="Calibri" w:cs="Times New Roman"/>
          <w:b/>
          <w:i/>
          <w:iCs/>
          <w:sz w:val="16"/>
          <w:szCs w:val="16"/>
        </w:rPr>
        <w:lastRenderedPageBreak/>
        <w:t xml:space="preserve">Zdroj: Databáze </w:t>
      </w:r>
      <w:proofErr w:type="spellStart"/>
      <w:r w:rsidRPr="00F71C3C">
        <w:rPr>
          <w:rFonts w:eastAsia="Calibri" w:cs="Times New Roman"/>
          <w:b/>
          <w:i/>
          <w:iCs/>
          <w:sz w:val="16"/>
          <w:szCs w:val="16"/>
        </w:rPr>
        <w:t>Eurostatu</w:t>
      </w:r>
      <w:proofErr w:type="spellEnd"/>
      <w:r w:rsidRPr="00F71C3C">
        <w:rPr>
          <w:rFonts w:eastAsia="Calibri" w:cs="Times New Roman"/>
          <w:b/>
          <w:i/>
          <w:iCs/>
          <w:sz w:val="16"/>
          <w:szCs w:val="16"/>
        </w:rPr>
        <w:t xml:space="preserve"> (2020) a vlastní dopočty ČSÚ</w:t>
      </w:r>
    </w:p>
    <w:p w14:paraId="2D34A68C" w14:textId="6C58990E" w:rsidR="00553C81" w:rsidRPr="00D8285F" w:rsidRDefault="00553C81" w:rsidP="00553C81">
      <w:pPr>
        <w:spacing w:before="0" w:after="240"/>
      </w:pPr>
      <w:r>
        <w:t xml:space="preserve">Co se týče </w:t>
      </w:r>
      <w:r>
        <w:rPr>
          <w:b/>
        </w:rPr>
        <w:t xml:space="preserve">dlouhodobé zdravotní péče, </w:t>
      </w:r>
      <w:r>
        <w:t>v mnoha zemích převažuje tzv. neformální péče, což znamená, že je poskytovaná příbuznými v domácím prostředí a nejsou o ni dostupné žádné záznamy. Nicméně postupem času v důsledku společenských a ekonomických změn, narůstá zájem o tzv. formální dlouhodobou zdravotní péči.  Jedná se o péči poskytovanou institucemi, jako jsou například nemocnice, hospice, léčebny dlouhodobě nemocných nebo domovy pro seniory. Nejvyšší podíl z celkových výdajů na zdravotní péči připadá na tuto péči dlouhodobě v Nizozemsku, Švédsku nebo Dánsku. V těchto zemích přesahuje podíl výdajů na dlouhodobou péči z celkových výdajů na zdravotní péči 25 %, zatímco v Bulharsku a na Slovensku je menší než 1 %. V</w:t>
      </w:r>
      <w:r w:rsidR="007241C2">
        <w:t xml:space="preserve"> Česku </w:t>
      </w:r>
      <w:r>
        <w:t>je podíl výdajů na dlouhodobou péči 14 %, což je méně než průměr v EU (16 %).</w:t>
      </w:r>
    </w:p>
    <w:p w14:paraId="57E61EE0" w14:textId="6C6FB63E" w:rsidR="00553C81" w:rsidRDefault="00553C81" w:rsidP="00553C81">
      <w:pPr>
        <w:spacing w:before="0" w:after="240"/>
      </w:pPr>
      <w:r>
        <w:t xml:space="preserve">Dalším druhem zdravotní péče je </w:t>
      </w:r>
      <w:r w:rsidRPr="00DC38FF">
        <w:rPr>
          <w:b/>
        </w:rPr>
        <w:t>preventivní péče</w:t>
      </w:r>
      <w:r>
        <w:t>. Do této kategorie spadají například programy pro sledování zdravotního stavu, programy epidemiologického dozoru nebo informační, vzdělávací a poradenské programy. V Česku byl v roce 2018 podíl výdajů na preventivní</w:t>
      </w:r>
      <w:r w:rsidRPr="00D140A0">
        <w:t xml:space="preserve"> péči</w:t>
      </w:r>
      <w:r>
        <w:t xml:space="preserve"> z celkových výdajů na zdravotní</w:t>
      </w:r>
      <w:r w:rsidR="007241C2">
        <w:t xml:space="preserve"> péči 3 %, což je i průměr EU. </w:t>
      </w:r>
      <w:r>
        <w:t xml:space="preserve">Nejvíce bylo na tuto péči vydáno ve Velké Británii, konkrétně 5 %. </w:t>
      </w:r>
    </w:p>
    <w:p w14:paraId="323B654C" w14:textId="77777777" w:rsidR="00553C81" w:rsidRDefault="00553C81" w:rsidP="00553C81">
      <w:pPr>
        <w:pStyle w:val="Nadpis3"/>
      </w:pPr>
      <w:r>
        <w:t>6.4. Výdaje na zdravotní péči podle typu poskytovatele</w:t>
      </w:r>
    </w:p>
    <w:p w14:paraId="2BA9D9FF" w14:textId="77777777" w:rsidR="00553C81" w:rsidRPr="00553C81" w:rsidRDefault="00553C81" w:rsidP="00553C81">
      <w:pPr>
        <w:spacing w:before="0" w:after="240"/>
        <w:rPr>
          <w:b/>
          <w:i/>
        </w:rPr>
      </w:pPr>
      <w:r w:rsidRPr="00553C81">
        <w:rPr>
          <w:b/>
          <w:i/>
        </w:rPr>
        <w:t>Největší výdajovou položkou v rámci zdravotní péče z hlediska typu poskytovatele jsou v EU nemocnice (37 %)</w:t>
      </w:r>
    </w:p>
    <w:p w14:paraId="2E1CC6C2" w14:textId="77777777" w:rsidR="00553C81" w:rsidRDefault="00553C81" w:rsidP="00553C81">
      <w:pPr>
        <w:spacing w:before="0" w:after="240"/>
      </w:pPr>
      <w:r>
        <w:t xml:space="preserve">V grafu č. 6.10 lze vidět strukturu celkových výdajů na zdravotní péči podle typu poskytovatele v jednotlivých státech EU. Jak lze předpokládat, ve většině zemí převažují výdaje na zdravotní péči poskytnutou </w:t>
      </w:r>
      <w:r w:rsidRPr="00F33C03">
        <w:rPr>
          <w:b/>
        </w:rPr>
        <w:t>v nemocnicích</w:t>
      </w:r>
      <w:r>
        <w:t xml:space="preserve">. Do této kategorie lze zařadit jak </w:t>
      </w:r>
      <w:r w:rsidRPr="00633390">
        <w:rPr>
          <w:b/>
        </w:rPr>
        <w:t>všeobecné nemocnice</w:t>
      </w:r>
      <w:r>
        <w:t xml:space="preserve"> (např. krajské nemocnice, fakultní nemocnice nebo integrovaná centra komunitní péče poskytující lůžkové služby), tak i </w:t>
      </w:r>
      <w:r w:rsidRPr="00633390">
        <w:rPr>
          <w:b/>
        </w:rPr>
        <w:t>psychiatrické nemocnice</w:t>
      </w:r>
      <w:r>
        <w:t xml:space="preserve"> (do této skupiny patří i nemocnice poskytující forenzní služby a nemocnice pro léčbu drogově závislých). Dále sem patří </w:t>
      </w:r>
      <w:r w:rsidRPr="00633390">
        <w:rPr>
          <w:b/>
        </w:rPr>
        <w:t>specializované nemocnice</w:t>
      </w:r>
      <w:r>
        <w:t xml:space="preserve"> (např. porodnice, nemocnice zaměřené na konkrétní obory, speciální sanatoria (poskytující zejména následnou, rehabilitační a preventivní péči), termální střediska a lázeňská zařízení nebo speciální nemocnice pro léčbu infekčních nemocí).</w:t>
      </w:r>
    </w:p>
    <w:p w14:paraId="2101C005" w14:textId="77777777" w:rsidR="00553C81" w:rsidRPr="00821DA1" w:rsidRDefault="00553C81" w:rsidP="00553C81">
      <w:pPr>
        <w:pStyle w:val="Titulek"/>
        <w:keepNext/>
        <w:spacing w:after="0"/>
        <w:rPr>
          <w:b/>
          <w:i w:val="0"/>
          <w:color w:val="auto"/>
        </w:rPr>
      </w:pPr>
      <w:r w:rsidRPr="00821DA1">
        <w:rPr>
          <w:b/>
          <w:i w:val="0"/>
          <w:color w:val="auto"/>
        </w:rPr>
        <w:t xml:space="preserve">Graf </w:t>
      </w:r>
      <w:proofErr w:type="gramStart"/>
      <w:r w:rsidRPr="00821DA1">
        <w:rPr>
          <w:b/>
          <w:i w:val="0"/>
          <w:color w:val="auto"/>
        </w:rPr>
        <w:t>č. 6.</w:t>
      </w:r>
      <w:r w:rsidRPr="00821DA1">
        <w:rPr>
          <w:b/>
          <w:i w:val="0"/>
          <w:color w:val="auto"/>
        </w:rPr>
        <w:fldChar w:fldCharType="begin"/>
      </w:r>
      <w:r w:rsidRPr="00821DA1">
        <w:rPr>
          <w:b/>
          <w:i w:val="0"/>
          <w:color w:val="auto"/>
        </w:rPr>
        <w:instrText xml:space="preserve"> SEQ Graf_č._6. \* ARABIC </w:instrText>
      </w:r>
      <w:r w:rsidRPr="00821DA1">
        <w:rPr>
          <w:b/>
          <w:i w:val="0"/>
          <w:color w:val="auto"/>
        </w:rPr>
        <w:fldChar w:fldCharType="separate"/>
      </w:r>
      <w:r w:rsidRPr="00821DA1">
        <w:rPr>
          <w:b/>
          <w:i w:val="0"/>
          <w:noProof/>
          <w:color w:val="auto"/>
        </w:rPr>
        <w:t>10</w:t>
      </w:r>
      <w:proofErr w:type="gramEnd"/>
      <w:r w:rsidRPr="00821DA1">
        <w:rPr>
          <w:b/>
          <w:i w:val="0"/>
          <w:noProof/>
          <w:color w:val="auto"/>
        </w:rPr>
        <w:fldChar w:fldCharType="end"/>
      </w:r>
      <w:r w:rsidR="0085013A">
        <w:rPr>
          <w:b/>
          <w:i w:val="0"/>
          <w:noProof/>
          <w:color w:val="auto"/>
        </w:rPr>
        <w:t>.</w:t>
      </w:r>
      <w:r w:rsidRPr="00821DA1">
        <w:rPr>
          <w:b/>
          <w:i w:val="0"/>
          <w:color w:val="auto"/>
        </w:rPr>
        <w:t xml:space="preserve"> Struktura výdajů na zdravotní péči podle typu poskytovatele v zemích EU v roce 2018 (v %)</w:t>
      </w:r>
    </w:p>
    <w:p w14:paraId="0FF06254" w14:textId="1353F3F3" w:rsidR="007241C2" w:rsidRDefault="00553C81" w:rsidP="00C17915">
      <w:pPr>
        <w:spacing w:after="120"/>
        <w:jc w:val="right"/>
        <w:rPr>
          <w:b/>
          <w:i/>
          <w:iCs/>
          <w:sz w:val="16"/>
          <w:szCs w:val="16"/>
        </w:rPr>
      </w:pPr>
      <w:r>
        <w:rPr>
          <w:noProof/>
          <w:lang w:eastAsia="cs-CZ"/>
        </w:rPr>
        <w:drawing>
          <wp:inline distT="0" distB="0" distL="0" distR="0" wp14:anchorId="3064EDDF" wp14:editId="7599ADCB">
            <wp:extent cx="6085096" cy="3710020"/>
            <wp:effectExtent l="0" t="0" r="11430" b="5080"/>
            <wp:docPr id="24" name="Graf 24">
              <a:extLst xmlns:a="http://schemas.openxmlformats.org/drawingml/2006/main">
                <a:ext uri="{FF2B5EF4-FFF2-40B4-BE49-F238E27FC236}">
                  <a16:creationId xmlns:a16="http://schemas.microsoft.com/office/drawing/2014/main" id="{00000000-0008-0000-0C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16C26AFA" w14:textId="1FE2C942" w:rsidR="007241C2" w:rsidRPr="007241C2" w:rsidRDefault="007241C2" w:rsidP="007241C2">
      <w:pPr>
        <w:spacing w:after="60"/>
        <w:rPr>
          <w:rFonts w:eastAsia="Calibri" w:cs="Times New Roman"/>
          <w:i/>
          <w:iCs/>
          <w:sz w:val="16"/>
          <w:szCs w:val="16"/>
        </w:rPr>
      </w:pPr>
      <w:r w:rsidRPr="00D62F16">
        <w:rPr>
          <w:rFonts w:eastAsia="Calibri" w:cs="Times New Roman"/>
          <w:i/>
          <w:iCs/>
          <w:sz w:val="16"/>
          <w:szCs w:val="16"/>
        </w:rPr>
        <w:lastRenderedPageBreak/>
        <w:t>Pozn. Velká Británie je brána jako člen EU, neboť k odchodu z EU došlo až v roce 2020.</w:t>
      </w:r>
    </w:p>
    <w:p w14:paraId="5B30347D" w14:textId="6B1140D0" w:rsidR="00553C81" w:rsidRPr="00F33C03" w:rsidRDefault="00553C81" w:rsidP="00C17915">
      <w:pPr>
        <w:spacing w:after="120"/>
        <w:jc w:val="right"/>
        <w:rPr>
          <w:i/>
          <w:iCs/>
          <w:szCs w:val="20"/>
        </w:rPr>
      </w:pPr>
      <w:r w:rsidRPr="00F71C3C">
        <w:rPr>
          <w:b/>
          <w:i/>
          <w:iCs/>
          <w:sz w:val="16"/>
          <w:szCs w:val="16"/>
        </w:rPr>
        <w:t xml:space="preserve">Zdroj: Databáze </w:t>
      </w:r>
      <w:proofErr w:type="spellStart"/>
      <w:r w:rsidRPr="00F71C3C">
        <w:rPr>
          <w:b/>
          <w:i/>
          <w:iCs/>
          <w:sz w:val="16"/>
          <w:szCs w:val="16"/>
        </w:rPr>
        <w:t>Eurostatu</w:t>
      </w:r>
      <w:proofErr w:type="spellEnd"/>
      <w:r w:rsidRPr="00F71C3C">
        <w:rPr>
          <w:b/>
          <w:i/>
          <w:iCs/>
          <w:sz w:val="16"/>
          <w:szCs w:val="16"/>
        </w:rPr>
        <w:t xml:space="preserve"> (2020) a vlastní dopočty ČSÚ</w:t>
      </w:r>
    </w:p>
    <w:p w14:paraId="635A93D9" w14:textId="77777777" w:rsidR="00553C81" w:rsidRDefault="00553C81" w:rsidP="00553C81">
      <w:pPr>
        <w:spacing w:before="0" w:after="240"/>
      </w:pPr>
      <w:r>
        <w:t xml:space="preserve">V některých zemích byly výdaje na zdravotní </w:t>
      </w:r>
      <w:r w:rsidRPr="00F33C03">
        <w:rPr>
          <w:b/>
        </w:rPr>
        <w:t>péči poskytovanou v nemocnicích</w:t>
      </w:r>
      <w:r>
        <w:t xml:space="preserve"> vyšší než 45 % z celkových výdajů na zdravotní péči, konkrétně v Chorvatsku (47 %), Rumunsku (46 %) nebo na Kypru (46 %). Přesně u poloviny zemí EU je podíl výdajů na zdravotní péči v nemocnicích vyšší než 40 %. Do této kategorie spadá i Česko s 43 %. Oproti tomu v Německu je na zdravotní péči v nemocnicích vydáno nejméně, konkrétně je to 28 % z celkových výdajů na zdravotní péči, což je o 3 procentní body méně, než je podíl výdajů za zdravotní péči poskytnutou u poskytovatelů ambulantní péče (31 %). </w:t>
      </w:r>
    </w:p>
    <w:p w14:paraId="24E6D003" w14:textId="77777777" w:rsidR="00553C81" w:rsidRDefault="00553C81" w:rsidP="00553C81">
      <w:pPr>
        <w:spacing w:before="0" w:after="240"/>
      </w:pPr>
      <w:r>
        <w:t xml:space="preserve">Co se týče </w:t>
      </w:r>
      <w:r w:rsidRPr="00F33C03">
        <w:rPr>
          <w:b/>
        </w:rPr>
        <w:t>poskytovatelů ambulantní péče</w:t>
      </w:r>
      <w:r>
        <w:t xml:space="preserve">, průměrný podíl výdajů na ambulantní péči v EU z celkových výdajů na zdravotní péči je 25 %. Většina zemí EU včetně Česka je pod tímto průměrem. Výjimku kromě výše zmíněného Německa tvoří např. Belgie nebo Lucembursko. V některých zemích převažují výdaje na zdravotní péči poskytovanou v lékárnách v porovnání s poskytovateli ambulantní péče, například v Bulharsku je podíl na zdravotní péči v lékárnách a výdejnách prostředků zdravotnické techniky o více než polovinu vyšší, než je podíl výdajů na zdravotní péči u poskytovatelů ambulantní péče. </w:t>
      </w:r>
    </w:p>
    <w:p w14:paraId="45C6D74F" w14:textId="77777777" w:rsidR="00553C81" w:rsidRDefault="00553C81" w:rsidP="00553C81">
      <w:pPr>
        <w:spacing w:before="0" w:after="240"/>
      </w:pPr>
      <w:r>
        <w:t>V lůžkových zařízeních dlouhodobé péče je v EU v průměru vydáno 11 % z celkových výdajů na zdravotní péči. Česko je s 8 % těsně pod tímto průměrem. Nejvíce je na zdravotní péči v lůžkových zařízeních dlouhodobé péče z celkových výdajů na zdravotní péči vydáno v Nizozemsku (27 %).</w:t>
      </w:r>
    </w:p>
    <w:p w14:paraId="783ED1D4" w14:textId="77777777" w:rsidR="00553C81" w:rsidRDefault="00553C81" w:rsidP="00553C81">
      <w:pPr>
        <w:spacing w:before="0" w:after="240"/>
      </w:pPr>
    </w:p>
    <w:p w14:paraId="1D04B3F2" w14:textId="77777777" w:rsidR="00553C81" w:rsidRPr="00553C81" w:rsidRDefault="00553C81" w:rsidP="00553C81">
      <w:pPr>
        <w:rPr>
          <w:lang w:eastAsia="cs-CZ"/>
        </w:rPr>
      </w:pPr>
    </w:p>
    <w:p w14:paraId="5877FD31" w14:textId="77777777" w:rsidR="00553C81" w:rsidRDefault="00553C81" w:rsidP="00553C81">
      <w:pPr>
        <w:spacing w:before="0" w:after="240"/>
      </w:pPr>
    </w:p>
    <w:p w14:paraId="0E391613" w14:textId="77777777" w:rsidR="00553C81" w:rsidRPr="00553C81" w:rsidRDefault="00553C81" w:rsidP="00553C81"/>
    <w:p w14:paraId="3F107F24" w14:textId="77777777" w:rsidR="00142D08" w:rsidRDefault="00142D08" w:rsidP="00142D08">
      <w:pPr>
        <w:spacing w:before="0" w:after="240"/>
      </w:pPr>
    </w:p>
    <w:p w14:paraId="76EA504E" w14:textId="77777777" w:rsidR="00142D08" w:rsidRPr="00142D08" w:rsidRDefault="00142D08" w:rsidP="00142D08"/>
    <w:p w14:paraId="1617C470" w14:textId="77777777" w:rsidR="00142D08" w:rsidRPr="00142D08" w:rsidRDefault="00142D08" w:rsidP="00142D08">
      <w:pPr>
        <w:rPr>
          <w:lang w:eastAsia="cs-CZ"/>
        </w:rPr>
      </w:pPr>
    </w:p>
    <w:p w14:paraId="28D7B928" w14:textId="77777777" w:rsidR="00142D08" w:rsidRPr="00142D08" w:rsidRDefault="00142D08" w:rsidP="00142D08"/>
    <w:p w14:paraId="76E6FD68" w14:textId="77777777" w:rsidR="00142D08" w:rsidRDefault="00142D08" w:rsidP="00D62F16">
      <w:pPr>
        <w:spacing w:before="0" w:after="240"/>
      </w:pPr>
    </w:p>
    <w:p w14:paraId="169482BC" w14:textId="77777777" w:rsidR="00D62F16" w:rsidRPr="00D62F16" w:rsidRDefault="00D62F16" w:rsidP="00D62F16">
      <w:pPr>
        <w:spacing w:before="0" w:after="240"/>
        <w:rPr>
          <w:lang w:eastAsia="cs-CZ"/>
        </w:rPr>
      </w:pPr>
    </w:p>
    <w:bookmarkEnd w:id="1"/>
    <w:p w14:paraId="5A6814D3" w14:textId="77777777" w:rsidR="00D62F16" w:rsidRPr="00D62F16" w:rsidRDefault="00D62F16" w:rsidP="00D62F16"/>
    <w:sectPr w:rsidR="00D62F16" w:rsidRPr="00D62F16" w:rsidSect="00BF664A">
      <w:headerReference w:type="even" r:id="rId19"/>
      <w:headerReference w:type="default" r:id="rId20"/>
      <w:footerReference w:type="even" r:id="rId21"/>
      <w:footerReference w:type="default" r:id="rId22"/>
      <w:pgSz w:w="11906" w:h="16838" w:code="9"/>
      <w:pgMar w:top="1134" w:right="1134" w:bottom="1418" w:left="1134" w:header="680" w:footer="680" w:gutter="0"/>
      <w:pgNumType w:start="6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5D3587" w14:textId="77777777" w:rsidR="00971DA2" w:rsidRDefault="00971DA2" w:rsidP="00E71A58">
      <w:r>
        <w:separator/>
      </w:r>
    </w:p>
  </w:endnote>
  <w:endnote w:type="continuationSeparator" w:id="0">
    <w:p w14:paraId="7B95A02D" w14:textId="77777777" w:rsidR="00971DA2" w:rsidRDefault="00971DA2"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Minion Pro">
    <w:charset w:val="00"/>
    <w:family w:val="auto"/>
    <w:pitch w:val="variable"/>
    <w:sig w:usb0="60000287" w:usb1="00000001" w:usb2="00000000" w:usb3="00000000" w:csb0="0000019F" w:csb1="00000000"/>
  </w:font>
  <w:font w:name="MS Mincho">
    <w:altName w:val="Yu Gothic UI"/>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51753F" w14:textId="676D2425" w:rsidR="00553C81" w:rsidRPr="00932443" w:rsidRDefault="00016992" w:rsidP="00A418BC">
    <w:pPr>
      <w:pStyle w:val="Zpat"/>
      <w:rPr>
        <w:szCs w:val="16"/>
      </w:rPr>
    </w:pPr>
    <w:r>
      <w:rPr>
        <w:szCs w:val="16"/>
        <w:lang w:eastAsia="cs-CZ"/>
      </w:rPr>
      <w:drawing>
        <wp:anchor distT="0" distB="0" distL="114300" distR="114300" simplePos="0" relativeHeight="251658752" behindDoc="0" locked="0" layoutInCell="1" allowOverlap="1" wp14:anchorId="242F1655" wp14:editId="3D788AE7">
          <wp:simplePos x="0" y="0"/>
          <wp:positionH relativeFrom="column">
            <wp:align>right</wp:align>
          </wp:positionH>
          <wp:positionV relativeFrom="paragraph">
            <wp:posOffset>-64770</wp:posOffset>
          </wp:positionV>
          <wp:extent cx="428625" cy="201295"/>
          <wp:effectExtent l="0" t="0" r="3175" b="1905"/>
          <wp:wrapNone/>
          <wp:docPr id="11" name="Picture 11"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14:sizeRelH relativeFrom="page">
            <wp14:pctWidth>0</wp14:pctWidth>
          </wp14:sizeRelH>
          <wp14:sizeRelV relativeFrom="page">
            <wp14:pctHeight>0</wp14:pctHeight>
          </wp14:sizeRelV>
        </wp:anchor>
      </w:drawing>
    </w:r>
    <w:r w:rsidR="005647BF" w:rsidRPr="00932443">
      <w:rPr>
        <w:szCs w:val="16"/>
      </w:rPr>
      <w:fldChar w:fldCharType="begin"/>
    </w:r>
    <w:r w:rsidR="005647BF" w:rsidRPr="00932443">
      <w:rPr>
        <w:szCs w:val="16"/>
      </w:rPr>
      <w:instrText>PAGE   \* MERGEFORMAT</w:instrText>
    </w:r>
    <w:r w:rsidR="005647BF" w:rsidRPr="00932443">
      <w:rPr>
        <w:szCs w:val="16"/>
      </w:rPr>
      <w:fldChar w:fldCharType="separate"/>
    </w:r>
    <w:r w:rsidR="00BF664A">
      <w:rPr>
        <w:szCs w:val="16"/>
      </w:rPr>
      <w:t>70</w:t>
    </w:r>
    <w:r w:rsidR="005647BF" w:rsidRPr="00932443">
      <w:rPr>
        <w:szCs w:val="16"/>
      </w:rPr>
      <w:fldChar w:fldCharType="end"/>
    </w:r>
    <w:r w:rsidR="005647BF" w:rsidRPr="00932443">
      <w:rPr>
        <w:szCs w:val="16"/>
      </w:rPr>
      <w:tab/>
    </w:r>
    <w:r w:rsidR="00553C81">
      <w:rPr>
        <w:szCs w:val="16"/>
      </w:rPr>
      <w:t>2021</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73A628" w14:textId="1EDACBD9" w:rsidR="00B80EC6" w:rsidRPr="00932443" w:rsidRDefault="00016992" w:rsidP="00A418BC">
    <w:pPr>
      <w:pStyle w:val="Zpat"/>
      <w:rPr>
        <w:szCs w:val="16"/>
      </w:rPr>
    </w:pPr>
    <w:r>
      <w:rPr>
        <w:szCs w:val="16"/>
        <w:lang w:eastAsia="cs-CZ"/>
      </w:rPr>
      <w:drawing>
        <wp:anchor distT="0" distB="0" distL="114300" distR="114300" simplePos="0" relativeHeight="251655680" behindDoc="0" locked="0" layoutInCell="1" allowOverlap="1" wp14:anchorId="54759975" wp14:editId="3E8CF9AB">
          <wp:simplePos x="0" y="0"/>
          <wp:positionH relativeFrom="column">
            <wp:align>left</wp:align>
          </wp:positionH>
          <wp:positionV relativeFrom="paragraph">
            <wp:posOffset>-122555</wp:posOffset>
          </wp:positionV>
          <wp:extent cx="510540" cy="272415"/>
          <wp:effectExtent l="0" t="0" r="0" b="6985"/>
          <wp:wrapNone/>
          <wp:docPr id="10" name="Picture 10"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14:sizeRelH relativeFrom="page">
            <wp14:pctWidth>0</wp14:pctWidth>
          </wp14:sizeRelH>
          <wp14:sizeRelV relativeFrom="page">
            <wp14:pctHeight>0</wp14:pctHeight>
          </wp14:sizeRelV>
        </wp:anchor>
      </w:drawing>
    </w:r>
    <w:r w:rsidR="005647BF" w:rsidRPr="00932443">
      <w:rPr>
        <w:szCs w:val="16"/>
      </w:rPr>
      <w:tab/>
    </w:r>
    <w:r w:rsidR="009120C7">
      <w:rPr>
        <w:rStyle w:val="ZpatChar"/>
        <w:szCs w:val="16"/>
      </w:rPr>
      <w:t>2021</w:t>
    </w:r>
    <w:r w:rsidR="005647BF" w:rsidRPr="00932443">
      <w:rPr>
        <w:szCs w:val="16"/>
      </w:rPr>
      <w:tab/>
    </w:r>
    <w:r w:rsidR="005647BF" w:rsidRPr="00932443">
      <w:rPr>
        <w:rStyle w:val="ZpatChar"/>
        <w:szCs w:val="16"/>
      </w:rPr>
      <w:fldChar w:fldCharType="begin"/>
    </w:r>
    <w:r w:rsidR="005647BF" w:rsidRPr="00932443">
      <w:rPr>
        <w:rStyle w:val="ZpatChar"/>
        <w:szCs w:val="16"/>
      </w:rPr>
      <w:instrText>PAGE   \* MERGEFORMAT</w:instrText>
    </w:r>
    <w:r w:rsidR="005647BF" w:rsidRPr="00932443">
      <w:rPr>
        <w:rStyle w:val="ZpatChar"/>
        <w:szCs w:val="16"/>
      </w:rPr>
      <w:fldChar w:fldCharType="separate"/>
    </w:r>
    <w:r w:rsidR="00BF664A">
      <w:rPr>
        <w:rStyle w:val="ZpatChar"/>
        <w:szCs w:val="16"/>
      </w:rPr>
      <w:t>69</w:t>
    </w:r>
    <w:r w:rsidR="005647BF"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18E021" w14:textId="77777777" w:rsidR="00971DA2" w:rsidRDefault="00971DA2" w:rsidP="00E71A58">
      <w:r>
        <w:separator/>
      </w:r>
    </w:p>
  </w:footnote>
  <w:footnote w:type="continuationSeparator" w:id="0">
    <w:p w14:paraId="1C8907F1" w14:textId="77777777" w:rsidR="00971DA2" w:rsidRDefault="00971DA2" w:rsidP="00E71A58">
      <w:r>
        <w:continuationSeparator/>
      </w:r>
    </w:p>
  </w:footnote>
  <w:footnote w:id="1">
    <w:p w14:paraId="4152D8A2" w14:textId="6F6ED9B1" w:rsidR="00142D08" w:rsidRDefault="00142D08" w:rsidP="00142D08">
      <w:pPr>
        <w:pStyle w:val="Textpoznpodarou"/>
      </w:pPr>
      <w:r>
        <w:rPr>
          <w:rStyle w:val="Znakapoznpodarou"/>
        </w:rPr>
        <w:footnoteRef/>
      </w:r>
      <w:r>
        <w:t xml:space="preserve"> </w:t>
      </w:r>
      <w:r w:rsidRPr="00F71C3C">
        <w:rPr>
          <w:sz w:val="16"/>
          <w:szCs w:val="16"/>
        </w:rPr>
        <w:t>Tato hodnota podílu na HDP v roce 2018 v Česku je bez započtení výdajů na dlouhodobou sociální péči. Při zahrnutí těcht</w:t>
      </w:r>
      <w:r w:rsidR="00DF5092">
        <w:rPr>
          <w:sz w:val="16"/>
          <w:szCs w:val="16"/>
        </w:rPr>
        <w:t>o výdajů činil podíl na HDP 8,03</w:t>
      </w:r>
      <w:r w:rsidRPr="00F71C3C">
        <w:rPr>
          <w:sz w:val="16"/>
          <w:szCs w:val="16"/>
        </w:rPr>
        <w:t>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CF5F58" w14:textId="77777777" w:rsidR="00515C74" w:rsidRPr="00553C81" w:rsidRDefault="00553C81" w:rsidP="00553C81">
    <w:pPr>
      <w:pStyle w:val="Nadpis1"/>
      <w:rPr>
        <w:b w:val="0"/>
        <w:color w:val="auto"/>
        <w:sz w:val="16"/>
        <w:szCs w:val="16"/>
      </w:rPr>
    </w:pPr>
    <w:r w:rsidRPr="002175EE">
      <w:rPr>
        <w:b w:val="0"/>
        <w:color w:val="auto"/>
        <w:sz w:val="16"/>
        <w:szCs w:val="16"/>
      </w:rPr>
      <w:t xml:space="preserve">Výsledky </w:t>
    </w:r>
    <w:r>
      <w:rPr>
        <w:b w:val="0"/>
        <w:color w:val="auto"/>
        <w:sz w:val="16"/>
        <w:szCs w:val="16"/>
      </w:rPr>
      <w:t>zdravotnických účtů ČR 2010–2019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1F9C0D" w14:textId="77777777" w:rsidR="00B5752E" w:rsidRPr="009120C7" w:rsidRDefault="009120C7" w:rsidP="009120C7">
    <w:pPr>
      <w:pStyle w:val="Nadpis1"/>
      <w:rPr>
        <w:b w:val="0"/>
        <w:color w:val="auto"/>
        <w:sz w:val="16"/>
        <w:szCs w:val="16"/>
      </w:rPr>
    </w:pPr>
    <w:r w:rsidRPr="002175EE">
      <w:rPr>
        <w:b w:val="0"/>
        <w:color w:val="auto"/>
        <w:sz w:val="16"/>
        <w:szCs w:val="16"/>
      </w:rPr>
      <w:t xml:space="preserve">Výsledky </w:t>
    </w:r>
    <w:r>
      <w:rPr>
        <w:b w:val="0"/>
        <w:color w:val="auto"/>
        <w:sz w:val="16"/>
        <w:szCs w:val="16"/>
      </w:rPr>
      <w:t>zdravotnických účtů ČR 2010–2019</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0.75pt;height:10.7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20C7"/>
    <w:rsid w:val="0000209D"/>
    <w:rsid w:val="00004D5A"/>
    <w:rsid w:val="000056D5"/>
    <w:rsid w:val="0000767A"/>
    <w:rsid w:val="00010702"/>
    <w:rsid w:val="00016992"/>
    <w:rsid w:val="000234D6"/>
    <w:rsid w:val="00023D29"/>
    <w:rsid w:val="00026389"/>
    <w:rsid w:val="00031AE0"/>
    <w:rsid w:val="000322EF"/>
    <w:rsid w:val="00033FCD"/>
    <w:rsid w:val="00041CEC"/>
    <w:rsid w:val="0004694F"/>
    <w:rsid w:val="000522E4"/>
    <w:rsid w:val="000610E1"/>
    <w:rsid w:val="00062EC5"/>
    <w:rsid w:val="00062F22"/>
    <w:rsid w:val="000712B3"/>
    <w:rsid w:val="0008263E"/>
    <w:rsid w:val="00082C19"/>
    <w:rsid w:val="00084940"/>
    <w:rsid w:val="00085395"/>
    <w:rsid w:val="00087634"/>
    <w:rsid w:val="00087F2B"/>
    <w:rsid w:val="000974D1"/>
    <w:rsid w:val="0009799E"/>
    <w:rsid w:val="000A1183"/>
    <w:rsid w:val="000A256D"/>
    <w:rsid w:val="000A3A2C"/>
    <w:rsid w:val="000B30FA"/>
    <w:rsid w:val="000C3408"/>
    <w:rsid w:val="000C6AFD"/>
    <w:rsid w:val="000D5637"/>
    <w:rsid w:val="000E6FBD"/>
    <w:rsid w:val="00100F5C"/>
    <w:rsid w:val="0010437D"/>
    <w:rsid w:val="00104C4C"/>
    <w:rsid w:val="0012192F"/>
    <w:rsid w:val="00125D69"/>
    <w:rsid w:val="001405FA"/>
    <w:rsid w:val="001425C3"/>
    <w:rsid w:val="00142D08"/>
    <w:rsid w:val="0016256B"/>
    <w:rsid w:val="00163793"/>
    <w:rsid w:val="001706D6"/>
    <w:rsid w:val="001714F2"/>
    <w:rsid w:val="00184B08"/>
    <w:rsid w:val="00185010"/>
    <w:rsid w:val="001A552F"/>
    <w:rsid w:val="001B2CA9"/>
    <w:rsid w:val="001B3110"/>
    <w:rsid w:val="001B4729"/>
    <w:rsid w:val="001B6C09"/>
    <w:rsid w:val="001C05CD"/>
    <w:rsid w:val="001D68B2"/>
    <w:rsid w:val="001F4597"/>
    <w:rsid w:val="002118B9"/>
    <w:rsid w:val="00217C5B"/>
    <w:rsid w:val="0022139E"/>
    <w:rsid w:val="00223001"/>
    <w:rsid w:val="002252E0"/>
    <w:rsid w:val="002255F6"/>
    <w:rsid w:val="00227850"/>
    <w:rsid w:val="00227A53"/>
    <w:rsid w:val="00230C6E"/>
    <w:rsid w:val="00236443"/>
    <w:rsid w:val="002436BA"/>
    <w:rsid w:val="00244A15"/>
    <w:rsid w:val="00247319"/>
    <w:rsid w:val="0024799E"/>
    <w:rsid w:val="00253C0F"/>
    <w:rsid w:val="00271465"/>
    <w:rsid w:val="00285412"/>
    <w:rsid w:val="002A00BE"/>
    <w:rsid w:val="002A16D4"/>
    <w:rsid w:val="002A230C"/>
    <w:rsid w:val="002C43BD"/>
    <w:rsid w:val="002D0E59"/>
    <w:rsid w:val="002E02A1"/>
    <w:rsid w:val="002E4E4C"/>
    <w:rsid w:val="00304771"/>
    <w:rsid w:val="003052D4"/>
    <w:rsid w:val="00306C5B"/>
    <w:rsid w:val="003209D6"/>
    <w:rsid w:val="00321924"/>
    <w:rsid w:val="0032656E"/>
    <w:rsid w:val="00332190"/>
    <w:rsid w:val="00344668"/>
    <w:rsid w:val="003462D9"/>
    <w:rsid w:val="00360C86"/>
    <w:rsid w:val="003657F3"/>
    <w:rsid w:val="003818DC"/>
    <w:rsid w:val="00384327"/>
    <w:rsid w:val="00385D98"/>
    <w:rsid w:val="003A2B4D"/>
    <w:rsid w:val="003A478C"/>
    <w:rsid w:val="003A5525"/>
    <w:rsid w:val="003A6B38"/>
    <w:rsid w:val="003B5A32"/>
    <w:rsid w:val="003C3490"/>
    <w:rsid w:val="003D6920"/>
    <w:rsid w:val="003E4C91"/>
    <w:rsid w:val="003F313C"/>
    <w:rsid w:val="003F4B2C"/>
    <w:rsid w:val="003F551C"/>
    <w:rsid w:val="003F7D23"/>
    <w:rsid w:val="00407C13"/>
    <w:rsid w:val="00410638"/>
    <w:rsid w:val="00432A58"/>
    <w:rsid w:val="00434617"/>
    <w:rsid w:val="00440900"/>
    <w:rsid w:val="004441A0"/>
    <w:rsid w:val="00460FB3"/>
    <w:rsid w:val="00476240"/>
    <w:rsid w:val="00476439"/>
    <w:rsid w:val="0047735C"/>
    <w:rsid w:val="004776BC"/>
    <w:rsid w:val="0048139F"/>
    <w:rsid w:val="00481E40"/>
    <w:rsid w:val="00484ECE"/>
    <w:rsid w:val="004900FF"/>
    <w:rsid w:val="004915CB"/>
    <w:rsid w:val="004924DC"/>
    <w:rsid w:val="004A14E4"/>
    <w:rsid w:val="004A3212"/>
    <w:rsid w:val="004A61C5"/>
    <w:rsid w:val="004A77DF"/>
    <w:rsid w:val="004B1417"/>
    <w:rsid w:val="004B55B7"/>
    <w:rsid w:val="004B6468"/>
    <w:rsid w:val="004C384C"/>
    <w:rsid w:val="004C3867"/>
    <w:rsid w:val="004C4CD0"/>
    <w:rsid w:val="004C70DC"/>
    <w:rsid w:val="004D0211"/>
    <w:rsid w:val="004D0794"/>
    <w:rsid w:val="004D5B48"/>
    <w:rsid w:val="004F06F5"/>
    <w:rsid w:val="004F33A0"/>
    <w:rsid w:val="00500A8A"/>
    <w:rsid w:val="005108C0"/>
    <w:rsid w:val="00511873"/>
    <w:rsid w:val="00512A2F"/>
    <w:rsid w:val="00513B7E"/>
    <w:rsid w:val="00515C74"/>
    <w:rsid w:val="0052007E"/>
    <w:rsid w:val="0052337A"/>
    <w:rsid w:val="00525137"/>
    <w:rsid w:val="005251DD"/>
    <w:rsid w:val="00532CE7"/>
    <w:rsid w:val="0053324C"/>
    <w:rsid w:val="00534A28"/>
    <w:rsid w:val="00541508"/>
    <w:rsid w:val="00553C81"/>
    <w:rsid w:val="0055599F"/>
    <w:rsid w:val="00556D68"/>
    <w:rsid w:val="005647BF"/>
    <w:rsid w:val="0057364B"/>
    <w:rsid w:val="00574773"/>
    <w:rsid w:val="00583FFD"/>
    <w:rsid w:val="005911BE"/>
    <w:rsid w:val="00593152"/>
    <w:rsid w:val="005A10F2"/>
    <w:rsid w:val="005A21E0"/>
    <w:rsid w:val="005A28FF"/>
    <w:rsid w:val="005A3DF8"/>
    <w:rsid w:val="005A5549"/>
    <w:rsid w:val="005B121D"/>
    <w:rsid w:val="005C06ED"/>
    <w:rsid w:val="005D5802"/>
    <w:rsid w:val="005D7890"/>
    <w:rsid w:val="005E7C78"/>
    <w:rsid w:val="005F3EB1"/>
    <w:rsid w:val="005F5469"/>
    <w:rsid w:val="00604307"/>
    <w:rsid w:val="0060487F"/>
    <w:rsid w:val="00604EAD"/>
    <w:rsid w:val="006104FB"/>
    <w:rsid w:val="00612A2F"/>
    <w:rsid w:val="00616E05"/>
    <w:rsid w:val="00624093"/>
    <w:rsid w:val="006404A7"/>
    <w:rsid w:val="006451E4"/>
    <w:rsid w:val="00645B33"/>
    <w:rsid w:val="006516CB"/>
    <w:rsid w:val="00657E87"/>
    <w:rsid w:val="00664803"/>
    <w:rsid w:val="00665BA4"/>
    <w:rsid w:val="00667AF2"/>
    <w:rsid w:val="006710C9"/>
    <w:rsid w:val="00674D89"/>
    <w:rsid w:val="00675E37"/>
    <w:rsid w:val="0068174E"/>
    <w:rsid w:val="00681DCE"/>
    <w:rsid w:val="0068260E"/>
    <w:rsid w:val="00695BEF"/>
    <w:rsid w:val="006977F6"/>
    <w:rsid w:val="00697A13"/>
    <w:rsid w:val="006A109C"/>
    <w:rsid w:val="006B344A"/>
    <w:rsid w:val="006B78D8"/>
    <w:rsid w:val="006C113F"/>
    <w:rsid w:val="006C123E"/>
    <w:rsid w:val="006C2260"/>
    <w:rsid w:val="006C56D4"/>
    <w:rsid w:val="006C6924"/>
    <w:rsid w:val="006C7CA6"/>
    <w:rsid w:val="006D3E8A"/>
    <w:rsid w:val="006D61F6"/>
    <w:rsid w:val="006E279A"/>
    <w:rsid w:val="006E313B"/>
    <w:rsid w:val="006F5416"/>
    <w:rsid w:val="006F7137"/>
    <w:rsid w:val="00706AD4"/>
    <w:rsid w:val="007140BE"/>
    <w:rsid w:val="007211F5"/>
    <w:rsid w:val="007241C2"/>
    <w:rsid w:val="00725BB5"/>
    <w:rsid w:val="00730AE8"/>
    <w:rsid w:val="00741493"/>
    <w:rsid w:val="00752180"/>
    <w:rsid w:val="00755202"/>
    <w:rsid w:val="00755D3A"/>
    <w:rsid w:val="007578D3"/>
    <w:rsid w:val="007609C6"/>
    <w:rsid w:val="0076175D"/>
    <w:rsid w:val="0076521E"/>
    <w:rsid w:val="007661E9"/>
    <w:rsid w:val="00776169"/>
    <w:rsid w:val="00776527"/>
    <w:rsid w:val="00780EF1"/>
    <w:rsid w:val="00790764"/>
    <w:rsid w:val="0079453C"/>
    <w:rsid w:val="00794677"/>
    <w:rsid w:val="007B6689"/>
    <w:rsid w:val="007D40DF"/>
    <w:rsid w:val="007E7E61"/>
    <w:rsid w:val="007F0845"/>
    <w:rsid w:val="00807C82"/>
    <w:rsid w:val="00816905"/>
    <w:rsid w:val="00821FF6"/>
    <w:rsid w:val="00825C4D"/>
    <w:rsid w:val="0083143E"/>
    <w:rsid w:val="00831CDE"/>
    <w:rsid w:val="00834304"/>
    <w:rsid w:val="00834FAA"/>
    <w:rsid w:val="00836086"/>
    <w:rsid w:val="0084708F"/>
    <w:rsid w:val="008477C8"/>
    <w:rsid w:val="0085013A"/>
    <w:rsid w:val="0085114D"/>
    <w:rsid w:val="00852217"/>
    <w:rsid w:val="00855408"/>
    <w:rsid w:val="00856D65"/>
    <w:rsid w:val="00861B41"/>
    <w:rsid w:val="00863434"/>
    <w:rsid w:val="00865E4C"/>
    <w:rsid w:val="008701E4"/>
    <w:rsid w:val="00875A32"/>
    <w:rsid w:val="00876086"/>
    <w:rsid w:val="008873D4"/>
    <w:rsid w:val="00893E85"/>
    <w:rsid w:val="00894031"/>
    <w:rsid w:val="008B7C02"/>
    <w:rsid w:val="008B7D2B"/>
    <w:rsid w:val="008C0049"/>
    <w:rsid w:val="008C0E88"/>
    <w:rsid w:val="008D1E6A"/>
    <w:rsid w:val="008D2A16"/>
    <w:rsid w:val="008E2C57"/>
    <w:rsid w:val="008E31FF"/>
    <w:rsid w:val="008E6F06"/>
    <w:rsid w:val="008F029B"/>
    <w:rsid w:val="008F3FC9"/>
    <w:rsid w:val="008F585B"/>
    <w:rsid w:val="009003A8"/>
    <w:rsid w:val="00902500"/>
    <w:rsid w:val="00902EFF"/>
    <w:rsid w:val="00906401"/>
    <w:rsid w:val="0091155E"/>
    <w:rsid w:val="009120C7"/>
    <w:rsid w:val="00912A92"/>
    <w:rsid w:val="0091728D"/>
    <w:rsid w:val="0092180B"/>
    <w:rsid w:val="00921F14"/>
    <w:rsid w:val="00924AC8"/>
    <w:rsid w:val="0092597A"/>
    <w:rsid w:val="00932443"/>
    <w:rsid w:val="00937AE2"/>
    <w:rsid w:val="0094427A"/>
    <w:rsid w:val="00971DA2"/>
    <w:rsid w:val="00974923"/>
    <w:rsid w:val="00980D3D"/>
    <w:rsid w:val="00987A30"/>
    <w:rsid w:val="00992CF3"/>
    <w:rsid w:val="009968D6"/>
    <w:rsid w:val="009A1CAB"/>
    <w:rsid w:val="009A60D1"/>
    <w:rsid w:val="009B6FD3"/>
    <w:rsid w:val="009C1750"/>
    <w:rsid w:val="009C2E29"/>
    <w:rsid w:val="009C554B"/>
    <w:rsid w:val="009C719E"/>
    <w:rsid w:val="009D3ACD"/>
    <w:rsid w:val="009D734B"/>
    <w:rsid w:val="009E5273"/>
    <w:rsid w:val="009E5DDB"/>
    <w:rsid w:val="009F4CA7"/>
    <w:rsid w:val="00A10D66"/>
    <w:rsid w:val="00A14114"/>
    <w:rsid w:val="00A16413"/>
    <w:rsid w:val="00A23E43"/>
    <w:rsid w:val="00A30F65"/>
    <w:rsid w:val="00A418BC"/>
    <w:rsid w:val="00A46DE0"/>
    <w:rsid w:val="00A50D73"/>
    <w:rsid w:val="00A52CAD"/>
    <w:rsid w:val="00A53FC7"/>
    <w:rsid w:val="00A62CE1"/>
    <w:rsid w:val="00A6741E"/>
    <w:rsid w:val="00A75E40"/>
    <w:rsid w:val="00A77D1D"/>
    <w:rsid w:val="00A8158B"/>
    <w:rsid w:val="00A857C0"/>
    <w:rsid w:val="00AA2996"/>
    <w:rsid w:val="00AA52BF"/>
    <w:rsid w:val="00AA559A"/>
    <w:rsid w:val="00AB2AF1"/>
    <w:rsid w:val="00AD306C"/>
    <w:rsid w:val="00AE09B3"/>
    <w:rsid w:val="00AE1A83"/>
    <w:rsid w:val="00B00913"/>
    <w:rsid w:val="00B01593"/>
    <w:rsid w:val="00B10A4D"/>
    <w:rsid w:val="00B161AF"/>
    <w:rsid w:val="00B17E71"/>
    <w:rsid w:val="00B17FDE"/>
    <w:rsid w:val="00B2379C"/>
    <w:rsid w:val="00B2687D"/>
    <w:rsid w:val="00B32DDB"/>
    <w:rsid w:val="00B34528"/>
    <w:rsid w:val="00B402FC"/>
    <w:rsid w:val="00B46604"/>
    <w:rsid w:val="00B530CD"/>
    <w:rsid w:val="00B55F5E"/>
    <w:rsid w:val="00B5752E"/>
    <w:rsid w:val="00B63A11"/>
    <w:rsid w:val="00B64C24"/>
    <w:rsid w:val="00B6608F"/>
    <w:rsid w:val="00B679FB"/>
    <w:rsid w:val="00B76D1E"/>
    <w:rsid w:val="00B80EC6"/>
    <w:rsid w:val="00B92D1D"/>
    <w:rsid w:val="00B938C5"/>
    <w:rsid w:val="00B95940"/>
    <w:rsid w:val="00BB46F3"/>
    <w:rsid w:val="00BB4CB1"/>
    <w:rsid w:val="00BB4F98"/>
    <w:rsid w:val="00BC7154"/>
    <w:rsid w:val="00BD366B"/>
    <w:rsid w:val="00BD6D50"/>
    <w:rsid w:val="00BE18B9"/>
    <w:rsid w:val="00BE2495"/>
    <w:rsid w:val="00BF1578"/>
    <w:rsid w:val="00BF5F54"/>
    <w:rsid w:val="00BF664A"/>
    <w:rsid w:val="00C17915"/>
    <w:rsid w:val="00C21F94"/>
    <w:rsid w:val="00C27913"/>
    <w:rsid w:val="00C27ECC"/>
    <w:rsid w:val="00C33B68"/>
    <w:rsid w:val="00C36A79"/>
    <w:rsid w:val="00C405D4"/>
    <w:rsid w:val="00C4513B"/>
    <w:rsid w:val="00C54697"/>
    <w:rsid w:val="00C73885"/>
    <w:rsid w:val="00C747B1"/>
    <w:rsid w:val="00C82191"/>
    <w:rsid w:val="00C90CF4"/>
    <w:rsid w:val="00C92EB6"/>
    <w:rsid w:val="00C93389"/>
    <w:rsid w:val="00CB4930"/>
    <w:rsid w:val="00CC2E7D"/>
    <w:rsid w:val="00CD10A5"/>
    <w:rsid w:val="00CD2076"/>
    <w:rsid w:val="00CE670B"/>
    <w:rsid w:val="00CF51EC"/>
    <w:rsid w:val="00CF73AE"/>
    <w:rsid w:val="00D040DD"/>
    <w:rsid w:val="00D13986"/>
    <w:rsid w:val="00D235B7"/>
    <w:rsid w:val="00D25F28"/>
    <w:rsid w:val="00D27973"/>
    <w:rsid w:val="00D50F46"/>
    <w:rsid w:val="00D62F16"/>
    <w:rsid w:val="00D66223"/>
    <w:rsid w:val="00D8084C"/>
    <w:rsid w:val="00DA7C0C"/>
    <w:rsid w:val="00DB2EC8"/>
    <w:rsid w:val="00DC5B3B"/>
    <w:rsid w:val="00DD129F"/>
    <w:rsid w:val="00DF42FF"/>
    <w:rsid w:val="00DF5092"/>
    <w:rsid w:val="00E01C0E"/>
    <w:rsid w:val="00E03F9A"/>
    <w:rsid w:val="00E04694"/>
    <w:rsid w:val="00E12B1E"/>
    <w:rsid w:val="00E17262"/>
    <w:rsid w:val="00E253A2"/>
    <w:rsid w:val="00E3309D"/>
    <w:rsid w:val="00E50156"/>
    <w:rsid w:val="00E53470"/>
    <w:rsid w:val="00E539F6"/>
    <w:rsid w:val="00E6519D"/>
    <w:rsid w:val="00E67696"/>
    <w:rsid w:val="00E71A58"/>
    <w:rsid w:val="00E72A7A"/>
    <w:rsid w:val="00E75C94"/>
    <w:rsid w:val="00E93820"/>
    <w:rsid w:val="00EA0C68"/>
    <w:rsid w:val="00EA32BC"/>
    <w:rsid w:val="00EA65D6"/>
    <w:rsid w:val="00EB4511"/>
    <w:rsid w:val="00EC03D7"/>
    <w:rsid w:val="00ED62C6"/>
    <w:rsid w:val="00ED64C1"/>
    <w:rsid w:val="00EE3446"/>
    <w:rsid w:val="00EE3E78"/>
    <w:rsid w:val="00EE4B1B"/>
    <w:rsid w:val="00EF150D"/>
    <w:rsid w:val="00EF1F5A"/>
    <w:rsid w:val="00EF47BF"/>
    <w:rsid w:val="00F04811"/>
    <w:rsid w:val="00F0488C"/>
    <w:rsid w:val="00F05F5E"/>
    <w:rsid w:val="00F10F11"/>
    <w:rsid w:val="00F15AAA"/>
    <w:rsid w:val="00F15BEF"/>
    <w:rsid w:val="00F24407"/>
    <w:rsid w:val="00F24FAA"/>
    <w:rsid w:val="00F3054B"/>
    <w:rsid w:val="00F3364D"/>
    <w:rsid w:val="00F437CC"/>
    <w:rsid w:val="00F47067"/>
    <w:rsid w:val="00F525EB"/>
    <w:rsid w:val="00F63DDE"/>
    <w:rsid w:val="00F63FB7"/>
    <w:rsid w:val="00F649D2"/>
    <w:rsid w:val="00F6602B"/>
    <w:rsid w:val="00F71C3C"/>
    <w:rsid w:val="00F7260E"/>
    <w:rsid w:val="00F73A0C"/>
    <w:rsid w:val="00F756DB"/>
    <w:rsid w:val="00F85066"/>
    <w:rsid w:val="00FA5D4D"/>
    <w:rsid w:val="00FB0EE2"/>
    <w:rsid w:val="00FB542E"/>
    <w:rsid w:val="00FC0E5F"/>
    <w:rsid w:val="00FC1A95"/>
    <w:rsid w:val="00FC56DE"/>
    <w:rsid w:val="00FC684B"/>
    <w:rsid w:val="00FD3265"/>
    <w:rsid w:val="00FE2F78"/>
    <w:rsid w:val="00FF7B96"/>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2447302E"/>
  <w15:docId w15:val="{C96AC723-12B5-4DD4-AD0F-57CCCA478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241C2"/>
    <w:pPr>
      <w:spacing w:before="120" w:line="288" w:lineRule="auto"/>
      <w:jc w:val="both"/>
    </w:pPr>
    <w:rPr>
      <w:rFonts w:ascii="Arial" w:eastAsiaTheme="minorHAnsi" w:hAnsi="Arial" w:cstheme="minorBidi"/>
      <w:szCs w:val="22"/>
    </w:rPr>
  </w:style>
  <w:style w:type="paragraph" w:styleId="Nadpis1">
    <w:name w:val="heading 1"/>
    <w:next w:val="Normln"/>
    <w:link w:val="Nadpis1Char"/>
    <w:uiPriority w:val="9"/>
    <w:qFormat/>
    <w:rsid w:val="004900FF"/>
    <w:pPr>
      <w:keepNext/>
      <w:keepLines/>
      <w:spacing w:after="100" w:line="288" w:lineRule="auto"/>
      <w:contextualSpacing/>
      <w:outlineLvl w:val="0"/>
    </w:pPr>
    <w:rPr>
      <w:rFonts w:ascii="Arial" w:eastAsia="MS Gothic" w:hAnsi="Arial"/>
      <w:b/>
      <w:bCs/>
      <w:color w:val="C00000"/>
      <w:sz w:val="32"/>
      <w:szCs w:val="28"/>
      <w:lang w:eastAsia="cs-CZ"/>
    </w:rPr>
  </w:style>
  <w:style w:type="paragraph" w:styleId="Nadpis2">
    <w:name w:val="heading 2"/>
    <w:next w:val="Normln"/>
    <w:link w:val="Nadpis2Char"/>
    <w:uiPriority w:val="9"/>
    <w:qFormat/>
    <w:rsid w:val="004900FF"/>
    <w:pPr>
      <w:keepNext/>
      <w:keepLines/>
      <w:spacing w:line="288" w:lineRule="auto"/>
      <w:outlineLvl w:val="1"/>
    </w:pPr>
    <w:rPr>
      <w:rFonts w:ascii="Arial" w:eastAsia="MS Gothic" w:hAnsi="Arial"/>
      <w:b/>
      <w:bCs/>
      <w:color w:val="BC091B"/>
      <w:sz w:val="28"/>
      <w:szCs w:val="26"/>
      <w:lang w:eastAsia="cs-CZ"/>
    </w:rPr>
  </w:style>
  <w:style w:type="paragraph" w:styleId="Nadpis3">
    <w:name w:val="heading 3"/>
    <w:next w:val="Normln"/>
    <w:link w:val="Nadpis3Char"/>
    <w:uiPriority w:val="9"/>
    <w:qFormat/>
    <w:rsid w:val="00C17915"/>
    <w:pPr>
      <w:keepNext/>
      <w:keepLines/>
      <w:spacing w:after="100" w:line="288" w:lineRule="auto"/>
      <w:outlineLvl w:val="2"/>
    </w:pPr>
    <w:rPr>
      <w:rFonts w:ascii="Arial" w:eastAsia="MS Gothic" w:hAnsi="Arial"/>
      <w:b/>
      <w:bCs/>
      <w:color w:val="BC091B"/>
      <w:sz w:val="24"/>
      <w:szCs w:val="24"/>
      <w:lang w:eastAsia="cs-CZ"/>
    </w:rPr>
  </w:style>
  <w:style w:type="paragraph" w:styleId="Nadpis4">
    <w:name w:val="heading 4"/>
    <w:next w:val="Normln"/>
    <w:link w:val="Nadpis4Char"/>
    <w:uiPriority w:val="9"/>
    <w:qFormat/>
    <w:rsid w:val="004900FF"/>
    <w:pPr>
      <w:keepNext/>
      <w:keepLines/>
      <w:spacing w:line="288" w:lineRule="auto"/>
      <w:outlineLvl w:val="3"/>
    </w:pPr>
    <w:rPr>
      <w:rFonts w:ascii="Arial" w:eastAsia="MS Gothic" w:hAnsi="Arial"/>
      <w:b/>
      <w:bCs/>
      <w:iCs/>
      <w:color w:val="BC091B"/>
      <w:szCs w:val="24"/>
      <w:lang w:eastAsia="cs-CZ"/>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4900FF"/>
    <w:rPr>
      <w:rFonts w:ascii="Arial" w:eastAsia="MS Gothic" w:hAnsi="Arial"/>
      <w:b/>
      <w:bCs/>
      <w:color w:val="C00000"/>
      <w:sz w:val="32"/>
      <w:szCs w:val="28"/>
    </w:rPr>
  </w:style>
  <w:style w:type="character" w:customStyle="1" w:styleId="Nadpis2Char">
    <w:name w:val="Nadpis 2 Char"/>
    <w:link w:val="Nadpis2"/>
    <w:uiPriority w:val="9"/>
    <w:rsid w:val="004900FF"/>
    <w:rPr>
      <w:rFonts w:ascii="Arial" w:eastAsia="MS Gothic" w:hAnsi="Arial"/>
      <w:b/>
      <w:bCs/>
      <w:color w:val="BC091B"/>
      <w:sz w:val="28"/>
      <w:szCs w:val="26"/>
    </w:rPr>
  </w:style>
  <w:style w:type="character" w:customStyle="1" w:styleId="Nadpis3Char">
    <w:name w:val="Nadpis 3 Char"/>
    <w:link w:val="Nadpis3"/>
    <w:uiPriority w:val="9"/>
    <w:rsid w:val="00C17915"/>
    <w:rPr>
      <w:rFonts w:ascii="Arial" w:eastAsia="MS Gothic" w:hAnsi="Arial"/>
      <w:b/>
      <w:bCs/>
      <w:color w:val="BC091B"/>
      <w:sz w:val="24"/>
      <w:szCs w:val="24"/>
      <w:lang w:eastAsia="cs-CZ"/>
    </w:rPr>
  </w:style>
  <w:style w:type="character" w:customStyle="1" w:styleId="Nadpis4Char">
    <w:name w:val="Nadpis 4 Char"/>
    <w:link w:val="Nadpis4"/>
    <w:uiPriority w:val="9"/>
    <w:rsid w:val="004900FF"/>
    <w:rPr>
      <w:rFonts w:ascii="Arial" w:eastAsia="MS Gothic" w:hAnsi="Arial"/>
      <w:b/>
      <w:bCs/>
      <w:iCs/>
      <w:color w:val="BC091B"/>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4900FF"/>
    <w:pPr>
      <w:spacing w:after="80" w:line="288" w:lineRule="auto"/>
    </w:pPr>
    <w:rPr>
      <w:rFonts w:ascii="Arial" w:eastAsia="Times New Roman" w:hAnsi="Arial"/>
      <w:b/>
      <w:color w:val="BC091B"/>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4900FF"/>
    <w:pPr>
      <w:shd w:val="clear" w:color="auto" w:fill="F5DADD"/>
      <w:spacing w:before="240" w:after="240" w:line="288" w:lineRule="auto"/>
      <w:ind w:left="709"/>
      <w:contextualSpacing/>
    </w:pPr>
    <w:rPr>
      <w:rFonts w:ascii="Arial" w:hAnsi="Arial" w:cs="Arial"/>
      <w:lang w:eastAsia="cs-CZ"/>
    </w:rPr>
  </w:style>
  <w:style w:type="paragraph" w:customStyle="1" w:styleId="Box2">
    <w:name w:val="Box 2"/>
    <w:qFormat/>
    <w:rsid w:val="004900FF"/>
    <w:pPr>
      <w:spacing w:before="240" w:after="240" w:line="288" w:lineRule="auto"/>
      <w:ind w:left="709"/>
      <w:contextualSpacing/>
    </w:pPr>
    <w:rPr>
      <w:rFonts w:ascii="Arial" w:hAnsi="Arial" w:cs="Arial"/>
      <w:color w:val="BC091B"/>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4900FF"/>
    <w:pPr>
      <w:spacing w:line="288" w:lineRule="auto"/>
    </w:pPr>
    <w:rPr>
      <w:rFonts w:ascii="Arial" w:eastAsia="Times New Roman" w:hAnsi="Arial"/>
      <w:b/>
      <w:bCs/>
      <w:caps/>
      <w:color w:val="BC091B"/>
      <w:kern w:val="28"/>
      <w:sz w:val="56"/>
      <w:szCs w:val="32"/>
      <w:lang w:eastAsia="cs-CZ"/>
    </w:rPr>
  </w:style>
  <w:style w:type="character" w:customStyle="1" w:styleId="NzevChar">
    <w:name w:val="Název Char"/>
    <w:link w:val="Nzev"/>
    <w:uiPriority w:val="10"/>
    <w:rsid w:val="004900FF"/>
    <w:rPr>
      <w:rFonts w:ascii="Arial" w:eastAsia="Times New Roman" w:hAnsi="Arial"/>
      <w:b/>
      <w:bCs/>
      <w:caps/>
      <w:color w:val="BC091B"/>
      <w:kern w:val="28"/>
      <w:sz w:val="56"/>
      <w:szCs w:val="32"/>
    </w:rPr>
  </w:style>
  <w:style w:type="paragraph" w:styleId="Podnadpis">
    <w:name w:val="Subtitle"/>
    <w:link w:val="PodnadpisChar"/>
    <w:uiPriority w:val="11"/>
    <w:qFormat/>
    <w:rsid w:val="004900FF"/>
    <w:pPr>
      <w:spacing w:line="288" w:lineRule="auto"/>
    </w:pPr>
    <w:rPr>
      <w:rFonts w:ascii="Arial" w:eastAsia="Times New Roman" w:hAnsi="Arial" w:cs="Arial"/>
      <w:b/>
      <w:color w:val="BC091B"/>
      <w:sz w:val="28"/>
      <w:szCs w:val="24"/>
      <w:lang w:eastAsia="cs-CZ"/>
    </w:rPr>
  </w:style>
  <w:style w:type="character" w:customStyle="1" w:styleId="PodnadpisChar">
    <w:name w:val="Podnadpis Char"/>
    <w:link w:val="Podnadpis"/>
    <w:uiPriority w:val="11"/>
    <w:rsid w:val="004900FF"/>
    <w:rPr>
      <w:rFonts w:ascii="Arial" w:eastAsia="Times New Roman" w:hAnsi="Arial" w:cs="Arial"/>
      <w:b/>
      <w:color w:val="BC091B"/>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styleId="Odkaznakoment">
    <w:name w:val="annotation reference"/>
    <w:basedOn w:val="Standardnpsmoodstavce"/>
    <w:uiPriority w:val="99"/>
    <w:semiHidden/>
    <w:unhideWhenUsed/>
    <w:rsid w:val="00D62F16"/>
    <w:rPr>
      <w:sz w:val="16"/>
      <w:szCs w:val="16"/>
    </w:rPr>
  </w:style>
  <w:style w:type="paragraph" w:styleId="Textkomente">
    <w:name w:val="annotation text"/>
    <w:basedOn w:val="Normln"/>
    <w:link w:val="TextkomenteChar"/>
    <w:uiPriority w:val="99"/>
    <w:unhideWhenUsed/>
    <w:rsid w:val="00D62F16"/>
    <w:pPr>
      <w:spacing w:line="240" w:lineRule="auto"/>
    </w:pPr>
    <w:rPr>
      <w:szCs w:val="20"/>
    </w:rPr>
  </w:style>
  <w:style w:type="character" w:customStyle="1" w:styleId="TextkomenteChar">
    <w:name w:val="Text komentáře Char"/>
    <w:basedOn w:val="Standardnpsmoodstavce"/>
    <w:link w:val="Textkomente"/>
    <w:uiPriority w:val="99"/>
    <w:rsid w:val="00D62F16"/>
    <w:rPr>
      <w:rFonts w:ascii="Arial" w:eastAsiaTheme="minorHAnsi" w:hAnsi="Arial" w:cstheme="minorBidi"/>
    </w:rPr>
  </w:style>
  <w:style w:type="paragraph" w:styleId="Textpoznpodarou">
    <w:name w:val="footnote text"/>
    <w:basedOn w:val="Normln"/>
    <w:link w:val="TextpoznpodarouChar"/>
    <w:uiPriority w:val="99"/>
    <w:semiHidden/>
    <w:unhideWhenUsed/>
    <w:rsid w:val="00142D08"/>
    <w:pPr>
      <w:spacing w:line="240" w:lineRule="auto"/>
    </w:pPr>
    <w:rPr>
      <w:szCs w:val="20"/>
    </w:rPr>
  </w:style>
  <w:style w:type="character" w:customStyle="1" w:styleId="TextpoznpodarouChar">
    <w:name w:val="Text pozn. pod čarou Char"/>
    <w:basedOn w:val="Standardnpsmoodstavce"/>
    <w:link w:val="Textpoznpodarou"/>
    <w:uiPriority w:val="99"/>
    <w:semiHidden/>
    <w:rsid w:val="00142D08"/>
    <w:rPr>
      <w:rFonts w:ascii="Arial" w:eastAsiaTheme="minorHAnsi" w:hAnsi="Arial" w:cstheme="minorBidi"/>
    </w:rPr>
  </w:style>
  <w:style w:type="character" w:styleId="Znakapoznpodarou">
    <w:name w:val="footnote reference"/>
    <w:basedOn w:val="Standardnpsmoodstavce"/>
    <w:uiPriority w:val="99"/>
    <w:semiHidden/>
    <w:unhideWhenUsed/>
    <w:rsid w:val="00142D08"/>
    <w:rPr>
      <w:vertAlign w:val="superscript"/>
    </w:rPr>
  </w:style>
  <w:style w:type="paragraph" w:styleId="Titulek">
    <w:name w:val="caption"/>
    <w:basedOn w:val="Normln"/>
    <w:next w:val="Normln"/>
    <w:uiPriority w:val="35"/>
    <w:unhideWhenUsed/>
    <w:qFormat/>
    <w:rsid w:val="00142D08"/>
    <w:pPr>
      <w:spacing w:after="200" w:line="240" w:lineRule="auto"/>
    </w:pPr>
    <w:rPr>
      <w:i/>
      <w:iCs/>
      <w:color w:val="1F497D" w:themeColor="text2"/>
      <w:sz w:val="18"/>
      <w:szCs w:val="18"/>
    </w:rPr>
  </w:style>
  <w:style w:type="paragraph" w:styleId="Pedmtkomente">
    <w:name w:val="annotation subject"/>
    <w:basedOn w:val="Textkomente"/>
    <w:next w:val="Textkomente"/>
    <w:link w:val="PedmtkomenteChar"/>
    <w:uiPriority w:val="99"/>
    <w:semiHidden/>
    <w:unhideWhenUsed/>
    <w:rsid w:val="004D5B48"/>
    <w:rPr>
      <w:b/>
      <w:bCs/>
    </w:rPr>
  </w:style>
  <w:style w:type="character" w:customStyle="1" w:styleId="PedmtkomenteChar">
    <w:name w:val="Předmět komentáře Char"/>
    <w:basedOn w:val="TextkomenteChar"/>
    <w:link w:val="Pedmtkomente"/>
    <w:uiPriority w:val="99"/>
    <w:semiHidden/>
    <w:rsid w:val="004D5B48"/>
    <w:rPr>
      <w:rFonts w:ascii="Arial" w:eastAsiaTheme="minorHAnsi" w:hAnsi="Arial" w:cstheme="minorBidi"/>
      <w:b/>
      <w:bCs/>
    </w:rPr>
  </w:style>
  <w:style w:type="paragraph" w:styleId="Revize">
    <w:name w:val="Revision"/>
    <w:hidden/>
    <w:uiPriority w:val="99"/>
    <w:semiHidden/>
    <w:rsid w:val="00EA65D6"/>
    <w:rPr>
      <w:rFonts w:ascii="Arial" w:eastAsiaTheme="minorHAnsi" w:hAnsi="Arial"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hart" Target="charts/chart1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fontTable" Target="fontTable.xml"/><Relationship Id="rId10" Type="http://schemas.openxmlformats.org/officeDocument/2006/relationships/chart" Target="charts/chart3.xm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hykysova23070\Documents\ved\kontroly\zdravotnictv&#237;\2021_1\Publikace%20bar%20CZ_lide%20a%20spolecnost_2017-08-14.dotx" TargetMode="Externa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D:\cermakova38818\Nikola\Mezin&#225;rodn&#237;%20srovn&#225;n&#237;%202018\Tabulky_mezin&#225;rodn&#237;_srovn&#225;n&#237;_2018.xlsx" TargetMode="External"/></Relationships>
</file>

<file path=word/charts/_rels/chart10.xml.rels><?xml version="1.0" encoding="UTF-8" standalone="yes"?>
<Relationships xmlns="http://schemas.openxmlformats.org/package/2006/relationships"><Relationship Id="rId3" Type="http://schemas.openxmlformats.org/officeDocument/2006/relationships/themeOverride" Target="../theme/themeOverride7.xml"/><Relationship Id="rId2" Type="http://schemas.microsoft.com/office/2011/relationships/chartColorStyle" Target="colors10.xml"/><Relationship Id="rId1" Type="http://schemas.microsoft.com/office/2011/relationships/chartStyle" Target="style10.xml"/><Relationship Id="rId4" Type="http://schemas.openxmlformats.org/officeDocument/2006/relationships/oleObject" Target="file:///C:\Users\nikac\Desktop\kontroly\Tabulky_mezin&#225;rodn&#237;_srovn&#225;n&#237;_2018.xlsx" TargetMode="External"/></Relationships>
</file>

<file path=word/charts/_rels/chart11.xml.rels><?xml version="1.0" encoding="UTF-8" standalone="yes"?>
<Relationships xmlns="http://schemas.openxmlformats.org/package/2006/relationships"><Relationship Id="rId3" Type="http://schemas.openxmlformats.org/officeDocument/2006/relationships/oleObject" Target="file:///C:\Users\nikac\Desktop\kontroly\Tabulky_mezin&#225;rodn&#237;_srovn&#225;n&#237;_2018.xlsx" TargetMode="External"/><Relationship Id="rId2" Type="http://schemas.microsoft.com/office/2011/relationships/chartColorStyle" Target="colors11.xml"/><Relationship Id="rId1" Type="http://schemas.microsoft.com/office/2011/relationships/chartStyle" Target="style11.xml"/></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oleObject" Target="file:///C:\Users\nikac\Desktop\kontroly\Tabulky_mezin&#225;rodn&#237;_srovn&#225;n&#237;_2018.xlsx" TargetMode="External"/></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oleObject" Target="file:///C:\Users\nikac\Desktop\kontroly\Tabulky_mezin&#225;rodn&#237;_srovn&#225;n&#237;_2018.xlsx" TargetMode="External"/></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oleObject" Target="file:///C:\Users\nikac\Desktop\kontroly\Tabulky_mezin&#225;rodn&#237;_srovn&#225;n&#237;_2018.xlsx" TargetMode="External"/></Relationships>
</file>

<file path=word/charts/_rels/chart5.xml.rels><?xml version="1.0" encoding="UTF-8" standalone="yes"?>
<Relationships xmlns="http://schemas.openxmlformats.org/package/2006/relationships"><Relationship Id="rId3" Type="http://schemas.openxmlformats.org/officeDocument/2006/relationships/themeOverride" Target="../theme/themeOverride5.xml"/><Relationship Id="rId2" Type="http://schemas.microsoft.com/office/2011/relationships/chartColorStyle" Target="colors5.xml"/><Relationship Id="rId1" Type="http://schemas.microsoft.com/office/2011/relationships/chartStyle" Target="style5.xml"/><Relationship Id="rId4" Type="http://schemas.openxmlformats.org/officeDocument/2006/relationships/oleObject" Target="file:///C:\Users\nikac\Desktop\kontroly\Tabulky_mezin&#225;rodn&#237;_srovn&#225;n&#237;_2018.xlsx" TargetMode="External"/></Relationships>
</file>

<file path=word/charts/_rels/chart6.xml.rels><?xml version="1.0" encoding="UTF-8" standalone="yes"?>
<Relationships xmlns="http://schemas.openxmlformats.org/package/2006/relationships"><Relationship Id="rId3" Type="http://schemas.openxmlformats.org/officeDocument/2006/relationships/oleObject" Target="file:///C:\Users\nikac\Desktop\kontroly\Tabulky_mezin&#225;rodn&#237;_srovn&#225;n&#237;_2018.xlsx" TargetMode="External"/><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themeOverride" Target="../theme/themeOverride6.xml"/><Relationship Id="rId2" Type="http://schemas.microsoft.com/office/2011/relationships/chartColorStyle" Target="colors7.xml"/><Relationship Id="rId1" Type="http://schemas.microsoft.com/office/2011/relationships/chartStyle" Target="style7.xml"/><Relationship Id="rId4" Type="http://schemas.openxmlformats.org/officeDocument/2006/relationships/oleObject" Target="file:///C:\Users\nikac\Desktop\kontroly\Tabulky_mezin&#225;rodn&#237;_srovn&#225;n&#237;_2018.xlsx" TargetMode="External"/></Relationships>
</file>

<file path=word/charts/_rels/chart8.xml.rels><?xml version="1.0" encoding="UTF-8" standalone="yes"?>
<Relationships xmlns="http://schemas.openxmlformats.org/package/2006/relationships"><Relationship Id="rId3" Type="http://schemas.openxmlformats.org/officeDocument/2006/relationships/oleObject" Target="file:///C:\Users\nikac\Desktop\kontroly\Tabulky_mezin&#225;rodn&#237;_srovn&#225;n&#237;_2018.xlsx" TargetMode="External"/><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oleObject" Target="file:///C:\Users\nikac\Desktop\kontroly\Tabulky_mezin&#225;rodn&#237;_srovn&#225;n&#237;_2018.xlsx" TargetMode="External"/><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1776541908360301"/>
          <c:y val="5.6437389770723101E-2"/>
          <c:w val="0.85266483678602356"/>
          <c:h val="0.64950225987094579"/>
        </c:manualLayout>
      </c:layout>
      <c:barChart>
        <c:barDir val="col"/>
        <c:grouping val="clustered"/>
        <c:varyColors val="0"/>
        <c:ser>
          <c:idx val="0"/>
          <c:order val="0"/>
          <c:spPr>
            <a:solidFill>
              <a:schemeClr val="accent1"/>
            </a:solidFill>
            <a:ln>
              <a:noFill/>
            </a:ln>
            <a:effectLst/>
          </c:spPr>
          <c:invertIfNegative val="0"/>
          <c:dPt>
            <c:idx val="2"/>
            <c:invertIfNegative val="0"/>
            <c:bubble3D val="0"/>
            <c:spPr>
              <a:solidFill>
                <a:srgbClr val="FFFF00"/>
              </a:solidFill>
              <a:ln>
                <a:solidFill>
                  <a:srgbClr val="FFFF00"/>
                </a:solidFill>
              </a:ln>
              <a:effectLst/>
            </c:spPr>
            <c:extLst>
              <c:ext xmlns:c16="http://schemas.microsoft.com/office/drawing/2014/chart" uri="{C3380CC4-5D6E-409C-BE32-E72D297353CC}">
                <c16:uniqueId val="{00000001-601F-4B40-A9D4-F128B6C952A4}"/>
              </c:ext>
            </c:extLst>
          </c:dPt>
          <c:dLbls>
            <c:spPr>
              <a:noFill/>
              <a:ln>
                <a:noFill/>
              </a:ln>
              <a:effectLst/>
            </c:spPr>
            <c:txPr>
              <a:bodyPr rot="-5400000" spcFirstLastPara="1" vertOverflow="ellipsis" wrap="square" anchor="ctr" anchorCtr="1"/>
              <a:lstStyle/>
              <a:p>
                <a:pPr>
                  <a:defRPr sz="8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'celk.výdaje_grafy'!$A$14:$A$29</c:f>
              <c:strCache>
                <c:ptCount val="16"/>
                <c:pt idx="0">
                  <c:v>Finsko</c:v>
                </c:pt>
                <c:pt idx="1">
                  <c:v>Portugalsko</c:v>
                </c:pt>
                <c:pt idx="2">
                  <c:v>Česko</c:v>
                </c:pt>
                <c:pt idx="3">
                  <c:v>Řecko</c:v>
                </c:pt>
                <c:pt idx="4">
                  <c:v>Rumunsko</c:v>
                </c:pt>
                <c:pt idx="5">
                  <c:v>Maďarsko</c:v>
                </c:pt>
                <c:pt idx="6">
                  <c:v>Slovensko</c:v>
                </c:pt>
                <c:pt idx="7">
                  <c:v>Bulharsko</c:v>
                </c:pt>
                <c:pt idx="8">
                  <c:v>Slovinsko</c:v>
                </c:pt>
                <c:pt idx="9">
                  <c:v>Chorvatsko</c:v>
                </c:pt>
                <c:pt idx="10">
                  <c:v>Lucembursko</c:v>
                </c:pt>
                <c:pt idx="11">
                  <c:v>Litva</c:v>
                </c:pt>
                <c:pt idx="12">
                  <c:v>Lotyšsko</c:v>
                </c:pt>
                <c:pt idx="13">
                  <c:v>Estonsko</c:v>
                </c:pt>
                <c:pt idx="14">
                  <c:v>Kypr</c:v>
                </c:pt>
                <c:pt idx="15">
                  <c:v>Malta</c:v>
                </c:pt>
              </c:strCache>
            </c:strRef>
          </c:cat>
          <c:val>
            <c:numRef>
              <c:f>'celk.výdaje_grafy'!$C$14:$C$29</c:f>
              <c:numCache>
                <c:formatCode>0.00</c:formatCode>
                <c:ptCount val="16"/>
                <c:pt idx="0">
                  <c:v>21.116970000000002</c:v>
                </c:pt>
                <c:pt idx="1">
                  <c:v>19.30339</c:v>
                </c:pt>
                <c:pt idx="2">
                  <c:v>15.871889999999999</c:v>
                </c:pt>
                <c:pt idx="3">
                  <c:v>14.251469999999999</c:v>
                </c:pt>
                <c:pt idx="4">
                  <c:v>11.37107</c:v>
                </c:pt>
                <c:pt idx="5">
                  <c:v>8.9634999999999998</c:v>
                </c:pt>
                <c:pt idx="6">
                  <c:v>5.9914100000000001</c:v>
                </c:pt>
                <c:pt idx="7">
                  <c:v>4.1205299999999996</c:v>
                </c:pt>
                <c:pt idx="8">
                  <c:v>3.7971500000000002</c:v>
                </c:pt>
                <c:pt idx="9">
                  <c:v>3.5244599999999999</c:v>
                </c:pt>
                <c:pt idx="10">
                  <c:v>3.1743299999999999</c:v>
                </c:pt>
                <c:pt idx="11">
                  <c:v>2.9728499999999998</c:v>
                </c:pt>
                <c:pt idx="12">
                  <c:v>1.8042199999999999</c:v>
                </c:pt>
                <c:pt idx="13">
                  <c:v>1.73468</c:v>
                </c:pt>
                <c:pt idx="14">
                  <c:v>1.4309799999999999</c:v>
                </c:pt>
                <c:pt idx="15">
                  <c:v>1.1097000000000001</c:v>
                </c:pt>
              </c:numCache>
            </c:numRef>
          </c:val>
          <c:extLst>
            <c:ext xmlns:c16="http://schemas.microsoft.com/office/drawing/2014/chart" uri="{C3380CC4-5D6E-409C-BE32-E72D297353CC}">
              <c16:uniqueId val="{00000002-601F-4B40-A9D4-F128B6C952A4}"/>
            </c:ext>
          </c:extLst>
        </c:ser>
        <c:dLbls>
          <c:dLblPos val="outEnd"/>
          <c:showLegendKey val="0"/>
          <c:showVal val="1"/>
          <c:showCatName val="0"/>
          <c:showSerName val="0"/>
          <c:showPercent val="0"/>
          <c:showBubbleSize val="0"/>
        </c:dLbls>
        <c:gapWidth val="219"/>
        <c:overlap val="-27"/>
        <c:axId val="1697371760"/>
        <c:axId val="1697376336"/>
      </c:barChart>
      <c:catAx>
        <c:axId val="169737176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5400000" spcFirstLastPara="1" vertOverflow="ellipsis"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crossAx val="1697376336"/>
        <c:crosses val="autoZero"/>
        <c:auto val="1"/>
        <c:lblAlgn val="ctr"/>
        <c:lblOffset val="100"/>
        <c:noMultiLvlLbl val="0"/>
      </c:catAx>
      <c:valAx>
        <c:axId val="169737633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r>
                  <a:rPr lang="cs-CZ"/>
                  <a:t>mld. EUR</a:t>
                </a:r>
              </a:p>
            </c:rich>
          </c:tx>
          <c:layout/>
          <c:overlay val="0"/>
          <c:spPr>
            <a:noFill/>
            <a:ln>
              <a:noFill/>
            </a:ln>
            <a:effectLst/>
          </c:spPr>
          <c:txPr>
            <a:bodyPr rot="-54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title>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crossAx val="1697371760"/>
        <c:crosses val="autoZero"/>
        <c:crossBetween val="between"/>
      </c:valAx>
      <c:spPr>
        <a:noFill/>
        <a:ln>
          <a:noFill/>
        </a:ln>
        <a:effectLst/>
      </c:spPr>
    </c:plotArea>
    <c:plotVisOnly val="1"/>
    <c:dispBlanksAs val="gap"/>
    <c:showDLblsOverMax val="0"/>
  </c:chart>
  <c:spPr>
    <a:solidFill>
      <a:schemeClr val="bg1"/>
    </a:solidFill>
    <a:ln w="9525" cap="flat" cmpd="sng" algn="ctr">
      <a:solidFill>
        <a:srgbClr val="D9D9D9"/>
      </a:solidFill>
      <a:round/>
    </a:ln>
    <a:effectLst/>
  </c:spPr>
  <c:txPr>
    <a:bodyPr/>
    <a:lstStyle/>
    <a:p>
      <a:pPr>
        <a:defRPr sz="800">
          <a:latin typeface="Arial" panose="020B0604020202020204" pitchFamily="34" charset="0"/>
          <a:cs typeface="Arial" panose="020B0604020202020204" pitchFamily="34" charset="0"/>
        </a:defRPr>
      </a:pPr>
      <a:endParaRPr lang="cs-CZ"/>
    </a:p>
  </c:txPr>
  <c:externalData r:id="rId4">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percentStacked"/>
        <c:varyColors val="0"/>
        <c:ser>
          <c:idx val="0"/>
          <c:order val="0"/>
          <c:tx>
            <c:strRef>
              <c:f>léky!$B$48</c:f>
              <c:strCache>
                <c:ptCount val="1"/>
                <c:pt idx="0">
                  <c:v>Veřejné zdroje </c:v>
                </c:pt>
              </c:strCache>
            </c:strRef>
          </c:tx>
          <c:spPr>
            <a:solidFill>
              <a:schemeClr val="accent1"/>
            </a:solidFill>
            <a:ln>
              <a:noFill/>
            </a:ln>
            <a:effectLst/>
          </c:spPr>
          <c:invertIfNegative val="0"/>
          <c:dPt>
            <c:idx val="7"/>
            <c:invertIfNegative val="0"/>
            <c:bubble3D val="0"/>
            <c:spPr>
              <a:solidFill>
                <a:schemeClr val="accent1">
                  <a:lumMod val="75000"/>
                </a:schemeClr>
              </a:solidFill>
              <a:ln>
                <a:noFill/>
              </a:ln>
              <a:effectLst/>
            </c:spPr>
            <c:extLst>
              <c:ext xmlns:c16="http://schemas.microsoft.com/office/drawing/2014/chart" uri="{C3380CC4-5D6E-409C-BE32-E72D297353CC}">
                <c16:uniqueId val="{00000001-BA3F-4686-90C7-266DC9E77207}"/>
              </c:ext>
            </c:extLst>
          </c:dPt>
          <c:dPt>
            <c:idx val="13"/>
            <c:invertIfNegative val="0"/>
            <c:bubble3D val="0"/>
            <c:spPr>
              <a:solidFill>
                <a:schemeClr val="accent1">
                  <a:lumMod val="75000"/>
                </a:schemeClr>
              </a:solidFill>
              <a:ln>
                <a:noFill/>
              </a:ln>
              <a:effectLst/>
            </c:spPr>
            <c:extLst>
              <c:ext xmlns:c16="http://schemas.microsoft.com/office/drawing/2014/chart" uri="{C3380CC4-5D6E-409C-BE32-E72D297353CC}">
                <c16:uniqueId val="{00000003-BA3F-4686-90C7-266DC9E77207}"/>
              </c:ext>
            </c:extLst>
          </c:dPt>
          <c:dLbls>
            <c:spPr>
              <a:noFill/>
              <a:ln>
                <a:noFill/>
              </a:ln>
              <a:effectLst/>
            </c:spPr>
            <c:txPr>
              <a:bodyPr rot="-5400000" spcFirstLastPara="1" vertOverflow="ellipsis" wrap="square" anchor="ctr" anchorCtr="1"/>
              <a:lstStyle/>
              <a:p>
                <a:pPr>
                  <a:defRPr sz="800" b="0" i="0" u="none" strike="noStrike" kern="1200" baseline="0">
                    <a:solidFill>
                      <a:schemeClr val="bg1"/>
                    </a:solidFill>
                    <a:latin typeface="Arial" panose="020B0604020202020204" pitchFamily="34" charset="0"/>
                    <a:ea typeface="+mn-ea"/>
                    <a:cs typeface="Arial" panose="020B0604020202020204" pitchFamily="34" charset="0"/>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léky!$A$49:$A$77</c:f>
              <c:strCache>
                <c:ptCount val="29"/>
                <c:pt idx="0">
                  <c:v>Německo</c:v>
                </c:pt>
                <c:pt idx="1">
                  <c:v>Francie</c:v>
                </c:pt>
                <c:pt idx="2">
                  <c:v>Irsko</c:v>
                </c:pt>
                <c:pt idx="3">
                  <c:v>Chorvatsko</c:v>
                </c:pt>
                <c:pt idx="4">
                  <c:v>Belgie</c:v>
                </c:pt>
                <c:pt idx="5">
                  <c:v>Španělsko</c:v>
                </c:pt>
                <c:pt idx="6">
                  <c:v>Slovensko</c:v>
                </c:pt>
                <c:pt idx="7">
                  <c:v>EU28</c:v>
                </c:pt>
                <c:pt idx="8">
                  <c:v>Rakousko</c:v>
                </c:pt>
                <c:pt idx="9">
                  <c:v>Lucembursko</c:v>
                </c:pt>
                <c:pt idx="10">
                  <c:v>Nizozemsko</c:v>
                </c:pt>
                <c:pt idx="11">
                  <c:v>Itálie</c:v>
                </c:pt>
                <c:pt idx="12">
                  <c:v>Velká Británie</c:v>
                </c:pt>
                <c:pt idx="13">
                  <c:v>Česko</c:v>
                </c:pt>
                <c:pt idx="14">
                  <c:v>Finsko</c:v>
                </c:pt>
                <c:pt idx="15">
                  <c:v>Švédsko</c:v>
                </c:pt>
                <c:pt idx="16">
                  <c:v>Portugalsko</c:v>
                </c:pt>
                <c:pt idx="17">
                  <c:v>Řecko</c:v>
                </c:pt>
                <c:pt idx="18">
                  <c:v>Slovinsko</c:v>
                </c:pt>
                <c:pt idx="19">
                  <c:v>Estonsko</c:v>
                </c:pt>
                <c:pt idx="20">
                  <c:v>Rumunsko</c:v>
                </c:pt>
                <c:pt idx="21">
                  <c:v>Maďarsko</c:v>
                </c:pt>
                <c:pt idx="22">
                  <c:v>Malta</c:v>
                </c:pt>
                <c:pt idx="23">
                  <c:v>Dánsko</c:v>
                </c:pt>
                <c:pt idx="24">
                  <c:v>Litva</c:v>
                </c:pt>
                <c:pt idx="25">
                  <c:v>Lotyšsko</c:v>
                </c:pt>
                <c:pt idx="26">
                  <c:v>Polsko</c:v>
                </c:pt>
                <c:pt idx="27">
                  <c:v>Bulharsko</c:v>
                </c:pt>
                <c:pt idx="28">
                  <c:v>Kypr</c:v>
                </c:pt>
              </c:strCache>
            </c:strRef>
          </c:cat>
          <c:val>
            <c:numRef>
              <c:f>léky!$B$49:$B$77</c:f>
              <c:numCache>
                <c:formatCode>0</c:formatCode>
                <c:ptCount val="29"/>
                <c:pt idx="0">
                  <c:v>82.352941176470594</c:v>
                </c:pt>
                <c:pt idx="1">
                  <c:v>80.667550371309034</c:v>
                </c:pt>
                <c:pt idx="2">
                  <c:v>78.675568438650245</c:v>
                </c:pt>
                <c:pt idx="3">
                  <c:v>74.957527264755853</c:v>
                </c:pt>
                <c:pt idx="4">
                  <c:v>70.666508566338507</c:v>
                </c:pt>
                <c:pt idx="5">
                  <c:v>69.491367766431082</c:v>
                </c:pt>
                <c:pt idx="6">
                  <c:v>69.362868563428563</c:v>
                </c:pt>
                <c:pt idx="7">
                  <c:v>68.589128269833623</c:v>
                </c:pt>
                <c:pt idx="8">
                  <c:v>68.411985003045857</c:v>
                </c:pt>
                <c:pt idx="9">
                  <c:v>67.898647893619398</c:v>
                </c:pt>
                <c:pt idx="10">
                  <c:v>67.792479108635092</c:v>
                </c:pt>
                <c:pt idx="11">
                  <c:v>62.562025685931118</c:v>
                </c:pt>
                <c:pt idx="12">
                  <c:v>57.269546855727441</c:v>
                </c:pt>
                <c:pt idx="13">
                  <c:v>56.362364573058834</c:v>
                </c:pt>
                <c:pt idx="14">
                  <c:v>55.794598229980281</c:v>
                </c:pt>
                <c:pt idx="15">
                  <c:v>54.334857883749564</c:v>
                </c:pt>
                <c:pt idx="16">
                  <c:v>54.219446481972582</c:v>
                </c:pt>
                <c:pt idx="17">
                  <c:v>51.899583872658617</c:v>
                </c:pt>
                <c:pt idx="18">
                  <c:v>51.439339502280362</c:v>
                </c:pt>
                <c:pt idx="19">
                  <c:v>50.095848757271284</c:v>
                </c:pt>
                <c:pt idx="20">
                  <c:v>49.743958890880513</c:v>
                </c:pt>
                <c:pt idx="21">
                  <c:v>49.438976786678296</c:v>
                </c:pt>
                <c:pt idx="22">
                  <c:v>47.221626260459132</c:v>
                </c:pt>
                <c:pt idx="23">
                  <c:v>43.88357481728427</c:v>
                </c:pt>
                <c:pt idx="24">
                  <c:v>38.843971198437885</c:v>
                </c:pt>
                <c:pt idx="25">
                  <c:v>38.392483468653218</c:v>
                </c:pt>
                <c:pt idx="26">
                  <c:v>36.899794976543667</c:v>
                </c:pt>
                <c:pt idx="27">
                  <c:v>27.143689386929854</c:v>
                </c:pt>
                <c:pt idx="28">
                  <c:v>16.997667945535245</c:v>
                </c:pt>
              </c:numCache>
            </c:numRef>
          </c:val>
          <c:extLst>
            <c:ext xmlns:c16="http://schemas.microsoft.com/office/drawing/2014/chart" uri="{C3380CC4-5D6E-409C-BE32-E72D297353CC}">
              <c16:uniqueId val="{00000004-BA3F-4686-90C7-266DC9E77207}"/>
            </c:ext>
          </c:extLst>
        </c:ser>
        <c:ser>
          <c:idx val="1"/>
          <c:order val="1"/>
          <c:tx>
            <c:strRef>
              <c:f>léky!$C$48</c:f>
              <c:strCache>
                <c:ptCount val="1"/>
                <c:pt idx="0">
                  <c:v>Přímé výdaje domácností</c:v>
                </c:pt>
              </c:strCache>
            </c:strRef>
          </c:tx>
          <c:spPr>
            <a:solidFill>
              <a:schemeClr val="accent2"/>
            </a:solidFill>
            <a:ln>
              <a:noFill/>
            </a:ln>
            <a:effectLst/>
          </c:spPr>
          <c:invertIfNegative val="0"/>
          <c:dPt>
            <c:idx val="7"/>
            <c:invertIfNegative val="0"/>
            <c:bubble3D val="0"/>
            <c:spPr>
              <a:solidFill>
                <a:schemeClr val="accent2">
                  <a:lumMod val="75000"/>
                </a:schemeClr>
              </a:solidFill>
              <a:ln>
                <a:noFill/>
              </a:ln>
              <a:effectLst/>
            </c:spPr>
            <c:extLst>
              <c:ext xmlns:c16="http://schemas.microsoft.com/office/drawing/2014/chart" uri="{C3380CC4-5D6E-409C-BE32-E72D297353CC}">
                <c16:uniqueId val="{00000006-BA3F-4686-90C7-266DC9E77207}"/>
              </c:ext>
            </c:extLst>
          </c:dPt>
          <c:dPt>
            <c:idx val="13"/>
            <c:invertIfNegative val="0"/>
            <c:bubble3D val="0"/>
            <c:spPr>
              <a:solidFill>
                <a:schemeClr val="accent2">
                  <a:lumMod val="75000"/>
                </a:schemeClr>
              </a:solidFill>
              <a:ln>
                <a:noFill/>
              </a:ln>
              <a:effectLst/>
            </c:spPr>
            <c:extLst>
              <c:ext xmlns:c16="http://schemas.microsoft.com/office/drawing/2014/chart" uri="{C3380CC4-5D6E-409C-BE32-E72D297353CC}">
                <c16:uniqueId val="{00000008-BA3F-4686-90C7-266DC9E77207}"/>
              </c:ext>
            </c:extLst>
          </c:dPt>
          <c:dLbls>
            <c:spPr>
              <a:noFill/>
              <a:ln>
                <a:noFill/>
              </a:ln>
              <a:effectLst/>
            </c:spPr>
            <c:txPr>
              <a:bodyPr rot="-5400000" spcFirstLastPara="1" vertOverflow="ellipsis" wrap="square" anchor="ctr" anchorCtr="1"/>
              <a:lstStyle/>
              <a:p>
                <a:pPr>
                  <a:defRPr sz="800" b="0" i="0" u="none" strike="noStrike" kern="1200" baseline="0">
                    <a:solidFill>
                      <a:schemeClr val="bg1"/>
                    </a:solidFill>
                    <a:latin typeface="Arial" panose="020B0604020202020204" pitchFamily="34" charset="0"/>
                    <a:ea typeface="+mn-ea"/>
                    <a:cs typeface="Arial" panose="020B0604020202020204" pitchFamily="34" charset="0"/>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léky!$A$49:$A$77</c:f>
              <c:strCache>
                <c:ptCount val="29"/>
                <c:pt idx="0">
                  <c:v>Německo</c:v>
                </c:pt>
                <c:pt idx="1">
                  <c:v>Francie</c:v>
                </c:pt>
                <c:pt idx="2">
                  <c:v>Irsko</c:v>
                </c:pt>
                <c:pt idx="3">
                  <c:v>Chorvatsko</c:v>
                </c:pt>
                <c:pt idx="4">
                  <c:v>Belgie</c:v>
                </c:pt>
                <c:pt idx="5">
                  <c:v>Španělsko</c:v>
                </c:pt>
                <c:pt idx="6">
                  <c:v>Slovensko</c:v>
                </c:pt>
                <c:pt idx="7">
                  <c:v>EU28</c:v>
                </c:pt>
                <c:pt idx="8">
                  <c:v>Rakousko</c:v>
                </c:pt>
                <c:pt idx="9">
                  <c:v>Lucembursko</c:v>
                </c:pt>
                <c:pt idx="10">
                  <c:v>Nizozemsko</c:v>
                </c:pt>
                <c:pt idx="11">
                  <c:v>Itálie</c:v>
                </c:pt>
                <c:pt idx="12">
                  <c:v>Velká Británie</c:v>
                </c:pt>
                <c:pt idx="13">
                  <c:v>Česko</c:v>
                </c:pt>
                <c:pt idx="14">
                  <c:v>Finsko</c:v>
                </c:pt>
                <c:pt idx="15">
                  <c:v>Švédsko</c:v>
                </c:pt>
                <c:pt idx="16">
                  <c:v>Portugalsko</c:v>
                </c:pt>
                <c:pt idx="17">
                  <c:v>Řecko</c:v>
                </c:pt>
                <c:pt idx="18">
                  <c:v>Slovinsko</c:v>
                </c:pt>
                <c:pt idx="19">
                  <c:v>Estonsko</c:v>
                </c:pt>
                <c:pt idx="20">
                  <c:v>Rumunsko</c:v>
                </c:pt>
                <c:pt idx="21">
                  <c:v>Maďarsko</c:v>
                </c:pt>
                <c:pt idx="22">
                  <c:v>Malta</c:v>
                </c:pt>
                <c:pt idx="23">
                  <c:v>Dánsko</c:v>
                </c:pt>
                <c:pt idx="24">
                  <c:v>Litva</c:v>
                </c:pt>
                <c:pt idx="25">
                  <c:v>Lotyšsko</c:v>
                </c:pt>
                <c:pt idx="26">
                  <c:v>Polsko</c:v>
                </c:pt>
                <c:pt idx="27">
                  <c:v>Bulharsko</c:v>
                </c:pt>
                <c:pt idx="28">
                  <c:v>Kypr</c:v>
                </c:pt>
              </c:strCache>
            </c:strRef>
          </c:cat>
          <c:val>
            <c:numRef>
              <c:f>léky!$C$49:$C$77</c:f>
              <c:numCache>
                <c:formatCode>0</c:formatCode>
                <c:ptCount val="29"/>
                <c:pt idx="0">
                  <c:v>17.32393331864581</c:v>
                </c:pt>
                <c:pt idx="1">
                  <c:v>12.718443208593097</c:v>
                </c:pt>
                <c:pt idx="2">
                  <c:v>21.324431561349758</c:v>
                </c:pt>
                <c:pt idx="3">
                  <c:v>22.70921247328328</c:v>
                </c:pt>
                <c:pt idx="4">
                  <c:v>29.26928727600847</c:v>
                </c:pt>
                <c:pt idx="5">
                  <c:v>30.508632233568918</c:v>
                </c:pt>
                <c:pt idx="6">
                  <c:v>30.637785642790323</c:v>
                </c:pt>
                <c:pt idx="7">
                  <c:v>30.00447038315513</c:v>
                </c:pt>
                <c:pt idx="8">
                  <c:v>30.785414185142464</c:v>
                </c:pt>
                <c:pt idx="9">
                  <c:v>29.209967594144597</c:v>
                </c:pt>
                <c:pt idx="10">
                  <c:v>31.128133704735376</c:v>
                </c:pt>
                <c:pt idx="11">
                  <c:v>37.437974314068882</c:v>
                </c:pt>
                <c:pt idx="12">
                  <c:v>42.730486789768811</c:v>
                </c:pt>
                <c:pt idx="13">
                  <c:v>43.637635426941166</c:v>
                </c:pt>
                <c:pt idx="14">
                  <c:v>41.719273038533849</c:v>
                </c:pt>
                <c:pt idx="15">
                  <c:v>45.665142116250443</c:v>
                </c:pt>
                <c:pt idx="16">
                  <c:v>44.819937369519835</c:v>
                </c:pt>
                <c:pt idx="17">
                  <c:v>48.100148693317358</c:v>
                </c:pt>
                <c:pt idx="18">
                  <c:v>22.683345309498321</c:v>
                </c:pt>
                <c:pt idx="19">
                  <c:v>48.998545742993123</c:v>
                </c:pt>
                <c:pt idx="20">
                  <c:v>50.240717841628687</c:v>
                </c:pt>
                <c:pt idx="21">
                  <c:v>47.341887795357337</c:v>
                </c:pt>
                <c:pt idx="22">
                  <c:v>49.560180218837161</c:v>
                </c:pt>
                <c:pt idx="23">
                  <c:v>50.528016412360557</c:v>
                </c:pt>
                <c:pt idx="24">
                  <c:v>60.318525750549185</c:v>
                </c:pt>
                <c:pt idx="25">
                  <c:v>61.463128818950373</c:v>
                </c:pt>
                <c:pt idx="26">
                  <c:v>62.997158982485217</c:v>
                </c:pt>
                <c:pt idx="27">
                  <c:v>72.85631061307015</c:v>
                </c:pt>
                <c:pt idx="28">
                  <c:v>75.178665463025652</c:v>
                </c:pt>
              </c:numCache>
            </c:numRef>
          </c:val>
          <c:extLst>
            <c:ext xmlns:c16="http://schemas.microsoft.com/office/drawing/2014/chart" uri="{C3380CC4-5D6E-409C-BE32-E72D297353CC}">
              <c16:uniqueId val="{00000009-BA3F-4686-90C7-266DC9E77207}"/>
            </c:ext>
          </c:extLst>
        </c:ser>
        <c:ser>
          <c:idx val="2"/>
          <c:order val="2"/>
          <c:tx>
            <c:strRef>
              <c:f>léky!$D$48</c:f>
              <c:strCache>
                <c:ptCount val="1"/>
                <c:pt idx="0">
                  <c:v>Ostatní</c:v>
                </c:pt>
              </c:strCache>
            </c:strRef>
          </c:tx>
          <c:spPr>
            <a:solidFill>
              <a:schemeClr val="accent3"/>
            </a:solidFill>
            <a:ln>
              <a:noFill/>
            </a:ln>
            <a:effectLst/>
          </c:spPr>
          <c:invertIfNegative val="0"/>
          <c:dLbls>
            <c:dLbl>
              <c:idx val="1"/>
              <c:layout/>
              <c:dLblPos val="ct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A-BA3F-4686-90C7-266DC9E77207}"/>
                </c:ext>
              </c:extLst>
            </c:dLbl>
            <c:dLbl>
              <c:idx val="18"/>
              <c:layout/>
              <c:dLblPos val="ct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B-BA3F-4686-90C7-266DC9E77207}"/>
                </c:ext>
              </c:extLst>
            </c:dLbl>
            <c:dLbl>
              <c:idx val="28"/>
              <c:layout/>
              <c:dLblPos val="ct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C-BA3F-4686-90C7-266DC9E77207}"/>
                </c:ext>
              </c:extLst>
            </c:dLbl>
            <c:spPr>
              <a:noFill/>
              <a:ln>
                <a:noFill/>
              </a:ln>
              <a:effectLst/>
            </c:spPr>
            <c:txPr>
              <a:bodyPr rot="-5400000" spcFirstLastPara="1" vertOverflow="ellipsis" wrap="square" anchor="ctr" anchorCtr="1"/>
              <a:lstStyle/>
              <a:p>
                <a:pPr>
                  <a:defRPr sz="800" b="0" i="0" u="none" strike="noStrike" kern="1200" baseline="0">
                    <a:solidFill>
                      <a:schemeClr val="bg1"/>
                    </a:solidFill>
                    <a:latin typeface="Arial" panose="020B0604020202020204" pitchFamily="34" charset="0"/>
                    <a:ea typeface="+mn-ea"/>
                    <a:cs typeface="Arial" panose="020B0604020202020204" pitchFamily="34" charset="0"/>
                  </a:defRPr>
                </a:pPr>
                <a:endParaRPr lang="cs-CZ"/>
              </a:p>
            </c:txPr>
            <c:showLegendKey val="0"/>
            <c:showVal val="0"/>
            <c:showCatName val="0"/>
            <c:showSerName val="0"/>
            <c:showPercent val="0"/>
            <c:showBubbleSize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léky!$A$49:$A$77</c:f>
              <c:strCache>
                <c:ptCount val="29"/>
                <c:pt idx="0">
                  <c:v>Německo</c:v>
                </c:pt>
                <c:pt idx="1">
                  <c:v>Francie</c:v>
                </c:pt>
                <c:pt idx="2">
                  <c:v>Irsko</c:v>
                </c:pt>
                <c:pt idx="3">
                  <c:v>Chorvatsko</c:v>
                </c:pt>
                <c:pt idx="4">
                  <c:v>Belgie</c:v>
                </c:pt>
                <c:pt idx="5">
                  <c:v>Španělsko</c:v>
                </c:pt>
                <c:pt idx="6">
                  <c:v>Slovensko</c:v>
                </c:pt>
                <c:pt idx="7">
                  <c:v>EU28</c:v>
                </c:pt>
                <c:pt idx="8">
                  <c:v>Rakousko</c:v>
                </c:pt>
                <c:pt idx="9">
                  <c:v>Lucembursko</c:v>
                </c:pt>
                <c:pt idx="10">
                  <c:v>Nizozemsko</c:v>
                </c:pt>
                <c:pt idx="11">
                  <c:v>Itálie</c:v>
                </c:pt>
                <c:pt idx="12">
                  <c:v>Velká Británie</c:v>
                </c:pt>
                <c:pt idx="13">
                  <c:v>Česko</c:v>
                </c:pt>
                <c:pt idx="14">
                  <c:v>Finsko</c:v>
                </c:pt>
                <c:pt idx="15">
                  <c:v>Švédsko</c:v>
                </c:pt>
                <c:pt idx="16">
                  <c:v>Portugalsko</c:v>
                </c:pt>
                <c:pt idx="17">
                  <c:v>Řecko</c:v>
                </c:pt>
                <c:pt idx="18">
                  <c:v>Slovinsko</c:v>
                </c:pt>
                <c:pt idx="19">
                  <c:v>Estonsko</c:v>
                </c:pt>
                <c:pt idx="20">
                  <c:v>Rumunsko</c:v>
                </c:pt>
                <c:pt idx="21">
                  <c:v>Maďarsko</c:v>
                </c:pt>
                <c:pt idx="22">
                  <c:v>Malta</c:v>
                </c:pt>
                <c:pt idx="23">
                  <c:v>Dánsko</c:v>
                </c:pt>
                <c:pt idx="24">
                  <c:v>Litva</c:v>
                </c:pt>
                <c:pt idx="25">
                  <c:v>Lotyšsko</c:v>
                </c:pt>
                <c:pt idx="26">
                  <c:v>Polsko</c:v>
                </c:pt>
                <c:pt idx="27">
                  <c:v>Bulharsko</c:v>
                </c:pt>
                <c:pt idx="28">
                  <c:v>Kypr</c:v>
                </c:pt>
              </c:strCache>
            </c:strRef>
          </c:cat>
          <c:val>
            <c:numRef>
              <c:f>léky!$D$49:$D$77</c:f>
              <c:numCache>
                <c:formatCode>0</c:formatCode>
                <c:ptCount val="29"/>
                <c:pt idx="0">
                  <c:v>0.32312550488360137</c:v>
                </c:pt>
                <c:pt idx="1">
                  <c:v>6.6140064200978577</c:v>
                </c:pt>
                <c:pt idx="2">
                  <c:v>0</c:v>
                </c:pt>
                <c:pt idx="3">
                  <c:v>2.3332602619608704</c:v>
                </c:pt>
                <c:pt idx="4">
                  <c:v>6.4348761611697891E-2</c:v>
                </c:pt>
                <c:pt idx="5">
                  <c:v>0</c:v>
                </c:pt>
                <c:pt idx="6">
                  <c:v>0</c:v>
                </c:pt>
                <c:pt idx="7">
                  <c:v>1.578387070070481</c:v>
                </c:pt>
                <c:pt idx="8">
                  <c:v>0.80260081181167142</c:v>
                </c:pt>
                <c:pt idx="9">
                  <c:v>2.8913845122360042</c:v>
                </c:pt>
                <c:pt idx="10">
                  <c:v>1.0793871866295264</c:v>
                </c:pt>
                <c:pt idx="11">
                  <c:v>0</c:v>
                </c:pt>
                <c:pt idx="12">
                  <c:v>0</c:v>
                </c:pt>
                <c:pt idx="13">
                  <c:v>0</c:v>
                </c:pt>
                <c:pt idx="14">
                  <c:v>2.4861287314858687</c:v>
                </c:pt>
                <c:pt idx="15">
                  <c:v>0</c:v>
                </c:pt>
                <c:pt idx="16">
                  <c:v>0.96096879760762854</c:v>
                </c:pt>
                <c:pt idx="17">
                  <c:v>0</c:v>
                </c:pt>
                <c:pt idx="18">
                  <c:v>25.878781657403472</c:v>
                </c:pt>
                <c:pt idx="19">
                  <c:v>0.90230037017451081</c:v>
                </c:pt>
                <c:pt idx="20">
                  <c:v>1.532326749079713E-2</c:v>
                </c:pt>
                <c:pt idx="21">
                  <c:v>3.2191354179643703</c:v>
                </c:pt>
                <c:pt idx="22">
                  <c:v>3.2181935207037116</c:v>
                </c:pt>
                <c:pt idx="23">
                  <c:v>5.5884087703551737</c:v>
                </c:pt>
                <c:pt idx="24">
                  <c:v>0.83750305101293632</c:v>
                </c:pt>
                <c:pt idx="25">
                  <c:v>0.14438771239641751</c:v>
                </c:pt>
                <c:pt idx="26">
                  <c:v>0.10319870177254456</c:v>
                </c:pt>
                <c:pt idx="27">
                  <c:v>0</c:v>
                </c:pt>
                <c:pt idx="28">
                  <c:v>7.8199052132701414</c:v>
                </c:pt>
              </c:numCache>
            </c:numRef>
          </c:val>
          <c:extLst>
            <c:ext xmlns:c16="http://schemas.microsoft.com/office/drawing/2014/chart" uri="{C3380CC4-5D6E-409C-BE32-E72D297353CC}">
              <c16:uniqueId val="{0000000D-BA3F-4686-90C7-266DC9E77207}"/>
            </c:ext>
          </c:extLst>
        </c:ser>
        <c:dLbls>
          <c:showLegendKey val="0"/>
          <c:showVal val="0"/>
          <c:showCatName val="0"/>
          <c:showSerName val="0"/>
          <c:showPercent val="0"/>
          <c:showBubbleSize val="0"/>
        </c:dLbls>
        <c:gapWidth val="80"/>
        <c:overlap val="100"/>
        <c:axId val="977187295"/>
        <c:axId val="977190207"/>
      </c:barChart>
      <c:catAx>
        <c:axId val="977187295"/>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5400000" spcFirstLastPara="1" vertOverflow="ellipsis"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crossAx val="977190207"/>
        <c:crosses val="autoZero"/>
        <c:auto val="1"/>
        <c:lblAlgn val="ctr"/>
        <c:lblOffset val="100"/>
        <c:noMultiLvlLbl val="0"/>
      </c:catAx>
      <c:valAx>
        <c:axId val="977190207"/>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crossAx val="977187295"/>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800">
          <a:latin typeface="Arial" panose="020B0604020202020204" pitchFamily="34" charset="0"/>
          <a:cs typeface="Arial" panose="020B0604020202020204" pitchFamily="34" charset="0"/>
        </a:defRPr>
      </a:pPr>
      <a:endParaRPr lang="cs-CZ"/>
    </a:p>
  </c:txPr>
  <c:externalData r:id="rId4">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7081510644502776E-2"/>
          <c:y val="3.760041018629294E-2"/>
          <c:w val="0.90748639059006508"/>
          <c:h val="0.58298076780737396"/>
        </c:manualLayout>
      </c:layout>
      <c:barChart>
        <c:barDir val="col"/>
        <c:grouping val="percentStacked"/>
        <c:varyColors val="0"/>
        <c:ser>
          <c:idx val="0"/>
          <c:order val="0"/>
          <c:tx>
            <c:strRef>
              <c:f>'HP_%_grafy'!$B$1</c:f>
              <c:strCache>
                <c:ptCount val="1"/>
                <c:pt idx="0">
                  <c:v>Nemocnice</c:v>
                </c:pt>
              </c:strCache>
            </c:strRef>
          </c:tx>
          <c:spPr>
            <a:solidFill>
              <a:schemeClr val="accent1"/>
            </a:solidFill>
            <a:ln>
              <a:noFill/>
            </a:ln>
            <a:effectLst/>
          </c:spPr>
          <c:invertIfNegative val="0"/>
          <c:dLbls>
            <c:spPr>
              <a:noFill/>
              <a:ln>
                <a:noFill/>
              </a:ln>
              <a:effectLst/>
            </c:spPr>
            <c:txPr>
              <a:bodyPr rot="-5400000" spcFirstLastPara="1" vertOverflow="ellipsis" wrap="square" anchor="ctr" anchorCtr="1"/>
              <a:lstStyle/>
              <a:p>
                <a:pPr>
                  <a:defRPr sz="800" b="0" i="0" u="none" strike="noStrike" kern="1200" baseline="0">
                    <a:solidFill>
                      <a:schemeClr val="bg1"/>
                    </a:solidFill>
                    <a:latin typeface="Arial" panose="020B0604020202020204" pitchFamily="34" charset="0"/>
                    <a:ea typeface="+mn-ea"/>
                    <a:cs typeface="Arial" panose="020B0604020202020204" pitchFamily="34" charset="0"/>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'HP_%_grafy'!$A$2:$A$30</c:f>
              <c:strCache>
                <c:ptCount val="29"/>
                <c:pt idx="0">
                  <c:v>Chorvatsko</c:v>
                </c:pt>
                <c:pt idx="1">
                  <c:v>Rumunsko</c:v>
                </c:pt>
                <c:pt idx="2">
                  <c:v>Kypr</c:v>
                </c:pt>
                <c:pt idx="3">
                  <c:v>Řecko</c:v>
                </c:pt>
                <c:pt idx="4">
                  <c:v>Itálie</c:v>
                </c:pt>
                <c:pt idx="5">
                  <c:v>Estonsko</c:v>
                </c:pt>
                <c:pt idx="6">
                  <c:v>Dánsko</c:v>
                </c:pt>
                <c:pt idx="7">
                  <c:v>Španělsko</c:v>
                </c:pt>
                <c:pt idx="8">
                  <c:v>Česko</c:v>
                </c:pt>
                <c:pt idx="9">
                  <c:v>Slovinsko</c:v>
                </c:pt>
                <c:pt idx="10">
                  <c:v>Portugalsko</c:v>
                </c:pt>
                <c:pt idx="11">
                  <c:v>Polsko</c:v>
                </c:pt>
                <c:pt idx="12">
                  <c:v>Malta</c:v>
                </c:pt>
                <c:pt idx="13">
                  <c:v>Velká Británie</c:v>
                </c:pt>
                <c:pt idx="14">
                  <c:v>Švédsko</c:v>
                </c:pt>
                <c:pt idx="15">
                  <c:v>Maďarsko</c:v>
                </c:pt>
                <c:pt idx="16">
                  <c:v>Rakousko</c:v>
                </c:pt>
                <c:pt idx="17">
                  <c:v>Bulharsko</c:v>
                </c:pt>
                <c:pt idx="18">
                  <c:v>Finsko</c:v>
                </c:pt>
                <c:pt idx="19">
                  <c:v>Francie</c:v>
                </c:pt>
                <c:pt idx="20">
                  <c:v>Irsko</c:v>
                </c:pt>
                <c:pt idx="21">
                  <c:v>EU28</c:v>
                </c:pt>
                <c:pt idx="22">
                  <c:v>Litva</c:v>
                </c:pt>
                <c:pt idx="23">
                  <c:v>Nizozemsko</c:v>
                </c:pt>
                <c:pt idx="24">
                  <c:v>Belgie</c:v>
                </c:pt>
                <c:pt idx="25">
                  <c:v>Slovensko</c:v>
                </c:pt>
                <c:pt idx="26">
                  <c:v>Lotyšsko</c:v>
                </c:pt>
                <c:pt idx="27">
                  <c:v>Lucembursko</c:v>
                </c:pt>
                <c:pt idx="28">
                  <c:v>Německo</c:v>
                </c:pt>
              </c:strCache>
            </c:strRef>
          </c:cat>
          <c:val>
            <c:numRef>
              <c:f>'HP_%_grafy'!$B$2:$B$30</c:f>
              <c:numCache>
                <c:formatCode>0</c:formatCode>
                <c:ptCount val="29"/>
                <c:pt idx="0">
                  <c:v>47.368107454759027</c:v>
                </c:pt>
                <c:pt idx="1">
                  <c:v>46.490787586392486</c:v>
                </c:pt>
                <c:pt idx="2">
                  <c:v>45.872758529119906</c:v>
                </c:pt>
                <c:pt idx="3">
                  <c:v>44.365668945028126</c:v>
                </c:pt>
                <c:pt idx="4">
                  <c:v>44.187216252408795</c:v>
                </c:pt>
                <c:pt idx="5">
                  <c:v>44.10957640602301</c:v>
                </c:pt>
                <c:pt idx="6">
                  <c:v>43.990281751058212</c:v>
                </c:pt>
                <c:pt idx="7">
                  <c:v>43.100720841885604</c:v>
                </c:pt>
                <c:pt idx="8">
                  <c:v>42.580121207997287</c:v>
                </c:pt>
                <c:pt idx="9">
                  <c:v>41.481374188536137</c:v>
                </c:pt>
                <c:pt idx="10">
                  <c:v>41.318804624472698</c:v>
                </c:pt>
                <c:pt idx="11">
                  <c:v>41.061905269814183</c:v>
                </c:pt>
                <c:pt idx="12">
                  <c:v>40.956114265116696</c:v>
                </c:pt>
                <c:pt idx="13">
                  <c:v>40.726251664104211</c:v>
                </c:pt>
                <c:pt idx="14">
                  <c:v>38.708273809895132</c:v>
                </c:pt>
                <c:pt idx="15">
                  <c:v>38.677413956601775</c:v>
                </c:pt>
                <c:pt idx="16">
                  <c:v>38.620921556978324</c:v>
                </c:pt>
                <c:pt idx="17">
                  <c:v>38.597704664205821</c:v>
                </c:pt>
                <c:pt idx="18">
                  <c:v>37.924190828513751</c:v>
                </c:pt>
                <c:pt idx="19">
                  <c:v>37.906834215031509</c:v>
                </c:pt>
                <c:pt idx="20">
                  <c:v>37.182345172849203</c:v>
                </c:pt>
                <c:pt idx="21">
                  <c:v>36.766127143648113</c:v>
                </c:pt>
                <c:pt idx="22">
                  <c:v>35.583026388818809</c:v>
                </c:pt>
                <c:pt idx="23">
                  <c:v>33.999119193803267</c:v>
                </c:pt>
                <c:pt idx="24">
                  <c:v>33.951705985156948</c:v>
                </c:pt>
                <c:pt idx="25">
                  <c:v>33.875832233147122</c:v>
                </c:pt>
                <c:pt idx="26">
                  <c:v>33.587367394220216</c:v>
                </c:pt>
                <c:pt idx="27">
                  <c:v>32.985228378902008</c:v>
                </c:pt>
                <c:pt idx="28">
                  <c:v>27.897016963997121</c:v>
                </c:pt>
              </c:numCache>
            </c:numRef>
          </c:val>
          <c:extLst>
            <c:ext xmlns:c16="http://schemas.microsoft.com/office/drawing/2014/chart" uri="{C3380CC4-5D6E-409C-BE32-E72D297353CC}">
              <c16:uniqueId val="{00000000-F366-46AC-A9BE-C2B1712F22D9}"/>
            </c:ext>
          </c:extLst>
        </c:ser>
        <c:ser>
          <c:idx val="2"/>
          <c:order val="1"/>
          <c:tx>
            <c:strRef>
              <c:f>'HP_%_grafy'!$D$1</c:f>
              <c:strCache>
                <c:ptCount val="1"/>
                <c:pt idx="0">
                  <c:v>Poskytovatelé ambulantní péče</c:v>
                </c:pt>
              </c:strCache>
            </c:strRef>
          </c:tx>
          <c:spPr>
            <a:solidFill>
              <a:schemeClr val="accent3"/>
            </a:solidFill>
            <a:ln>
              <a:noFill/>
            </a:ln>
            <a:effectLst/>
          </c:spPr>
          <c:invertIfNegative val="0"/>
          <c:dLbls>
            <c:spPr>
              <a:noFill/>
              <a:ln>
                <a:noFill/>
              </a:ln>
              <a:effectLst/>
            </c:spPr>
            <c:txPr>
              <a:bodyPr rot="-5400000" spcFirstLastPara="1" vertOverflow="ellipsis" wrap="square" anchor="ctr" anchorCtr="1"/>
              <a:lstStyle/>
              <a:p>
                <a:pPr>
                  <a:defRPr sz="800" b="0" i="0" u="none" strike="noStrike" kern="1200" baseline="0">
                    <a:solidFill>
                      <a:schemeClr val="bg1"/>
                    </a:solidFill>
                    <a:latin typeface="Arial" panose="020B0604020202020204" pitchFamily="34" charset="0"/>
                    <a:ea typeface="+mn-ea"/>
                    <a:cs typeface="Arial" panose="020B0604020202020204" pitchFamily="34" charset="0"/>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'HP_%_grafy'!$A$2:$A$30</c:f>
              <c:strCache>
                <c:ptCount val="29"/>
                <c:pt idx="0">
                  <c:v>Chorvatsko</c:v>
                </c:pt>
                <c:pt idx="1">
                  <c:v>Rumunsko</c:v>
                </c:pt>
                <c:pt idx="2">
                  <c:v>Kypr</c:v>
                </c:pt>
                <c:pt idx="3">
                  <c:v>Řecko</c:v>
                </c:pt>
                <c:pt idx="4">
                  <c:v>Itálie</c:v>
                </c:pt>
                <c:pt idx="5">
                  <c:v>Estonsko</c:v>
                </c:pt>
                <c:pt idx="6">
                  <c:v>Dánsko</c:v>
                </c:pt>
                <c:pt idx="7">
                  <c:v>Španělsko</c:v>
                </c:pt>
                <c:pt idx="8">
                  <c:v>Česko</c:v>
                </c:pt>
                <c:pt idx="9">
                  <c:v>Slovinsko</c:v>
                </c:pt>
                <c:pt idx="10">
                  <c:v>Portugalsko</c:v>
                </c:pt>
                <c:pt idx="11">
                  <c:v>Polsko</c:v>
                </c:pt>
                <c:pt idx="12">
                  <c:v>Malta</c:v>
                </c:pt>
                <c:pt idx="13">
                  <c:v>Velká Británie</c:v>
                </c:pt>
                <c:pt idx="14">
                  <c:v>Švédsko</c:v>
                </c:pt>
                <c:pt idx="15">
                  <c:v>Maďarsko</c:v>
                </c:pt>
                <c:pt idx="16">
                  <c:v>Rakousko</c:v>
                </c:pt>
                <c:pt idx="17">
                  <c:v>Bulharsko</c:v>
                </c:pt>
                <c:pt idx="18">
                  <c:v>Finsko</c:v>
                </c:pt>
                <c:pt idx="19">
                  <c:v>Francie</c:v>
                </c:pt>
                <c:pt idx="20">
                  <c:v>Irsko</c:v>
                </c:pt>
                <c:pt idx="21">
                  <c:v>EU28</c:v>
                </c:pt>
                <c:pt idx="22">
                  <c:v>Litva</c:v>
                </c:pt>
                <c:pt idx="23">
                  <c:v>Nizozemsko</c:v>
                </c:pt>
                <c:pt idx="24">
                  <c:v>Belgie</c:v>
                </c:pt>
                <c:pt idx="25">
                  <c:v>Slovensko</c:v>
                </c:pt>
                <c:pt idx="26">
                  <c:v>Lotyšsko</c:v>
                </c:pt>
                <c:pt idx="27">
                  <c:v>Lucembursko</c:v>
                </c:pt>
                <c:pt idx="28">
                  <c:v>Německo</c:v>
                </c:pt>
              </c:strCache>
            </c:strRef>
          </c:cat>
          <c:val>
            <c:numRef>
              <c:f>'HP_%_grafy'!$D$2:$D$30</c:f>
              <c:numCache>
                <c:formatCode>0</c:formatCode>
                <c:ptCount val="29"/>
                <c:pt idx="0">
                  <c:v>19.025609596931162</c:v>
                </c:pt>
                <c:pt idx="1">
                  <c:v>14.875996717986961</c:v>
                </c:pt>
                <c:pt idx="2">
                  <c:v>25.033194034857232</c:v>
                </c:pt>
                <c:pt idx="3">
                  <c:v>18.008598411251612</c:v>
                </c:pt>
                <c:pt idx="4">
                  <c:v>23.493484012150113</c:v>
                </c:pt>
                <c:pt idx="5">
                  <c:v>22.721770009454193</c:v>
                </c:pt>
                <c:pt idx="6">
                  <c:v>28.664400870543876</c:v>
                </c:pt>
                <c:pt idx="7">
                  <c:v>22.056910711989765</c:v>
                </c:pt>
                <c:pt idx="8">
                  <c:v>21.308552415622842</c:v>
                </c:pt>
                <c:pt idx="9">
                  <c:v>23.027533808250926</c:v>
                </c:pt>
                <c:pt idx="10">
                  <c:v>26.11100951698122</c:v>
                </c:pt>
                <c:pt idx="11">
                  <c:v>24.314449261118771</c:v>
                </c:pt>
                <c:pt idx="12">
                  <c:v>19.315130215373525</c:v>
                </c:pt>
                <c:pt idx="13">
                  <c:v>23.72367019517084</c:v>
                </c:pt>
                <c:pt idx="14">
                  <c:v>23.906100866494906</c:v>
                </c:pt>
                <c:pt idx="15">
                  <c:v>20.925196630780388</c:v>
                </c:pt>
                <c:pt idx="16">
                  <c:v>22.987103590467378</c:v>
                </c:pt>
                <c:pt idx="17">
                  <c:v>15.238573678628722</c:v>
                </c:pt>
                <c:pt idx="18">
                  <c:v>28.635310842417258</c:v>
                </c:pt>
                <c:pt idx="19">
                  <c:v>22.460117383994486</c:v>
                </c:pt>
                <c:pt idx="20">
                  <c:v>19.90490676631784</c:v>
                </c:pt>
                <c:pt idx="21">
                  <c:v>25.096810819904245</c:v>
                </c:pt>
                <c:pt idx="22">
                  <c:v>24.541433304741243</c:v>
                </c:pt>
                <c:pt idx="23">
                  <c:v>18.521540892722985</c:v>
                </c:pt>
                <c:pt idx="24">
                  <c:v>34.071619595056418</c:v>
                </c:pt>
                <c:pt idx="25">
                  <c:v>19.563842234131869</c:v>
                </c:pt>
                <c:pt idx="26">
                  <c:v>25.3832681158617</c:v>
                </c:pt>
                <c:pt idx="27">
                  <c:v>29.779197499944871</c:v>
                </c:pt>
                <c:pt idx="28">
                  <c:v>31.452731234816337</c:v>
                </c:pt>
              </c:numCache>
            </c:numRef>
          </c:val>
          <c:extLst>
            <c:ext xmlns:c16="http://schemas.microsoft.com/office/drawing/2014/chart" uri="{C3380CC4-5D6E-409C-BE32-E72D297353CC}">
              <c16:uniqueId val="{00000001-F366-46AC-A9BE-C2B1712F22D9}"/>
            </c:ext>
          </c:extLst>
        </c:ser>
        <c:ser>
          <c:idx val="4"/>
          <c:order val="2"/>
          <c:tx>
            <c:strRef>
              <c:f>'HP_%_grafy'!$F$1</c:f>
              <c:strCache>
                <c:ptCount val="1"/>
                <c:pt idx="0">
                  <c:v>Lékárny a výdejny prostředků zdravotnické techniky</c:v>
                </c:pt>
              </c:strCache>
            </c:strRef>
          </c:tx>
          <c:spPr>
            <a:solidFill>
              <a:schemeClr val="accent5"/>
            </a:solidFill>
            <a:ln>
              <a:noFill/>
            </a:ln>
            <a:effectLst/>
          </c:spPr>
          <c:invertIfNegative val="0"/>
          <c:dLbls>
            <c:spPr>
              <a:noFill/>
              <a:ln>
                <a:noFill/>
              </a:ln>
              <a:effectLst/>
            </c:spPr>
            <c:txPr>
              <a:bodyPr rot="-5400000" spcFirstLastPara="1" vertOverflow="ellipsis" wrap="square" anchor="ctr" anchorCtr="1"/>
              <a:lstStyle/>
              <a:p>
                <a:pPr>
                  <a:defRPr sz="800" b="0" i="0" u="none" strike="noStrike" kern="1200" baseline="0">
                    <a:solidFill>
                      <a:schemeClr val="bg1"/>
                    </a:solidFill>
                    <a:latin typeface="Arial" panose="020B0604020202020204" pitchFamily="34" charset="0"/>
                    <a:ea typeface="+mn-ea"/>
                    <a:cs typeface="Arial" panose="020B0604020202020204" pitchFamily="34" charset="0"/>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'HP_%_grafy'!$A$2:$A$30</c:f>
              <c:strCache>
                <c:ptCount val="29"/>
                <c:pt idx="0">
                  <c:v>Chorvatsko</c:v>
                </c:pt>
                <c:pt idx="1">
                  <c:v>Rumunsko</c:v>
                </c:pt>
                <c:pt idx="2">
                  <c:v>Kypr</c:v>
                </c:pt>
                <c:pt idx="3">
                  <c:v>Řecko</c:v>
                </c:pt>
                <c:pt idx="4">
                  <c:v>Itálie</c:v>
                </c:pt>
                <c:pt idx="5">
                  <c:v>Estonsko</c:v>
                </c:pt>
                <c:pt idx="6">
                  <c:v>Dánsko</c:v>
                </c:pt>
                <c:pt idx="7">
                  <c:v>Španělsko</c:v>
                </c:pt>
                <c:pt idx="8">
                  <c:v>Česko</c:v>
                </c:pt>
                <c:pt idx="9">
                  <c:v>Slovinsko</c:v>
                </c:pt>
                <c:pt idx="10">
                  <c:v>Portugalsko</c:v>
                </c:pt>
                <c:pt idx="11">
                  <c:v>Polsko</c:v>
                </c:pt>
                <c:pt idx="12">
                  <c:v>Malta</c:v>
                </c:pt>
                <c:pt idx="13">
                  <c:v>Velká Británie</c:v>
                </c:pt>
                <c:pt idx="14">
                  <c:v>Švédsko</c:v>
                </c:pt>
                <c:pt idx="15">
                  <c:v>Maďarsko</c:v>
                </c:pt>
                <c:pt idx="16">
                  <c:v>Rakousko</c:v>
                </c:pt>
                <c:pt idx="17">
                  <c:v>Bulharsko</c:v>
                </c:pt>
                <c:pt idx="18">
                  <c:v>Finsko</c:v>
                </c:pt>
                <c:pt idx="19">
                  <c:v>Francie</c:v>
                </c:pt>
                <c:pt idx="20">
                  <c:v>Irsko</c:v>
                </c:pt>
                <c:pt idx="21">
                  <c:v>EU28</c:v>
                </c:pt>
                <c:pt idx="22">
                  <c:v>Litva</c:v>
                </c:pt>
                <c:pt idx="23">
                  <c:v>Nizozemsko</c:v>
                </c:pt>
                <c:pt idx="24">
                  <c:v>Belgie</c:v>
                </c:pt>
                <c:pt idx="25">
                  <c:v>Slovensko</c:v>
                </c:pt>
                <c:pt idx="26">
                  <c:v>Lotyšsko</c:v>
                </c:pt>
                <c:pt idx="27">
                  <c:v>Lucembursko</c:v>
                </c:pt>
                <c:pt idx="28">
                  <c:v>Německo</c:v>
                </c:pt>
              </c:strCache>
            </c:strRef>
          </c:cat>
          <c:val>
            <c:numRef>
              <c:f>'HP_%_grafy'!$F$2:$F$30</c:f>
              <c:numCache>
                <c:formatCode>0</c:formatCode>
                <c:ptCount val="29"/>
                <c:pt idx="0">
                  <c:v>22.862793165477832</c:v>
                </c:pt>
                <c:pt idx="1">
                  <c:v>25.101595540261382</c:v>
                </c:pt>
                <c:pt idx="2">
                  <c:v>15.982753078309969</c:v>
                </c:pt>
                <c:pt idx="3">
                  <c:v>29.676517580291719</c:v>
                </c:pt>
                <c:pt idx="4">
                  <c:v>16.496717509880131</c:v>
                </c:pt>
                <c:pt idx="5">
                  <c:v>19.935088892475846</c:v>
                </c:pt>
                <c:pt idx="6">
                  <c:v>10.000384237336506</c:v>
                </c:pt>
                <c:pt idx="7">
                  <c:v>22.732224767990292</c:v>
                </c:pt>
                <c:pt idx="8">
                  <c:v>15.705060959973892</c:v>
                </c:pt>
                <c:pt idx="9">
                  <c:v>21.681787656531871</c:v>
                </c:pt>
                <c:pt idx="10">
                  <c:v>19.028004925559706</c:v>
                </c:pt>
                <c:pt idx="11">
                  <c:v>22.348077943779508</c:v>
                </c:pt>
                <c:pt idx="12">
                  <c:v>13.675768225646571</c:v>
                </c:pt>
                <c:pt idx="13">
                  <c:v>10.602656549402822</c:v>
                </c:pt>
                <c:pt idx="14">
                  <c:v>11.141500988764886</c:v>
                </c:pt>
                <c:pt idx="15">
                  <c:v>29.59167735817482</c:v>
                </c:pt>
                <c:pt idx="16">
                  <c:v>15.534674744891548</c:v>
                </c:pt>
                <c:pt idx="17">
                  <c:v>36.711296847735611</c:v>
                </c:pt>
                <c:pt idx="18">
                  <c:v>15.078299585593955</c:v>
                </c:pt>
                <c:pt idx="19">
                  <c:v>17.328328485542382</c:v>
                </c:pt>
                <c:pt idx="20">
                  <c:v>13.169588872087351</c:v>
                </c:pt>
                <c:pt idx="21">
                  <c:v>16.435126433153588</c:v>
                </c:pt>
                <c:pt idx="22">
                  <c:v>26.905158349731739</c:v>
                </c:pt>
                <c:pt idx="23">
                  <c:v>10.769151058262739</c:v>
                </c:pt>
                <c:pt idx="24">
                  <c:v>11.746282541012837</c:v>
                </c:pt>
                <c:pt idx="25">
                  <c:v>33.432864717987918</c:v>
                </c:pt>
                <c:pt idx="26">
                  <c:v>29.091795900721642</c:v>
                </c:pt>
                <c:pt idx="27">
                  <c:v>12.145240097910426</c:v>
                </c:pt>
                <c:pt idx="28">
                  <c:v>19.079022823718315</c:v>
                </c:pt>
              </c:numCache>
            </c:numRef>
          </c:val>
          <c:extLst>
            <c:ext xmlns:c16="http://schemas.microsoft.com/office/drawing/2014/chart" uri="{C3380CC4-5D6E-409C-BE32-E72D297353CC}">
              <c16:uniqueId val="{00000002-F366-46AC-A9BE-C2B1712F22D9}"/>
            </c:ext>
          </c:extLst>
        </c:ser>
        <c:ser>
          <c:idx val="1"/>
          <c:order val="3"/>
          <c:tx>
            <c:strRef>
              <c:f>'HP_%_grafy'!$C$1</c:f>
              <c:strCache>
                <c:ptCount val="1"/>
                <c:pt idx="0">
                  <c:v>Lůžková zařízení dlouhodobé péče</c:v>
                </c:pt>
              </c:strCache>
            </c:strRef>
          </c:tx>
          <c:spPr>
            <a:solidFill>
              <a:schemeClr val="accent2"/>
            </a:solidFill>
            <a:ln>
              <a:noFill/>
            </a:ln>
            <a:effectLst/>
          </c:spPr>
          <c:invertIfNegative val="0"/>
          <c:dLbls>
            <c:dLbl>
              <c:idx val="0"/>
              <c:delete val="1"/>
              <c:extLst>
                <c:ext xmlns:c15="http://schemas.microsoft.com/office/drawing/2012/chart" uri="{CE6537A1-D6FC-4f65-9D91-7224C49458BB}"/>
                <c:ext xmlns:c16="http://schemas.microsoft.com/office/drawing/2014/chart" uri="{C3380CC4-5D6E-409C-BE32-E72D297353CC}">
                  <c16:uniqueId val="{00000003-F366-46AC-A9BE-C2B1712F22D9}"/>
                </c:ext>
              </c:extLst>
            </c:dLbl>
            <c:dLbl>
              <c:idx val="2"/>
              <c:delete val="1"/>
              <c:extLst>
                <c:ext xmlns:c15="http://schemas.microsoft.com/office/drawing/2012/chart" uri="{CE6537A1-D6FC-4f65-9D91-7224C49458BB}"/>
                <c:ext xmlns:c16="http://schemas.microsoft.com/office/drawing/2014/chart" uri="{C3380CC4-5D6E-409C-BE32-E72D297353CC}">
                  <c16:uniqueId val="{00000004-F366-46AC-A9BE-C2B1712F22D9}"/>
                </c:ext>
              </c:extLst>
            </c:dLbl>
            <c:dLbl>
              <c:idx val="11"/>
              <c:delete val="1"/>
              <c:extLst>
                <c:ext xmlns:c15="http://schemas.microsoft.com/office/drawing/2012/chart" uri="{CE6537A1-D6FC-4f65-9D91-7224C49458BB}"/>
                <c:ext xmlns:c16="http://schemas.microsoft.com/office/drawing/2014/chart" uri="{C3380CC4-5D6E-409C-BE32-E72D297353CC}">
                  <c16:uniqueId val="{00000005-F366-46AC-A9BE-C2B1712F22D9}"/>
                </c:ext>
              </c:extLst>
            </c:dLbl>
            <c:dLbl>
              <c:idx val="17"/>
              <c:delete val="1"/>
              <c:extLst>
                <c:ext xmlns:c15="http://schemas.microsoft.com/office/drawing/2012/chart" uri="{CE6537A1-D6FC-4f65-9D91-7224C49458BB}"/>
                <c:ext xmlns:c16="http://schemas.microsoft.com/office/drawing/2014/chart" uri="{C3380CC4-5D6E-409C-BE32-E72D297353CC}">
                  <c16:uniqueId val="{00000006-F366-46AC-A9BE-C2B1712F22D9}"/>
                </c:ext>
              </c:extLst>
            </c:dLbl>
            <c:dLbl>
              <c:idx val="25"/>
              <c:delete val="1"/>
              <c:extLst>
                <c:ext xmlns:c15="http://schemas.microsoft.com/office/drawing/2012/chart" uri="{CE6537A1-D6FC-4f65-9D91-7224C49458BB}"/>
                <c:ext xmlns:c16="http://schemas.microsoft.com/office/drawing/2014/chart" uri="{C3380CC4-5D6E-409C-BE32-E72D297353CC}">
                  <c16:uniqueId val="{00000007-F366-46AC-A9BE-C2B1712F22D9}"/>
                </c:ext>
              </c:extLst>
            </c:dLbl>
            <c:spPr>
              <a:noFill/>
              <a:ln>
                <a:noFill/>
              </a:ln>
              <a:effectLst/>
            </c:spPr>
            <c:txPr>
              <a:bodyPr rot="-5400000" spcFirstLastPara="1" vertOverflow="ellipsis" wrap="square" anchor="ctr" anchorCtr="1"/>
              <a:lstStyle/>
              <a:p>
                <a:pPr>
                  <a:defRPr sz="800" b="0" i="0" u="none" strike="noStrike" kern="1200" baseline="0">
                    <a:solidFill>
                      <a:schemeClr val="bg1"/>
                    </a:solidFill>
                    <a:latin typeface="Arial" panose="020B0604020202020204" pitchFamily="34" charset="0"/>
                    <a:ea typeface="+mn-ea"/>
                    <a:cs typeface="Arial" panose="020B0604020202020204" pitchFamily="34" charset="0"/>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'HP_%_grafy'!$A$2:$A$30</c:f>
              <c:strCache>
                <c:ptCount val="29"/>
                <c:pt idx="0">
                  <c:v>Chorvatsko</c:v>
                </c:pt>
                <c:pt idx="1">
                  <c:v>Rumunsko</c:v>
                </c:pt>
                <c:pt idx="2">
                  <c:v>Kypr</c:v>
                </c:pt>
                <c:pt idx="3">
                  <c:v>Řecko</c:v>
                </c:pt>
                <c:pt idx="4">
                  <c:v>Itálie</c:v>
                </c:pt>
                <c:pt idx="5">
                  <c:v>Estonsko</c:v>
                </c:pt>
                <c:pt idx="6">
                  <c:v>Dánsko</c:v>
                </c:pt>
                <c:pt idx="7">
                  <c:v>Španělsko</c:v>
                </c:pt>
                <c:pt idx="8">
                  <c:v>Česko</c:v>
                </c:pt>
                <c:pt idx="9">
                  <c:v>Slovinsko</c:v>
                </c:pt>
                <c:pt idx="10">
                  <c:v>Portugalsko</c:v>
                </c:pt>
                <c:pt idx="11">
                  <c:v>Polsko</c:v>
                </c:pt>
                <c:pt idx="12">
                  <c:v>Malta</c:v>
                </c:pt>
                <c:pt idx="13">
                  <c:v>Velká Británie</c:v>
                </c:pt>
                <c:pt idx="14">
                  <c:v>Švédsko</c:v>
                </c:pt>
                <c:pt idx="15">
                  <c:v>Maďarsko</c:v>
                </c:pt>
                <c:pt idx="16">
                  <c:v>Rakousko</c:v>
                </c:pt>
                <c:pt idx="17">
                  <c:v>Bulharsko</c:v>
                </c:pt>
                <c:pt idx="18">
                  <c:v>Finsko</c:v>
                </c:pt>
                <c:pt idx="19">
                  <c:v>Francie</c:v>
                </c:pt>
                <c:pt idx="20">
                  <c:v>Irsko</c:v>
                </c:pt>
                <c:pt idx="21">
                  <c:v>EU28</c:v>
                </c:pt>
                <c:pt idx="22">
                  <c:v>Litva</c:v>
                </c:pt>
                <c:pt idx="23">
                  <c:v>Nizozemsko</c:v>
                </c:pt>
                <c:pt idx="24">
                  <c:v>Belgie</c:v>
                </c:pt>
                <c:pt idx="25">
                  <c:v>Slovensko</c:v>
                </c:pt>
                <c:pt idx="26">
                  <c:v>Lotyšsko</c:v>
                </c:pt>
                <c:pt idx="27">
                  <c:v>Lucembursko</c:v>
                </c:pt>
                <c:pt idx="28">
                  <c:v>Německo</c:v>
                </c:pt>
              </c:strCache>
            </c:strRef>
          </c:cat>
          <c:val>
            <c:numRef>
              <c:f>'HP_%_grafy'!$C$2:$C$30</c:f>
              <c:numCache>
                <c:formatCode>0</c:formatCode>
                <c:ptCount val="29"/>
                <c:pt idx="0">
                  <c:v>0.63754447489828225</c:v>
                </c:pt>
                <c:pt idx="1">
                  <c:v>1.8175950020534568</c:v>
                </c:pt>
                <c:pt idx="2">
                  <c:v>1.3291590378621643</c:v>
                </c:pt>
                <c:pt idx="3">
                  <c:v>2.2809576836635097</c:v>
                </c:pt>
                <c:pt idx="4">
                  <c:v>6.2658000457262304</c:v>
                </c:pt>
                <c:pt idx="5">
                  <c:v>6.7286185348306313</c:v>
                </c:pt>
                <c:pt idx="6">
                  <c:v>12.208927902297312</c:v>
                </c:pt>
                <c:pt idx="7">
                  <c:v>5.5393641828624078</c:v>
                </c:pt>
                <c:pt idx="8">
                  <c:v>7.9400121850642869</c:v>
                </c:pt>
                <c:pt idx="9">
                  <c:v>6.5349011758819113</c:v>
                </c:pt>
                <c:pt idx="10">
                  <c:v>2.0670980589419785</c:v>
                </c:pt>
                <c:pt idx="11">
                  <c:v>1.1870795462337247</c:v>
                </c:pt>
                <c:pt idx="12">
                  <c:v>19.304316481932052</c:v>
                </c:pt>
                <c:pt idx="13">
                  <c:v>11.417897884701047</c:v>
                </c:pt>
                <c:pt idx="14">
                  <c:v>18.274722241283584</c:v>
                </c:pt>
                <c:pt idx="15">
                  <c:v>2.8641713616332907</c:v>
                </c:pt>
                <c:pt idx="16">
                  <c:v>8.6864540955574796</c:v>
                </c:pt>
                <c:pt idx="17">
                  <c:v>0.35917709615025256</c:v>
                </c:pt>
                <c:pt idx="18">
                  <c:v>13.599252165438507</c:v>
                </c:pt>
                <c:pt idx="19">
                  <c:v>11.72817984219513</c:v>
                </c:pt>
                <c:pt idx="20">
                  <c:v>17.69019203488385</c:v>
                </c:pt>
                <c:pt idx="21">
                  <c:v>10.73541117319326</c:v>
                </c:pt>
                <c:pt idx="22">
                  <c:v>1.6384950468405739</c:v>
                </c:pt>
                <c:pt idx="23">
                  <c:v>26.801119141991141</c:v>
                </c:pt>
                <c:pt idx="24">
                  <c:v>12.812345323358668</c:v>
                </c:pt>
                <c:pt idx="25">
                  <c:v>0</c:v>
                </c:pt>
                <c:pt idx="26">
                  <c:v>2.8527563157486338</c:v>
                </c:pt>
                <c:pt idx="27">
                  <c:v>8.8812442310660842</c:v>
                </c:pt>
                <c:pt idx="28">
                  <c:v>9.2574732298324456</c:v>
                </c:pt>
              </c:numCache>
            </c:numRef>
          </c:val>
          <c:extLst>
            <c:ext xmlns:c16="http://schemas.microsoft.com/office/drawing/2014/chart" uri="{C3380CC4-5D6E-409C-BE32-E72D297353CC}">
              <c16:uniqueId val="{00000008-F366-46AC-A9BE-C2B1712F22D9}"/>
            </c:ext>
          </c:extLst>
        </c:ser>
        <c:ser>
          <c:idx val="3"/>
          <c:order val="4"/>
          <c:tx>
            <c:strRef>
              <c:f>'HP_%_grafy'!$E$1</c:f>
              <c:strCache>
                <c:ptCount val="1"/>
                <c:pt idx="0">
                  <c:v>Poskytovatelé doplňkových služeb</c:v>
                </c:pt>
              </c:strCache>
            </c:strRef>
          </c:tx>
          <c:spPr>
            <a:solidFill>
              <a:schemeClr val="accent4"/>
            </a:solidFill>
            <a:ln>
              <a:noFill/>
            </a:ln>
            <a:effectLst/>
          </c:spPr>
          <c:invertIfNegative val="0"/>
          <c:cat>
            <c:strRef>
              <c:f>'HP_%_grafy'!$A$2:$A$30</c:f>
              <c:strCache>
                <c:ptCount val="29"/>
                <c:pt idx="0">
                  <c:v>Chorvatsko</c:v>
                </c:pt>
                <c:pt idx="1">
                  <c:v>Rumunsko</c:v>
                </c:pt>
                <c:pt idx="2">
                  <c:v>Kypr</c:v>
                </c:pt>
                <c:pt idx="3">
                  <c:v>Řecko</c:v>
                </c:pt>
                <c:pt idx="4">
                  <c:v>Itálie</c:v>
                </c:pt>
                <c:pt idx="5">
                  <c:v>Estonsko</c:v>
                </c:pt>
                <c:pt idx="6">
                  <c:v>Dánsko</c:v>
                </c:pt>
                <c:pt idx="7">
                  <c:v>Španělsko</c:v>
                </c:pt>
                <c:pt idx="8">
                  <c:v>Česko</c:v>
                </c:pt>
                <c:pt idx="9">
                  <c:v>Slovinsko</c:v>
                </c:pt>
                <c:pt idx="10">
                  <c:v>Portugalsko</c:v>
                </c:pt>
                <c:pt idx="11">
                  <c:v>Polsko</c:v>
                </c:pt>
                <c:pt idx="12">
                  <c:v>Malta</c:v>
                </c:pt>
                <c:pt idx="13">
                  <c:v>Velká Británie</c:v>
                </c:pt>
                <c:pt idx="14">
                  <c:v>Švédsko</c:v>
                </c:pt>
                <c:pt idx="15">
                  <c:v>Maďarsko</c:v>
                </c:pt>
                <c:pt idx="16">
                  <c:v>Rakousko</c:v>
                </c:pt>
                <c:pt idx="17">
                  <c:v>Bulharsko</c:v>
                </c:pt>
                <c:pt idx="18">
                  <c:v>Finsko</c:v>
                </c:pt>
                <c:pt idx="19">
                  <c:v>Francie</c:v>
                </c:pt>
                <c:pt idx="20">
                  <c:v>Irsko</c:v>
                </c:pt>
                <c:pt idx="21">
                  <c:v>EU28</c:v>
                </c:pt>
                <c:pt idx="22">
                  <c:v>Litva</c:v>
                </c:pt>
                <c:pt idx="23">
                  <c:v>Nizozemsko</c:v>
                </c:pt>
                <c:pt idx="24">
                  <c:v>Belgie</c:v>
                </c:pt>
                <c:pt idx="25">
                  <c:v>Slovensko</c:v>
                </c:pt>
                <c:pt idx="26">
                  <c:v>Lotyšsko</c:v>
                </c:pt>
                <c:pt idx="27">
                  <c:v>Lucembursko</c:v>
                </c:pt>
                <c:pt idx="28">
                  <c:v>Německo</c:v>
                </c:pt>
              </c:strCache>
            </c:strRef>
          </c:cat>
          <c:val>
            <c:numRef>
              <c:f>'HP_%_grafy'!$E$2:$E$30</c:f>
              <c:numCache>
                <c:formatCode>0</c:formatCode>
                <c:ptCount val="29"/>
                <c:pt idx="0">
                  <c:v>3.7758975843107887</c:v>
                </c:pt>
                <c:pt idx="1">
                  <c:v>5.8428978099686315</c:v>
                </c:pt>
                <c:pt idx="2">
                  <c:v>6.8414652895218664</c:v>
                </c:pt>
                <c:pt idx="3">
                  <c:v>3.0596142012017009</c:v>
                </c:pt>
                <c:pt idx="4">
                  <c:v>4.415847405036418</c:v>
                </c:pt>
                <c:pt idx="5">
                  <c:v>1.9830746881269168</c:v>
                </c:pt>
                <c:pt idx="6">
                  <c:v>1.3842067945640597</c:v>
                </c:pt>
                <c:pt idx="7">
                  <c:v>1.623998586620812</c:v>
                </c:pt>
                <c:pt idx="8">
                  <c:v>3.9755189835615043</c:v>
                </c:pt>
                <c:pt idx="9">
                  <c:v>0.75187969924812026</c:v>
                </c:pt>
                <c:pt idx="10">
                  <c:v>4.4658477086149118</c:v>
                </c:pt>
                <c:pt idx="11">
                  <c:v>2.9720319678188591</c:v>
                </c:pt>
                <c:pt idx="12">
                  <c:v>2.3087320897539874</c:v>
                </c:pt>
                <c:pt idx="13">
                  <c:v>1.86806415170481</c:v>
                </c:pt>
                <c:pt idx="14">
                  <c:v>6.7080835428350402E-2</c:v>
                </c:pt>
                <c:pt idx="15">
                  <c:v>3.6472360127182464</c:v>
                </c:pt>
                <c:pt idx="16">
                  <c:v>2.9753270344088554</c:v>
                </c:pt>
                <c:pt idx="17">
                  <c:v>3.729131932057284</c:v>
                </c:pt>
                <c:pt idx="18">
                  <c:v>1.7136928261961824</c:v>
                </c:pt>
                <c:pt idx="19">
                  <c:v>2.758702976923181</c:v>
                </c:pt>
                <c:pt idx="20">
                  <c:v>1.3521946048508682</c:v>
                </c:pt>
                <c:pt idx="21">
                  <c:v>2.2570183666724315</c:v>
                </c:pt>
                <c:pt idx="22">
                  <c:v>3.3435928486132838</c:v>
                </c:pt>
                <c:pt idx="23">
                  <c:v>1.5595450895054532</c:v>
                </c:pt>
                <c:pt idx="24">
                  <c:v>2.6612554402417508</c:v>
                </c:pt>
                <c:pt idx="25">
                  <c:v>7.882618615651408</c:v>
                </c:pt>
                <c:pt idx="26">
                  <c:v>6.8445089844919131</c:v>
                </c:pt>
                <c:pt idx="27">
                  <c:v>3.3651195685388728</c:v>
                </c:pt>
                <c:pt idx="28">
                  <c:v>1.4242667528594815</c:v>
                </c:pt>
              </c:numCache>
            </c:numRef>
          </c:val>
          <c:extLst>
            <c:ext xmlns:c16="http://schemas.microsoft.com/office/drawing/2014/chart" uri="{C3380CC4-5D6E-409C-BE32-E72D297353CC}">
              <c16:uniqueId val="{00000009-F366-46AC-A9BE-C2B1712F22D9}"/>
            </c:ext>
          </c:extLst>
        </c:ser>
        <c:ser>
          <c:idx val="5"/>
          <c:order val="5"/>
          <c:tx>
            <c:strRef>
              <c:f>'HP_%_grafy'!$G$1</c:f>
              <c:strCache>
                <c:ptCount val="1"/>
                <c:pt idx="0">
                  <c:v>Poskytovatelé preventivní péče</c:v>
                </c:pt>
              </c:strCache>
            </c:strRef>
          </c:tx>
          <c:spPr>
            <a:solidFill>
              <a:schemeClr val="accent6"/>
            </a:solidFill>
            <a:ln>
              <a:noFill/>
            </a:ln>
            <a:effectLst/>
          </c:spPr>
          <c:invertIfNegative val="0"/>
          <c:cat>
            <c:strRef>
              <c:f>'HP_%_grafy'!$A$2:$A$30</c:f>
              <c:strCache>
                <c:ptCount val="29"/>
                <c:pt idx="0">
                  <c:v>Chorvatsko</c:v>
                </c:pt>
                <c:pt idx="1">
                  <c:v>Rumunsko</c:v>
                </c:pt>
                <c:pt idx="2">
                  <c:v>Kypr</c:v>
                </c:pt>
                <c:pt idx="3">
                  <c:v>Řecko</c:v>
                </c:pt>
                <c:pt idx="4">
                  <c:v>Itálie</c:v>
                </c:pt>
                <c:pt idx="5">
                  <c:v>Estonsko</c:v>
                </c:pt>
                <c:pt idx="6">
                  <c:v>Dánsko</c:v>
                </c:pt>
                <c:pt idx="7">
                  <c:v>Španělsko</c:v>
                </c:pt>
                <c:pt idx="8">
                  <c:v>Česko</c:v>
                </c:pt>
                <c:pt idx="9">
                  <c:v>Slovinsko</c:v>
                </c:pt>
                <c:pt idx="10">
                  <c:v>Portugalsko</c:v>
                </c:pt>
                <c:pt idx="11">
                  <c:v>Polsko</c:v>
                </c:pt>
                <c:pt idx="12">
                  <c:v>Malta</c:v>
                </c:pt>
                <c:pt idx="13">
                  <c:v>Velká Británie</c:v>
                </c:pt>
                <c:pt idx="14">
                  <c:v>Švédsko</c:v>
                </c:pt>
                <c:pt idx="15">
                  <c:v>Maďarsko</c:v>
                </c:pt>
                <c:pt idx="16">
                  <c:v>Rakousko</c:v>
                </c:pt>
                <c:pt idx="17">
                  <c:v>Bulharsko</c:v>
                </c:pt>
                <c:pt idx="18">
                  <c:v>Finsko</c:v>
                </c:pt>
                <c:pt idx="19">
                  <c:v>Francie</c:v>
                </c:pt>
                <c:pt idx="20">
                  <c:v>Irsko</c:v>
                </c:pt>
                <c:pt idx="21">
                  <c:v>EU28</c:v>
                </c:pt>
                <c:pt idx="22">
                  <c:v>Litva</c:v>
                </c:pt>
                <c:pt idx="23">
                  <c:v>Nizozemsko</c:v>
                </c:pt>
                <c:pt idx="24">
                  <c:v>Belgie</c:v>
                </c:pt>
                <c:pt idx="25">
                  <c:v>Slovensko</c:v>
                </c:pt>
                <c:pt idx="26">
                  <c:v>Lotyšsko</c:v>
                </c:pt>
                <c:pt idx="27">
                  <c:v>Lucembursko</c:v>
                </c:pt>
                <c:pt idx="28">
                  <c:v>Německo</c:v>
                </c:pt>
              </c:strCache>
            </c:strRef>
          </c:cat>
          <c:val>
            <c:numRef>
              <c:f>'HP_%_grafy'!$G$2:$G$30</c:f>
              <c:numCache>
                <c:formatCode>0.0</c:formatCode>
                <c:ptCount val="29"/>
                <c:pt idx="0">
                  <c:v>1.7509065218501558</c:v>
                </c:pt>
                <c:pt idx="1">
                  <c:v>0.27473228113097536</c:v>
                </c:pt>
                <c:pt idx="2">
                  <c:v>0.48568114159527037</c:v>
                </c:pt>
                <c:pt idx="3">
                  <c:v>0.2959694684127322</c:v>
                </c:pt>
                <c:pt idx="4">
                  <c:v>3.3870072182121045</c:v>
                </c:pt>
                <c:pt idx="5">
                  <c:v>0.97827841446260977</c:v>
                </c:pt>
                <c:pt idx="6">
                  <c:v>1.1962589076559453</c:v>
                </c:pt>
                <c:pt idx="7">
                  <c:v>0.74243106770252809</c:v>
                </c:pt>
                <c:pt idx="8">
                  <c:v>0.39642411836271546</c:v>
                </c:pt>
                <c:pt idx="9">
                  <c:v>0.65285806460108242</c:v>
                </c:pt>
                <c:pt idx="10">
                  <c:v>0.11117218270987635</c:v>
                </c:pt>
                <c:pt idx="11">
                  <c:v>0.24125697423121562</c:v>
                </c:pt>
                <c:pt idx="12">
                  <c:v>1.0038749211498603</c:v>
                </c:pt>
                <c:pt idx="13">
                  <c:v>1.5875359156992264</c:v>
                </c:pt>
                <c:pt idx="14">
                  <c:v>1.6170165813064172</c:v>
                </c:pt>
                <c:pt idx="15">
                  <c:v>0.49311094996374183</c:v>
                </c:pt>
                <c:pt idx="16">
                  <c:v>0.74288304970078611</c:v>
                </c:pt>
                <c:pt idx="17">
                  <c:v>0.71689806893773378</c:v>
                </c:pt>
                <c:pt idx="18">
                  <c:v>0.19822919670767158</c:v>
                </c:pt>
                <c:pt idx="19">
                  <c:v>1.1584315176875575</c:v>
                </c:pt>
                <c:pt idx="20">
                  <c:v>1.2040985851819352</c:v>
                </c:pt>
                <c:pt idx="21">
                  <c:v>1.2593304001792809</c:v>
                </c:pt>
                <c:pt idx="22">
                  <c:v>0.73902147770657789</c:v>
                </c:pt>
                <c:pt idx="23">
                  <c:v>2.2538276210460868</c:v>
                </c:pt>
                <c:pt idx="24">
                  <c:v>0.76788154239355244</c:v>
                </c:pt>
                <c:pt idx="25">
                  <c:v>0.58250061337815306</c:v>
                </c:pt>
                <c:pt idx="26">
                  <c:v>0.46335812705767587</c:v>
                </c:pt>
                <c:pt idx="27">
                  <c:v>1.3873793839959929</c:v>
                </c:pt>
                <c:pt idx="28">
                  <c:v>0.67381580456474366</c:v>
                </c:pt>
              </c:numCache>
            </c:numRef>
          </c:val>
          <c:extLst>
            <c:ext xmlns:c16="http://schemas.microsoft.com/office/drawing/2014/chart" uri="{C3380CC4-5D6E-409C-BE32-E72D297353CC}">
              <c16:uniqueId val="{0000000A-F366-46AC-A9BE-C2B1712F22D9}"/>
            </c:ext>
          </c:extLst>
        </c:ser>
        <c:ser>
          <c:idx val="6"/>
          <c:order val="6"/>
          <c:tx>
            <c:strRef>
              <c:f>'HP_%_grafy'!$H$1</c:f>
              <c:strCache>
                <c:ptCount val="1"/>
                <c:pt idx="0">
                  <c:v>Ostatní</c:v>
                </c:pt>
              </c:strCache>
            </c:strRef>
          </c:tx>
          <c:spPr>
            <a:solidFill>
              <a:srgbClr val="C00000"/>
            </a:solidFill>
            <a:ln>
              <a:noFill/>
            </a:ln>
            <a:effectLst/>
          </c:spPr>
          <c:invertIfNegative val="0"/>
          <c:cat>
            <c:strRef>
              <c:f>'HP_%_grafy'!$A$2:$A$30</c:f>
              <c:strCache>
                <c:ptCount val="29"/>
                <c:pt idx="0">
                  <c:v>Chorvatsko</c:v>
                </c:pt>
                <c:pt idx="1">
                  <c:v>Rumunsko</c:v>
                </c:pt>
                <c:pt idx="2">
                  <c:v>Kypr</c:v>
                </c:pt>
                <c:pt idx="3">
                  <c:v>Řecko</c:v>
                </c:pt>
                <c:pt idx="4">
                  <c:v>Itálie</c:v>
                </c:pt>
                <c:pt idx="5">
                  <c:v>Estonsko</c:v>
                </c:pt>
                <c:pt idx="6">
                  <c:v>Dánsko</c:v>
                </c:pt>
                <c:pt idx="7">
                  <c:v>Španělsko</c:v>
                </c:pt>
                <c:pt idx="8">
                  <c:v>Česko</c:v>
                </c:pt>
                <c:pt idx="9">
                  <c:v>Slovinsko</c:v>
                </c:pt>
                <c:pt idx="10">
                  <c:v>Portugalsko</c:v>
                </c:pt>
                <c:pt idx="11">
                  <c:v>Polsko</c:v>
                </c:pt>
                <c:pt idx="12">
                  <c:v>Malta</c:v>
                </c:pt>
                <c:pt idx="13">
                  <c:v>Velká Británie</c:v>
                </c:pt>
                <c:pt idx="14">
                  <c:v>Švédsko</c:v>
                </c:pt>
                <c:pt idx="15">
                  <c:v>Maďarsko</c:v>
                </c:pt>
                <c:pt idx="16">
                  <c:v>Rakousko</c:v>
                </c:pt>
                <c:pt idx="17">
                  <c:v>Bulharsko</c:v>
                </c:pt>
                <c:pt idx="18">
                  <c:v>Finsko</c:v>
                </c:pt>
                <c:pt idx="19">
                  <c:v>Francie</c:v>
                </c:pt>
                <c:pt idx="20">
                  <c:v>Irsko</c:v>
                </c:pt>
                <c:pt idx="21">
                  <c:v>EU28</c:v>
                </c:pt>
                <c:pt idx="22">
                  <c:v>Litva</c:v>
                </c:pt>
                <c:pt idx="23">
                  <c:v>Nizozemsko</c:v>
                </c:pt>
                <c:pt idx="24">
                  <c:v>Belgie</c:v>
                </c:pt>
                <c:pt idx="25">
                  <c:v>Slovensko</c:v>
                </c:pt>
                <c:pt idx="26">
                  <c:v>Lotyšsko</c:v>
                </c:pt>
                <c:pt idx="27">
                  <c:v>Lucembursko</c:v>
                </c:pt>
                <c:pt idx="28">
                  <c:v>Německo</c:v>
                </c:pt>
              </c:strCache>
            </c:strRef>
          </c:cat>
          <c:val>
            <c:numRef>
              <c:f>'HP_%_grafy'!$H$2:$H$30</c:f>
              <c:numCache>
                <c:formatCode>0.0</c:formatCode>
                <c:ptCount val="29"/>
                <c:pt idx="0">
                  <c:v>4.5791412017727531</c:v>
                </c:pt>
                <c:pt idx="1">
                  <c:v>5.5963950622061072</c:v>
                </c:pt>
                <c:pt idx="2">
                  <c:v>4.4556877105200634</c:v>
                </c:pt>
                <c:pt idx="3">
                  <c:v>2.3126035419504096</c:v>
                </c:pt>
                <c:pt idx="4">
                  <c:v>1.7539275565862102</c:v>
                </c:pt>
                <c:pt idx="5">
                  <c:v>3.5435930546267898</c:v>
                </c:pt>
                <c:pt idx="6">
                  <c:v>2.5555395365440905</c:v>
                </c:pt>
                <c:pt idx="7">
                  <c:v>4.2043405910847964</c:v>
                </c:pt>
                <c:pt idx="8">
                  <c:v>8.0942471249485735</c:v>
                </c:pt>
                <c:pt idx="9">
                  <c:v>5.8699287623612442</c:v>
                </c:pt>
                <c:pt idx="10">
                  <c:v>6.8980629827196154</c:v>
                </c:pt>
                <c:pt idx="11">
                  <c:v>7.8751990370037417</c:v>
                </c:pt>
                <c:pt idx="12">
                  <c:v>3.4378660899342162</c:v>
                </c:pt>
                <c:pt idx="13">
                  <c:v>10.07392363921705</c:v>
                </c:pt>
                <c:pt idx="14">
                  <c:v>6.2852851822508908</c:v>
                </c:pt>
                <c:pt idx="15">
                  <c:v>3.8014168572544209</c:v>
                </c:pt>
                <c:pt idx="16">
                  <c:v>10.452635927995633</c:v>
                </c:pt>
                <c:pt idx="17">
                  <c:v>4.6472177122845855</c:v>
                </c:pt>
                <c:pt idx="18">
                  <c:v>2.8510245551326729</c:v>
                </c:pt>
                <c:pt idx="19">
                  <c:v>6.659405578625762</c:v>
                </c:pt>
                <c:pt idx="20">
                  <c:v>9.4966739638289379</c:v>
                </c:pt>
                <c:pt idx="21">
                  <c:v>7.4501756632490936</c:v>
                </c:pt>
                <c:pt idx="22">
                  <c:v>7.2489362059976123</c:v>
                </c:pt>
                <c:pt idx="23">
                  <c:v>6.0944016994378387</c:v>
                </c:pt>
                <c:pt idx="24">
                  <c:v>3.9889306620534581</c:v>
                </c:pt>
                <c:pt idx="25">
                  <c:v>4.6623415857035333</c:v>
                </c:pt>
                <c:pt idx="26">
                  <c:v>1.777499418031061</c:v>
                </c:pt>
                <c:pt idx="27">
                  <c:v>11.456275812533669</c:v>
                </c:pt>
                <c:pt idx="28">
                  <c:v>10.215673190211554</c:v>
                </c:pt>
              </c:numCache>
            </c:numRef>
          </c:val>
          <c:extLst>
            <c:ext xmlns:c16="http://schemas.microsoft.com/office/drawing/2014/chart" uri="{C3380CC4-5D6E-409C-BE32-E72D297353CC}">
              <c16:uniqueId val="{0000000B-F366-46AC-A9BE-C2B1712F22D9}"/>
            </c:ext>
          </c:extLst>
        </c:ser>
        <c:dLbls>
          <c:showLegendKey val="0"/>
          <c:showVal val="0"/>
          <c:showCatName val="0"/>
          <c:showSerName val="0"/>
          <c:showPercent val="0"/>
          <c:showBubbleSize val="0"/>
        </c:dLbls>
        <c:gapWidth val="70"/>
        <c:overlap val="100"/>
        <c:axId val="1056968175"/>
        <c:axId val="1056983983"/>
      </c:barChart>
      <c:catAx>
        <c:axId val="1056968175"/>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5400000" spcFirstLastPara="1" vertOverflow="ellipsis"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crossAx val="1056983983"/>
        <c:crosses val="autoZero"/>
        <c:auto val="1"/>
        <c:lblAlgn val="ctr"/>
        <c:lblOffset val="100"/>
        <c:noMultiLvlLbl val="0"/>
      </c:catAx>
      <c:valAx>
        <c:axId val="1056983983"/>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crossAx val="1056968175"/>
        <c:crosses val="autoZero"/>
        <c:crossBetween val="between"/>
      </c:valAx>
      <c:spPr>
        <a:noFill/>
        <a:ln>
          <a:noFill/>
        </a:ln>
        <a:effectLst/>
      </c:spPr>
    </c:plotArea>
    <c:legend>
      <c:legendPos val="b"/>
      <c:layout>
        <c:manualLayout>
          <c:xMode val="edge"/>
          <c:yMode val="edge"/>
          <c:x val="8.669576025219063E-3"/>
          <c:y val="0.81322834645669306"/>
          <c:w val="0.96598393950756156"/>
          <c:h val="0.17120745120867675"/>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solidFill>
        <a:srgbClr val="D9D9D9"/>
      </a:solidFill>
      <a:round/>
    </a:ln>
    <a:effectLst/>
  </c:spPr>
  <c:txPr>
    <a:bodyPr/>
    <a:lstStyle/>
    <a:p>
      <a:pPr>
        <a:defRPr sz="800">
          <a:latin typeface="Arial" panose="020B0604020202020204" pitchFamily="34" charset="0"/>
          <a:cs typeface="Arial" panose="020B0604020202020204" pitchFamily="34" charset="0"/>
        </a:defRPr>
      </a:pPr>
      <a:endParaRPr lang="cs-CZ"/>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spPr>
            <a:solidFill>
              <a:schemeClr val="accent1"/>
            </a:solidFill>
            <a:ln>
              <a:noFill/>
            </a:ln>
            <a:effectLst/>
          </c:spPr>
          <c:invertIfNegative val="0"/>
          <c:dPt>
            <c:idx val="14"/>
            <c:invertIfNegative val="0"/>
            <c:bubble3D val="0"/>
            <c:spPr>
              <a:solidFill>
                <a:srgbClr val="FFFF00"/>
              </a:solidFill>
              <a:ln>
                <a:noFill/>
              </a:ln>
              <a:effectLst/>
            </c:spPr>
            <c:extLst>
              <c:ext xmlns:c16="http://schemas.microsoft.com/office/drawing/2014/chart" uri="{C3380CC4-5D6E-409C-BE32-E72D297353CC}">
                <c16:uniqueId val="{00000001-8388-4ACF-A71E-E076D959BFA8}"/>
              </c:ext>
            </c:extLst>
          </c:dPt>
          <c:dLbls>
            <c:dLbl>
              <c:idx val="29"/>
              <c:numFmt formatCode="#,##0.00" sourceLinked="0"/>
              <c:spPr>
                <a:noFill/>
                <a:ln>
                  <a:noFill/>
                </a:ln>
                <a:effectLst/>
              </c:spPr>
              <c:txPr>
                <a:bodyPr rot="-5400000" spcFirstLastPara="1" vertOverflow="ellipsis" wrap="square" anchor="ctr" anchorCtr="1"/>
                <a:lstStyle/>
                <a:p>
                  <a:pPr>
                    <a:defRPr sz="8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extLst>
                <c:ext xmlns:c16="http://schemas.microsoft.com/office/drawing/2014/chart" uri="{C3380CC4-5D6E-409C-BE32-E72D297353CC}">
                  <c16:uniqueId val="{00000002-8388-4ACF-A71E-E076D959BFA8}"/>
                </c:ext>
              </c:extLst>
            </c:dLbl>
            <c:dLbl>
              <c:idx val="30"/>
              <c:numFmt formatCode="#,##0.00" sourceLinked="0"/>
              <c:spPr>
                <a:noFill/>
                <a:ln>
                  <a:noFill/>
                </a:ln>
                <a:effectLst/>
              </c:spPr>
              <c:txPr>
                <a:bodyPr rot="-5400000" spcFirstLastPara="1" vertOverflow="ellipsis" wrap="square" anchor="ctr" anchorCtr="1"/>
                <a:lstStyle/>
                <a:p>
                  <a:pPr>
                    <a:defRPr sz="8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extLst>
                <c:ext xmlns:c16="http://schemas.microsoft.com/office/drawing/2014/chart" uri="{C3380CC4-5D6E-409C-BE32-E72D297353CC}">
                  <c16:uniqueId val="{00000003-8388-4ACF-A71E-E076D959BFA8}"/>
                </c:ext>
              </c:extLst>
            </c:dLbl>
            <c:spPr>
              <a:noFill/>
              <a:ln>
                <a:noFill/>
              </a:ln>
              <a:effectLst/>
            </c:spPr>
            <c:txPr>
              <a:bodyPr rot="-5400000" spcFirstLastPara="1" vertOverflow="ellipsis" wrap="square" anchor="ctr" anchorCtr="1"/>
              <a:lstStyle/>
              <a:p>
                <a:pPr>
                  <a:defRPr sz="8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('celk.výdaje_grafy'!$A$2:$A$30,'celk.výdaje_grafy'!$A$32:$A$36)</c:f>
              <c:strCache>
                <c:ptCount val="34"/>
                <c:pt idx="0">
                  <c:v>Německo</c:v>
                </c:pt>
                <c:pt idx="1">
                  <c:v>Francie</c:v>
                </c:pt>
                <c:pt idx="2">
                  <c:v>Velká Británie</c:v>
                </c:pt>
                <c:pt idx="3">
                  <c:v>Itálie</c:v>
                </c:pt>
                <c:pt idx="4">
                  <c:v>Španělsko</c:v>
                </c:pt>
                <c:pt idx="5">
                  <c:v>Nizozemsko</c:v>
                </c:pt>
                <c:pt idx="6">
                  <c:v>Švédsko</c:v>
                </c:pt>
                <c:pt idx="7">
                  <c:v>Belgie</c:v>
                </c:pt>
                <c:pt idx="8">
                  <c:v>Rakousko</c:v>
                </c:pt>
                <c:pt idx="9">
                  <c:v>Polsko</c:v>
                </c:pt>
                <c:pt idx="10">
                  <c:v>Dánsko</c:v>
                </c:pt>
                <c:pt idx="11">
                  <c:v>Irsko</c:v>
                </c:pt>
                <c:pt idx="12">
                  <c:v>Finsko</c:v>
                </c:pt>
                <c:pt idx="13">
                  <c:v>Portugalsko</c:v>
                </c:pt>
                <c:pt idx="14">
                  <c:v>Česko</c:v>
                </c:pt>
                <c:pt idx="15">
                  <c:v>Řecko</c:v>
                </c:pt>
                <c:pt idx="16">
                  <c:v>Rumunsko</c:v>
                </c:pt>
                <c:pt idx="17">
                  <c:v>Maďarsko</c:v>
                </c:pt>
                <c:pt idx="18">
                  <c:v>Slovensko</c:v>
                </c:pt>
                <c:pt idx="19">
                  <c:v>Bulharsko</c:v>
                </c:pt>
                <c:pt idx="20">
                  <c:v>Slovinsko</c:v>
                </c:pt>
                <c:pt idx="21">
                  <c:v>Chorvatsko</c:v>
                </c:pt>
                <c:pt idx="22">
                  <c:v>Lucembursko</c:v>
                </c:pt>
                <c:pt idx="23">
                  <c:v>Litva</c:v>
                </c:pt>
                <c:pt idx="24">
                  <c:v>Lotyšsko</c:v>
                </c:pt>
                <c:pt idx="25">
                  <c:v>Estonsko</c:v>
                </c:pt>
                <c:pt idx="26">
                  <c:v>Kypr</c:v>
                </c:pt>
                <c:pt idx="27">
                  <c:v>Malta</c:v>
                </c:pt>
                <c:pt idx="29">
                  <c:v>Švýcarsko</c:v>
                </c:pt>
                <c:pt idx="30">
                  <c:v>Norsko</c:v>
                </c:pt>
                <c:pt idx="31">
                  <c:v>Island</c:v>
                </c:pt>
                <c:pt idx="32">
                  <c:v>Bosna a Hercegovina</c:v>
                </c:pt>
                <c:pt idx="33">
                  <c:v>Lichtenštejnsko</c:v>
                </c:pt>
              </c:strCache>
            </c:strRef>
          </c:cat>
          <c:val>
            <c:numRef>
              <c:f>('celk.výdaje_grafy'!$C$2:$C$30,'celk.výdaje_grafy'!$C$32:$C$33)</c:f>
              <c:numCache>
                <c:formatCode>0.00</c:formatCode>
                <c:ptCount val="31"/>
                <c:pt idx="0">
                  <c:v>383.63600000000002</c:v>
                </c:pt>
                <c:pt idx="1">
                  <c:v>265.76365999999996</c:v>
                </c:pt>
                <c:pt idx="2">
                  <c:v>242.30002999999999</c:v>
                </c:pt>
                <c:pt idx="3">
                  <c:v>153.08500000000001</c:v>
                </c:pt>
                <c:pt idx="4">
                  <c:v>108.1097</c:v>
                </c:pt>
                <c:pt idx="5">
                  <c:v>77.201999999999998</c:v>
                </c:pt>
                <c:pt idx="6">
                  <c:v>51.296320000000001</c:v>
                </c:pt>
                <c:pt idx="7">
                  <c:v>47.417470000000002</c:v>
                </c:pt>
                <c:pt idx="8">
                  <c:v>39.79092</c:v>
                </c:pt>
                <c:pt idx="9">
                  <c:v>31.50168</c:v>
                </c:pt>
                <c:pt idx="10">
                  <c:v>30.449930000000002</c:v>
                </c:pt>
                <c:pt idx="11">
                  <c:v>22.451650000000001</c:v>
                </c:pt>
                <c:pt idx="12">
                  <c:v>21.116970000000002</c:v>
                </c:pt>
                <c:pt idx="13">
                  <c:v>19.30339</c:v>
                </c:pt>
                <c:pt idx="14">
                  <c:v>15.871889999999999</c:v>
                </c:pt>
                <c:pt idx="15">
                  <c:v>14.251469999999999</c:v>
                </c:pt>
                <c:pt idx="16">
                  <c:v>11.37107</c:v>
                </c:pt>
                <c:pt idx="17">
                  <c:v>8.9634999999999998</c:v>
                </c:pt>
                <c:pt idx="18">
                  <c:v>5.9914100000000001</c:v>
                </c:pt>
                <c:pt idx="19">
                  <c:v>4.1205299999999996</c:v>
                </c:pt>
                <c:pt idx="20">
                  <c:v>3.7971500000000002</c:v>
                </c:pt>
                <c:pt idx="21">
                  <c:v>3.5244599999999999</c:v>
                </c:pt>
                <c:pt idx="22">
                  <c:v>3.1743299999999999</c:v>
                </c:pt>
                <c:pt idx="23">
                  <c:v>2.9728499999999998</c:v>
                </c:pt>
                <c:pt idx="24">
                  <c:v>1.8042199999999999</c:v>
                </c:pt>
                <c:pt idx="25">
                  <c:v>1.73468</c:v>
                </c:pt>
                <c:pt idx="26">
                  <c:v>1.4309799999999999</c:v>
                </c:pt>
                <c:pt idx="27">
                  <c:v>1.1097000000000001</c:v>
                </c:pt>
                <c:pt idx="29" formatCode="0.0">
                  <c:v>70.902020000000007</c:v>
                </c:pt>
                <c:pt idx="30" formatCode="0.0">
                  <c:v>36.971089999999997</c:v>
                </c:pt>
              </c:numCache>
            </c:numRef>
          </c:val>
          <c:extLst>
            <c:ext xmlns:c16="http://schemas.microsoft.com/office/drawing/2014/chart" uri="{C3380CC4-5D6E-409C-BE32-E72D297353CC}">
              <c16:uniqueId val="{00000004-8388-4ACF-A71E-E076D959BFA8}"/>
            </c:ext>
          </c:extLst>
        </c:ser>
        <c:dLbls>
          <c:dLblPos val="outEnd"/>
          <c:showLegendKey val="0"/>
          <c:showVal val="1"/>
          <c:showCatName val="0"/>
          <c:showSerName val="0"/>
          <c:showPercent val="0"/>
          <c:showBubbleSize val="0"/>
        </c:dLbls>
        <c:gapWidth val="147"/>
        <c:overlap val="-2"/>
        <c:axId val="1697371760"/>
        <c:axId val="1697376336"/>
      </c:barChart>
      <c:catAx>
        <c:axId val="169737176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5400000" spcFirstLastPara="1" vertOverflow="ellipsis"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crossAx val="1697376336"/>
        <c:crosses val="autoZero"/>
        <c:auto val="1"/>
        <c:lblAlgn val="ctr"/>
        <c:lblOffset val="100"/>
        <c:noMultiLvlLbl val="0"/>
      </c:catAx>
      <c:valAx>
        <c:axId val="1697376336"/>
        <c:scaling>
          <c:orientation val="minMax"/>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r>
                  <a:rPr lang="cs-CZ"/>
                  <a:t>mld. EUR</a:t>
                </a:r>
              </a:p>
            </c:rich>
          </c:tx>
          <c:layout/>
          <c:overlay val="0"/>
          <c:spPr>
            <a:noFill/>
            <a:ln>
              <a:noFill/>
            </a:ln>
            <a:effectLst/>
          </c:spPr>
          <c:txPr>
            <a:bodyPr rot="-54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title>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crossAx val="1697371760"/>
        <c:crosses val="autoZero"/>
        <c:crossBetween val="between"/>
      </c:valAx>
      <c:spPr>
        <a:noFill/>
        <a:ln>
          <a:noFill/>
        </a:ln>
        <a:effectLst/>
      </c:spPr>
    </c:plotArea>
    <c:plotVisOnly val="1"/>
    <c:dispBlanksAs val="gap"/>
    <c:showDLblsOverMax val="0"/>
  </c:chart>
  <c:spPr>
    <a:solidFill>
      <a:schemeClr val="bg1"/>
    </a:solidFill>
    <a:ln w="9525" cap="flat" cmpd="sng" algn="ctr">
      <a:solidFill>
        <a:srgbClr val="D9D9D9"/>
      </a:solidFill>
      <a:round/>
    </a:ln>
    <a:effectLst/>
  </c:spPr>
  <c:txPr>
    <a:bodyPr/>
    <a:lstStyle/>
    <a:p>
      <a:pPr>
        <a:defRPr sz="800">
          <a:latin typeface="Arial" panose="020B0604020202020204" pitchFamily="34" charset="0"/>
          <a:cs typeface="Arial" panose="020B0604020202020204" pitchFamily="34" charset="0"/>
        </a:defRPr>
      </a:pPr>
      <a:endParaRPr lang="cs-CZ"/>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spPr>
            <a:solidFill>
              <a:schemeClr val="accent1"/>
            </a:solidFill>
            <a:ln>
              <a:noFill/>
            </a:ln>
            <a:effectLst/>
          </c:spPr>
          <c:invertIfNegative val="0"/>
          <c:dPt>
            <c:idx val="11"/>
            <c:invertIfNegative val="0"/>
            <c:bubble3D val="0"/>
            <c:spPr>
              <a:solidFill>
                <a:srgbClr val="FF0000"/>
              </a:solidFill>
              <a:ln>
                <a:noFill/>
              </a:ln>
              <a:effectLst/>
            </c:spPr>
            <c:extLst>
              <c:ext xmlns:c16="http://schemas.microsoft.com/office/drawing/2014/chart" uri="{C3380CC4-5D6E-409C-BE32-E72D297353CC}">
                <c16:uniqueId val="{00000001-B0A1-48AA-8DD3-B2EBA9C88E21}"/>
              </c:ext>
            </c:extLst>
          </c:dPt>
          <c:dPt>
            <c:idx val="18"/>
            <c:invertIfNegative val="0"/>
            <c:bubble3D val="0"/>
            <c:spPr>
              <a:solidFill>
                <a:srgbClr val="FFFF00"/>
              </a:solidFill>
              <a:ln>
                <a:noFill/>
              </a:ln>
              <a:effectLst/>
            </c:spPr>
            <c:extLst>
              <c:ext xmlns:c16="http://schemas.microsoft.com/office/drawing/2014/chart" uri="{C3380CC4-5D6E-409C-BE32-E72D297353CC}">
                <c16:uniqueId val="{00000003-B0A1-48AA-8DD3-B2EBA9C88E21}"/>
              </c:ext>
            </c:extLst>
          </c:dPt>
          <c:dLbls>
            <c:spPr>
              <a:noFill/>
              <a:ln>
                <a:noFill/>
              </a:ln>
              <a:effectLst/>
            </c:spPr>
            <c:txPr>
              <a:bodyPr rot="-5400000" spcFirstLastPara="1" vertOverflow="ellipsis" wrap="square" anchor="ctr" anchorCtr="1"/>
              <a:lstStyle/>
              <a:p>
                <a:pPr>
                  <a:defRPr sz="8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'HDP+1 oby.'!$P$2:$P$35</c:f>
              <c:strCache>
                <c:ptCount val="34"/>
                <c:pt idx="0">
                  <c:v>Dánsko</c:v>
                </c:pt>
                <c:pt idx="1">
                  <c:v>Lucembursko</c:v>
                </c:pt>
                <c:pt idx="2">
                  <c:v>Švédsko</c:v>
                </c:pt>
                <c:pt idx="3">
                  <c:v>Německo</c:v>
                </c:pt>
                <c:pt idx="4">
                  <c:v>Irsko</c:v>
                </c:pt>
                <c:pt idx="5">
                  <c:v>Rakousko</c:v>
                </c:pt>
                <c:pt idx="6">
                  <c:v>Nizozemsko</c:v>
                </c:pt>
                <c:pt idx="7">
                  <c:v>Belgie</c:v>
                </c:pt>
                <c:pt idx="8">
                  <c:v>Francie</c:v>
                </c:pt>
                <c:pt idx="9">
                  <c:v>Finsko</c:v>
                </c:pt>
                <c:pt idx="10">
                  <c:v>Velká Británie</c:v>
                </c:pt>
                <c:pt idx="11">
                  <c:v>EU28</c:v>
                </c:pt>
                <c:pt idx="12">
                  <c:v>Itálie</c:v>
                </c:pt>
                <c:pt idx="13">
                  <c:v>Španělsko</c:v>
                </c:pt>
                <c:pt idx="14">
                  <c:v>Malta</c:v>
                </c:pt>
                <c:pt idx="15">
                  <c:v>Portugalsko</c:v>
                </c:pt>
                <c:pt idx="16">
                  <c:v>Slovinsko</c:v>
                </c:pt>
                <c:pt idx="17">
                  <c:v>Kypr</c:v>
                </c:pt>
                <c:pt idx="18">
                  <c:v>Česko</c:v>
                </c:pt>
                <c:pt idx="19">
                  <c:v>Řecko</c:v>
                </c:pt>
                <c:pt idx="20">
                  <c:v>Estonsko</c:v>
                </c:pt>
                <c:pt idx="21">
                  <c:v>Slovensko</c:v>
                </c:pt>
                <c:pt idx="22">
                  <c:v>Litva</c:v>
                </c:pt>
                <c:pt idx="23">
                  <c:v>Lotyšsko</c:v>
                </c:pt>
                <c:pt idx="24">
                  <c:v>Maďarsko</c:v>
                </c:pt>
                <c:pt idx="25">
                  <c:v>Chorvatsko</c:v>
                </c:pt>
                <c:pt idx="26">
                  <c:v>Polsko</c:v>
                </c:pt>
                <c:pt idx="27">
                  <c:v>Bulharsko</c:v>
                </c:pt>
                <c:pt idx="28">
                  <c:v>Rumunsko</c:v>
                </c:pt>
                <c:pt idx="30">
                  <c:v>Spojené státy</c:v>
                </c:pt>
                <c:pt idx="31">
                  <c:v>Švýcarsko</c:v>
                </c:pt>
                <c:pt idx="32">
                  <c:v>Norsko</c:v>
                </c:pt>
                <c:pt idx="33">
                  <c:v>Bosna a Hercegovina</c:v>
                </c:pt>
              </c:strCache>
            </c:strRef>
          </c:cat>
          <c:val>
            <c:numRef>
              <c:f>'HDP+1 oby.'!$Q$2:$Q$35</c:f>
              <c:numCache>
                <c:formatCode>#,##0</c:formatCode>
                <c:ptCount val="34"/>
                <c:pt idx="0">
                  <c:v>5255.75</c:v>
                </c:pt>
                <c:pt idx="1">
                  <c:v>5221.3599999999997</c:v>
                </c:pt>
                <c:pt idx="2">
                  <c:v>5041.3</c:v>
                </c:pt>
                <c:pt idx="3">
                  <c:v>4627.37</c:v>
                </c:pt>
                <c:pt idx="4">
                  <c:v>4612.74</c:v>
                </c:pt>
                <c:pt idx="5">
                  <c:v>4500.97</c:v>
                </c:pt>
                <c:pt idx="6">
                  <c:v>4480.25</c:v>
                </c:pt>
                <c:pt idx="7">
                  <c:v>4149.58</c:v>
                </c:pt>
                <c:pt idx="8">
                  <c:v>3968.64</c:v>
                </c:pt>
                <c:pt idx="9">
                  <c:v>3828.64</c:v>
                </c:pt>
                <c:pt idx="10">
                  <c:v>3645.78</c:v>
                </c:pt>
                <c:pt idx="11">
                  <c:v>3067.8</c:v>
                </c:pt>
                <c:pt idx="12">
                  <c:v>2533.61</c:v>
                </c:pt>
                <c:pt idx="13">
                  <c:v>2310.15</c:v>
                </c:pt>
                <c:pt idx="14">
                  <c:v>2289.79</c:v>
                </c:pt>
                <c:pt idx="15">
                  <c:v>1877.06</c:v>
                </c:pt>
                <c:pt idx="16">
                  <c:v>1830.93</c:v>
                </c:pt>
                <c:pt idx="17">
                  <c:v>1644.67</c:v>
                </c:pt>
                <c:pt idx="18">
                  <c:v>1493.13</c:v>
                </c:pt>
                <c:pt idx="19">
                  <c:v>1327.83</c:v>
                </c:pt>
                <c:pt idx="20">
                  <c:v>1312.18</c:v>
                </c:pt>
                <c:pt idx="21">
                  <c:v>1099.99</c:v>
                </c:pt>
                <c:pt idx="22">
                  <c:v>1061.1500000000001</c:v>
                </c:pt>
                <c:pt idx="23">
                  <c:v>936.2</c:v>
                </c:pt>
                <c:pt idx="24">
                  <c:v>916.93</c:v>
                </c:pt>
                <c:pt idx="25">
                  <c:v>861.54</c:v>
                </c:pt>
                <c:pt idx="26">
                  <c:v>829.54</c:v>
                </c:pt>
                <c:pt idx="27">
                  <c:v>586.54999999999995</c:v>
                </c:pt>
                <c:pt idx="28">
                  <c:v>583.95000000000005</c:v>
                </c:pt>
                <c:pt idx="30">
                  <c:v>8746.4660000000003</c:v>
                </c:pt>
                <c:pt idx="31">
                  <c:v>8327.3799999999992</c:v>
                </c:pt>
                <c:pt idx="32">
                  <c:v>6960.03</c:v>
                </c:pt>
                <c:pt idx="33">
                  <c:v>434.55</c:v>
                </c:pt>
              </c:numCache>
            </c:numRef>
          </c:val>
          <c:extLst>
            <c:ext xmlns:c16="http://schemas.microsoft.com/office/drawing/2014/chart" uri="{C3380CC4-5D6E-409C-BE32-E72D297353CC}">
              <c16:uniqueId val="{00000004-B0A1-48AA-8DD3-B2EBA9C88E21}"/>
            </c:ext>
          </c:extLst>
        </c:ser>
        <c:dLbls>
          <c:dLblPos val="outEnd"/>
          <c:showLegendKey val="0"/>
          <c:showVal val="1"/>
          <c:showCatName val="0"/>
          <c:showSerName val="0"/>
          <c:showPercent val="0"/>
          <c:showBubbleSize val="0"/>
        </c:dLbls>
        <c:gapWidth val="182"/>
        <c:axId val="1785042624"/>
        <c:axId val="1785038880"/>
      </c:barChart>
      <c:catAx>
        <c:axId val="178504262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crossAx val="1785038880"/>
        <c:crosses val="autoZero"/>
        <c:auto val="1"/>
        <c:lblAlgn val="ctr"/>
        <c:lblOffset val="100"/>
        <c:noMultiLvlLbl val="0"/>
      </c:catAx>
      <c:valAx>
        <c:axId val="1785038880"/>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r>
                  <a:rPr lang="cs-CZ"/>
                  <a:t>EUR</a:t>
                </a:r>
              </a:p>
            </c:rich>
          </c:tx>
          <c:layout/>
          <c:overlay val="0"/>
          <c:spPr>
            <a:noFill/>
            <a:ln>
              <a:noFill/>
            </a:ln>
            <a:effectLst/>
          </c:spPr>
          <c:txPr>
            <a:bodyPr rot="-54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crossAx val="1785042624"/>
        <c:crosses val="autoZero"/>
        <c:crossBetween val="between"/>
      </c:valAx>
      <c:spPr>
        <a:noFill/>
        <a:ln>
          <a:noFill/>
        </a:ln>
        <a:effectLst/>
      </c:spPr>
    </c:plotArea>
    <c:plotVisOnly val="1"/>
    <c:dispBlanksAs val="gap"/>
    <c:showDLblsOverMax val="0"/>
  </c:chart>
  <c:spPr>
    <a:solidFill>
      <a:schemeClr val="bg1"/>
    </a:solidFill>
    <a:ln w="9525" cap="flat" cmpd="sng" algn="ctr">
      <a:solidFill>
        <a:srgbClr val="D9D9D9"/>
      </a:solidFill>
      <a:round/>
    </a:ln>
    <a:effectLst/>
  </c:spPr>
  <c:txPr>
    <a:bodyPr/>
    <a:lstStyle/>
    <a:p>
      <a:pPr>
        <a:defRPr sz="800">
          <a:latin typeface="Arial" panose="020B0604020202020204" pitchFamily="34" charset="0"/>
          <a:cs typeface="Arial" panose="020B0604020202020204" pitchFamily="34" charset="0"/>
        </a:defRPr>
      </a:pPr>
      <a:endParaRPr lang="cs-CZ"/>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0452773218651097"/>
          <c:y val="3.6887994634473509E-2"/>
          <c:w val="0.87128581222861656"/>
          <c:h val="0.76751480008660888"/>
        </c:manualLayout>
      </c:layout>
      <c:barChart>
        <c:barDir val="col"/>
        <c:grouping val="clustered"/>
        <c:varyColors val="0"/>
        <c:ser>
          <c:idx val="0"/>
          <c:order val="0"/>
          <c:spPr>
            <a:solidFill>
              <a:schemeClr val="accent1"/>
            </a:solidFill>
            <a:ln>
              <a:noFill/>
            </a:ln>
            <a:effectLst/>
          </c:spPr>
          <c:invertIfNegative val="0"/>
          <c:dPt>
            <c:idx val="8"/>
            <c:invertIfNegative val="0"/>
            <c:bubble3D val="0"/>
            <c:spPr>
              <a:solidFill>
                <a:srgbClr val="FF0000"/>
              </a:solidFill>
              <a:ln>
                <a:noFill/>
              </a:ln>
              <a:effectLst/>
            </c:spPr>
            <c:extLst>
              <c:ext xmlns:c16="http://schemas.microsoft.com/office/drawing/2014/chart" uri="{C3380CC4-5D6E-409C-BE32-E72D297353CC}">
                <c16:uniqueId val="{00000001-77C1-4C60-AA29-DAAD3FA37976}"/>
              </c:ext>
            </c:extLst>
          </c:dPt>
          <c:dPt>
            <c:idx val="16"/>
            <c:invertIfNegative val="0"/>
            <c:bubble3D val="0"/>
            <c:spPr>
              <a:solidFill>
                <a:srgbClr val="FFFF00"/>
              </a:solidFill>
              <a:ln>
                <a:noFill/>
              </a:ln>
              <a:effectLst/>
            </c:spPr>
            <c:extLst>
              <c:ext xmlns:c16="http://schemas.microsoft.com/office/drawing/2014/chart" uri="{C3380CC4-5D6E-409C-BE32-E72D297353CC}">
                <c16:uniqueId val="{00000003-77C1-4C60-AA29-DAAD3FA37976}"/>
              </c:ext>
            </c:extLst>
          </c:dPt>
          <c:dLbls>
            <c:spPr>
              <a:noFill/>
              <a:ln>
                <a:noFill/>
              </a:ln>
              <a:effectLst/>
            </c:spPr>
            <c:txPr>
              <a:bodyPr rot="-5400000" spcFirstLastPara="1" vertOverflow="ellipsis" wrap="square" anchor="ctr" anchorCtr="1"/>
              <a:lstStyle/>
              <a:p>
                <a:pPr>
                  <a:defRPr sz="8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('HDP+1 oby.'!$A$3:$A$36,'HDP+1 oby.'!$A$39:$A$42)</c:f>
              <c:strCache>
                <c:ptCount val="38"/>
                <c:pt idx="0">
                  <c:v>Německo</c:v>
                </c:pt>
                <c:pt idx="1">
                  <c:v>Francie</c:v>
                </c:pt>
                <c:pt idx="2">
                  <c:v>Švédsko</c:v>
                </c:pt>
                <c:pt idx="3">
                  <c:v>Rakousko</c:v>
                </c:pt>
                <c:pt idx="4">
                  <c:v>Belgie</c:v>
                </c:pt>
                <c:pt idx="5">
                  <c:v>Dánsko</c:v>
                </c:pt>
                <c:pt idx="6">
                  <c:v>Velká Británie</c:v>
                </c:pt>
                <c:pt idx="7">
                  <c:v>Nizozemsko</c:v>
                </c:pt>
                <c:pt idx="8">
                  <c:v>EU28</c:v>
                </c:pt>
                <c:pt idx="9">
                  <c:v>Portugalsko</c:v>
                </c:pt>
                <c:pt idx="10">
                  <c:v>Finsko</c:v>
                </c:pt>
                <c:pt idx="11">
                  <c:v>Španělsko</c:v>
                </c:pt>
                <c:pt idx="12">
                  <c:v>Malta</c:v>
                </c:pt>
                <c:pt idx="13">
                  <c:v>Itálie</c:v>
                </c:pt>
                <c:pt idx="14">
                  <c:v>Slovinsko</c:v>
                </c:pt>
                <c:pt idx="15">
                  <c:v>Řecko</c:v>
                </c:pt>
                <c:pt idx="16">
                  <c:v>Česko</c:v>
                </c:pt>
                <c:pt idx="17">
                  <c:v>Bulharsko</c:v>
                </c:pt>
                <c:pt idx="18">
                  <c:v>Irsko</c:v>
                </c:pt>
                <c:pt idx="19">
                  <c:v>Chorvatsko</c:v>
                </c:pt>
                <c:pt idx="20">
                  <c:v>Kypr</c:v>
                </c:pt>
                <c:pt idx="21">
                  <c:v>Maďarsko</c:v>
                </c:pt>
                <c:pt idx="22">
                  <c:v>Slovensko</c:v>
                </c:pt>
                <c:pt idx="23">
                  <c:v>Estonsko</c:v>
                </c:pt>
                <c:pt idx="24">
                  <c:v>Litva</c:v>
                </c:pt>
                <c:pt idx="25">
                  <c:v>Polsko</c:v>
                </c:pt>
                <c:pt idx="26">
                  <c:v>Lotyšsko</c:v>
                </c:pt>
                <c:pt idx="27">
                  <c:v>Rumunsko</c:v>
                </c:pt>
                <c:pt idx="28">
                  <c:v>Lucembursko</c:v>
                </c:pt>
                <c:pt idx="30">
                  <c:v>Spojené státy</c:v>
                </c:pt>
                <c:pt idx="31">
                  <c:v>Švýcarsko</c:v>
                </c:pt>
                <c:pt idx="32">
                  <c:v>Japonsko</c:v>
                </c:pt>
                <c:pt idx="33">
                  <c:v>Norsko</c:v>
                </c:pt>
                <c:pt idx="34">
                  <c:v>Korea</c:v>
                </c:pt>
                <c:pt idx="35">
                  <c:v>Izrael</c:v>
                </c:pt>
                <c:pt idx="36">
                  <c:v>Lichtenštejnsko</c:v>
                </c:pt>
                <c:pt idx="37">
                  <c:v>Turecko</c:v>
                </c:pt>
              </c:strCache>
            </c:strRef>
          </c:cat>
          <c:val>
            <c:numRef>
              <c:f>('HDP+1 oby.'!$B$3:$B$36,'HDP+1 oby.'!$B$39:$B$42)</c:f>
              <c:numCache>
                <c:formatCode>0.00</c:formatCode>
                <c:ptCount val="38"/>
                <c:pt idx="0">
                  <c:v>11.47</c:v>
                </c:pt>
                <c:pt idx="1">
                  <c:v>11.26</c:v>
                </c:pt>
                <c:pt idx="2">
                  <c:v>10.9</c:v>
                </c:pt>
                <c:pt idx="3">
                  <c:v>10.32</c:v>
                </c:pt>
                <c:pt idx="4">
                  <c:v>10.32</c:v>
                </c:pt>
                <c:pt idx="5">
                  <c:v>10.1</c:v>
                </c:pt>
                <c:pt idx="6">
                  <c:v>10</c:v>
                </c:pt>
                <c:pt idx="7">
                  <c:v>9.9700000000000006</c:v>
                </c:pt>
                <c:pt idx="8">
                  <c:v>9.89</c:v>
                </c:pt>
                <c:pt idx="9">
                  <c:v>9.4499999999999993</c:v>
                </c:pt>
                <c:pt idx="10">
                  <c:v>9.0399999999999991</c:v>
                </c:pt>
                <c:pt idx="11">
                  <c:v>8.99</c:v>
                </c:pt>
                <c:pt idx="12">
                  <c:v>8.9499999999999993</c:v>
                </c:pt>
                <c:pt idx="13">
                  <c:v>8.67</c:v>
                </c:pt>
                <c:pt idx="14">
                  <c:v>8.3000000000000007</c:v>
                </c:pt>
                <c:pt idx="15">
                  <c:v>7.72</c:v>
                </c:pt>
                <c:pt idx="16">
                  <c:v>7.65</c:v>
                </c:pt>
                <c:pt idx="17">
                  <c:v>7.35</c:v>
                </c:pt>
                <c:pt idx="18">
                  <c:v>6.93</c:v>
                </c:pt>
                <c:pt idx="19">
                  <c:v>6.83</c:v>
                </c:pt>
                <c:pt idx="20">
                  <c:v>6.77</c:v>
                </c:pt>
                <c:pt idx="21">
                  <c:v>6.7</c:v>
                </c:pt>
                <c:pt idx="22">
                  <c:v>6.69</c:v>
                </c:pt>
                <c:pt idx="23">
                  <c:v>6.66</c:v>
                </c:pt>
                <c:pt idx="24">
                  <c:v>6.57</c:v>
                </c:pt>
                <c:pt idx="25">
                  <c:v>6.33</c:v>
                </c:pt>
                <c:pt idx="26">
                  <c:v>6.21</c:v>
                </c:pt>
                <c:pt idx="27">
                  <c:v>5.56</c:v>
                </c:pt>
                <c:pt idx="28">
                  <c:v>5.29</c:v>
                </c:pt>
                <c:pt idx="30">
                  <c:v>16.899999999999999</c:v>
                </c:pt>
                <c:pt idx="31">
                  <c:v>11.88</c:v>
                </c:pt>
                <c:pt idx="32">
                  <c:v>11</c:v>
                </c:pt>
                <c:pt idx="33">
                  <c:v>10.050000000000001</c:v>
                </c:pt>
                <c:pt idx="34">
                  <c:v>7.6</c:v>
                </c:pt>
                <c:pt idx="35">
                  <c:v>7.5</c:v>
                </c:pt>
                <c:pt idx="36">
                  <c:v>5.5</c:v>
                </c:pt>
                <c:pt idx="37">
                  <c:v>4.2</c:v>
                </c:pt>
              </c:numCache>
            </c:numRef>
          </c:val>
          <c:extLst>
            <c:ext xmlns:c16="http://schemas.microsoft.com/office/drawing/2014/chart" uri="{C3380CC4-5D6E-409C-BE32-E72D297353CC}">
              <c16:uniqueId val="{00000004-77C1-4C60-AA29-DAAD3FA37976}"/>
            </c:ext>
          </c:extLst>
        </c:ser>
        <c:dLbls>
          <c:dLblPos val="outEnd"/>
          <c:showLegendKey val="0"/>
          <c:showVal val="1"/>
          <c:showCatName val="0"/>
          <c:showSerName val="0"/>
          <c:showPercent val="0"/>
          <c:showBubbleSize val="0"/>
        </c:dLbls>
        <c:gapWidth val="91"/>
        <c:overlap val="-27"/>
        <c:axId val="1693437792"/>
        <c:axId val="1693444448"/>
      </c:barChart>
      <c:catAx>
        <c:axId val="16934377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5400000" spcFirstLastPara="1" vertOverflow="ellipsis"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crossAx val="1693444448"/>
        <c:crosses val="autoZero"/>
        <c:auto val="1"/>
        <c:lblAlgn val="ctr"/>
        <c:lblOffset val="100"/>
        <c:noMultiLvlLbl val="0"/>
      </c:catAx>
      <c:valAx>
        <c:axId val="169344444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r>
                  <a:rPr lang="cs-CZ"/>
                  <a:t>%</a:t>
                </a:r>
              </a:p>
            </c:rich>
          </c:tx>
          <c:layout/>
          <c:overlay val="0"/>
          <c:spPr>
            <a:noFill/>
            <a:ln>
              <a:noFill/>
            </a:ln>
            <a:effectLst/>
          </c:spPr>
          <c:txPr>
            <a:bodyPr rot="-54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title>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crossAx val="1693437792"/>
        <c:crosses val="autoZero"/>
        <c:crossBetween val="between"/>
      </c:valAx>
      <c:spPr>
        <a:noFill/>
        <a:ln>
          <a:noFill/>
        </a:ln>
        <a:effectLst/>
      </c:spPr>
    </c:plotArea>
    <c:plotVisOnly val="1"/>
    <c:dispBlanksAs val="gap"/>
    <c:showDLblsOverMax val="0"/>
  </c:chart>
  <c:spPr>
    <a:solidFill>
      <a:schemeClr val="bg1"/>
    </a:solidFill>
    <a:ln w="9525" cap="flat" cmpd="sng" algn="ctr">
      <a:solidFill>
        <a:srgbClr val="D9D9D9"/>
      </a:solidFill>
      <a:round/>
    </a:ln>
    <a:effectLst/>
  </c:spPr>
  <c:txPr>
    <a:bodyPr/>
    <a:lstStyle/>
    <a:p>
      <a:pPr>
        <a:defRPr sz="800">
          <a:latin typeface="Arial" panose="020B0604020202020204" pitchFamily="34" charset="0"/>
          <a:cs typeface="Arial" panose="020B0604020202020204" pitchFamily="34" charset="0"/>
        </a:defRPr>
      </a:pPr>
      <a:endParaRPr lang="cs-CZ"/>
    </a:p>
  </c:txPr>
  <c:externalData r:id="rId4">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percentStacked"/>
        <c:varyColors val="0"/>
        <c:ser>
          <c:idx val="0"/>
          <c:order val="0"/>
          <c:tx>
            <c:strRef>
              <c:f>HF_EU_grafy!$B$2</c:f>
              <c:strCache>
                <c:ptCount val="1"/>
                <c:pt idx="0">
                  <c:v>Veřejné zdroje</c:v>
                </c:pt>
              </c:strCache>
            </c:strRef>
          </c:tx>
          <c:spPr>
            <a:solidFill>
              <a:schemeClr val="accent1"/>
            </a:solidFill>
            <a:ln>
              <a:noFill/>
            </a:ln>
            <a:effectLst/>
          </c:spPr>
          <c:invertIfNegative val="0"/>
          <c:dPt>
            <c:idx val="5"/>
            <c:invertIfNegative val="0"/>
            <c:bubble3D val="0"/>
            <c:spPr>
              <a:solidFill>
                <a:schemeClr val="accent1">
                  <a:lumMod val="50000"/>
                </a:schemeClr>
              </a:solidFill>
              <a:ln>
                <a:noFill/>
              </a:ln>
              <a:effectLst/>
            </c:spPr>
            <c:extLst>
              <c:ext xmlns:c16="http://schemas.microsoft.com/office/drawing/2014/chart" uri="{C3380CC4-5D6E-409C-BE32-E72D297353CC}">
                <c16:uniqueId val="{00000001-C61F-4884-A05A-F5EA919B8AF0}"/>
              </c:ext>
            </c:extLst>
          </c:dPt>
          <c:dPt>
            <c:idx val="10"/>
            <c:invertIfNegative val="0"/>
            <c:bubble3D val="0"/>
            <c:spPr>
              <a:solidFill>
                <a:schemeClr val="accent1">
                  <a:lumMod val="50000"/>
                </a:schemeClr>
              </a:solidFill>
              <a:ln>
                <a:noFill/>
              </a:ln>
              <a:effectLst/>
            </c:spPr>
            <c:extLst>
              <c:ext xmlns:c16="http://schemas.microsoft.com/office/drawing/2014/chart" uri="{C3380CC4-5D6E-409C-BE32-E72D297353CC}">
                <c16:uniqueId val="{00000003-C61F-4884-A05A-F5EA919B8AF0}"/>
              </c:ext>
            </c:extLst>
          </c:dPt>
          <c:dLbls>
            <c:spPr>
              <a:noFill/>
              <a:ln>
                <a:noFill/>
              </a:ln>
              <a:effectLst/>
            </c:spPr>
            <c:txPr>
              <a:bodyPr rot="-5400000" spcFirstLastPara="1" vertOverflow="ellipsis" wrap="square" anchor="ctr" anchorCtr="1"/>
              <a:lstStyle/>
              <a:p>
                <a:pPr>
                  <a:defRPr sz="800" b="0" i="0" u="none" strike="noStrike" kern="1200" baseline="0">
                    <a:solidFill>
                      <a:schemeClr val="bg1"/>
                    </a:solidFill>
                    <a:latin typeface="Arial" panose="020B0604020202020204" pitchFamily="34" charset="0"/>
                    <a:ea typeface="+mn-ea"/>
                    <a:cs typeface="Arial" panose="020B0604020202020204" pitchFamily="34" charset="0"/>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HF_EU_grafy!$A$3:$A$31</c:f>
              <c:strCache>
                <c:ptCount val="29"/>
                <c:pt idx="0">
                  <c:v>Švédsko</c:v>
                </c:pt>
                <c:pt idx="1">
                  <c:v>Německo</c:v>
                </c:pt>
                <c:pt idx="2">
                  <c:v>Lucembursko</c:v>
                </c:pt>
                <c:pt idx="3">
                  <c:v>Dánsko</c:v>
                </c:pt>
                <c:pt idx="4">
                  <c:v>Francie</c:v>
                </c:pt>
                <c:pt idx="5">
                  <c:v>Česko</c:v>
                </c:pt>
                <c:pt idx="6">
                  <c:v>Chorvatsko</c:v>
                </c:pt>
                <c:pt idx="7">
                  <c:v>Nizozemsko</c:v>
                </c:pt>
                <c:pt idx="8">
                  <c:v>Slovensko</c:v>
                </c:pt>
                <c:pt idx="9">
                  <c:v>Rumunsko</c:v>
                </c:pt>
                <c:pt idx="10">
                  <c:v>EU28</c:v>
                </c:pt>
                <c:pt idx="11">
                  <c:v>Velká Británie</c:v>
                </c:pt>
                <c:pt idx="12">
                  <c:v>Finsko</c:v>
                </c:pt>
                <c:pt idx="13">
                  <c:v>Belgie</c:v>
                </c:pt>
                <c:pt idx="14">
                  <c:v>Rakousko</c:v>
                </c:pt>
                <c:pt idx="15">
                  <c:v>Irsko</c:v>
                </c:pt>
                <c:pt idx="16">
                  <c:v>Itálie</c:v>
                </c:pt>
                <c:pt idx="17">
                  <c:v>Estonsko</c:v>
                </c:pt>
                <c:pt idx="18">
                  <c:v>Slovinsko</c:v>
                </c:pt>
                <c:pt idx="19">
                  <c:v>Polsko</c:v>
                </c:pt>
                <c:pt idx="20">
                  <c:v>Španělsko</c:v>
                </c:pt>
                <c:pt idx="21">
                  <c:v>Maďarsko</c:v>
                </c:pt>
                <c:pt idx="22">
                  <c:v>Litva</c:v>
                </c:pt>
                <c:pt idx="23">
                  <c:v>Malta</c:v>
                </c:pt>
                <c:pt idx="24">
                  <c:v>Portugalsko</c:v>
                </c:pt>
                <c:pt idx="25">
                  <c:v>Lotyšsko</c:v>
                </c:pt>
                <c:pt idx="26">
                  <c:v>Bulharsko</c:v>
                </c:pt>
                <c:pt idx="27">
                  <c:v>Řecko</c:v>
                </c:pt>
                <c:pt idx="28">
                  <c:v>Kypr</c:v>
                </c:pt>
              </c:strCache>
            </c:strRef>
          </c:cat>
          <c:val>
            <c:numRef>
              <c:f>HF_EU_grafy!$B$3:$B$31</c:f>
              <c:numCache>
                <c:formatCode>0</c:formatCode>
                <c:ptCount val="29"/>
                <c:pt idx="0">
                  <c:v>85.09214696102957</c:v>
                </c:pt>
                <c:pt idx="1">
                  <c:v>84.559843184685477</c:v>
                </c:pt>
                <c:pt idx="2">
                  <c:v>84.076324767746272</c:v>
                </c:pt>
                <c:pt idx="3">
                  <c:v>83.8805540768074</c:v>
                </c:pt>
                <c:pt idx="4">
                  <c:v>83.633021911272607</c:v>
                </c:pt>
                <c:pt idx="5">
                  <c:v>83.032140469723515</c:v>
                </c:pt>
                <c:pt idx="6">
                  <c:v>82.843612922263262</c:v>
                </c:pt>
                <c:pt idx="7">
                  <c:v>82.065231470687294</c:v>
                </c:pt>
                <c:pt idx="8">
                  <c:v>80.133724782647164</c:v>
                </c:pt>
                <c:pt idx="9">
                  <c:v>79.731195041451699</c:v>
                </c:pt>
                <c:pt idx="10">
                  <c:v>79.3</c:v>
                </c:pt>
                <c:pt idx="11">
                  <c:v>77.778871921724487</c:v>
                </c:pt>
                <c:pt idx="12">
                  <c:v>76.917474429333367</c:v>
                </c:pt>
                <c:pt idx="13">
                  <c:v>75.811573245050823</c:v>
                </c:pt>
                <c:pt idx="14">
                  <c:v>74.701866657016225</c:v>
                </c:pt>
                <c:pt idx="15">
                  <c:v>73.891228484320749</c:v>
                </c:pt>
                <c:pt idx="16">
                  <c:v>73.888362674331248</c:v>
                </c:pt>
                <c:pt idx="17">
                  <c:v>73.668918763114803</c:v>
                </c:pt>
                <c:pt idx="18">
                  <c:v>72.82251162055752</c:v>
                </c:pt>
                <c:pt idx="19">
                  <c:v>71.494282209710718</c:v>
                </c:pt>
                <c:pt idx="20">
                  <c:v>70.403275561767359</c:v>
                </c:pt>
                <c:pt idx="21">
                  <c:v>69.451553522619506</c:v>
                </c:pt>
                <c:pt idx="22">
                  <c:v>67.048118808550726</c:v>
                </c:pt>
                <c:pt idx="23">
                  <c:v>63.478417590339731</c:v>
                </c:pt>
                <c:pt idx="24">
                  <c:v>61.544733852447678</c:v>
                </c:pt>
                <c:pt idx="25">
                  <c:v>59.880724080211955</c:v>
                </c:pt>
                <c:pt idx="26">
                  <c:v>59.079535884946843</c:v>
                </c:pt>
                <c:pt idx="27">
                  <c:v>58.748746620524059</c:v>
                </c:pt>
                <c:pt idx="28">
                  <c:v>42.992215125298749</c:v>
                </c:pt>
              </c:numCache>
            </c:numRef>
          </c:val>
          <c:extLst>
            <c:ext xmlns:c16="http://schemas.microsoft.com/office/drawing/2014/chart" uri="{C3380CC4-5D6E-409C-BE32-E72D297353CC}">
              <c16:uniqueId val="{00000004-C61F-4884-A05A-F5EA919B8AF0}"/>
            </c:ext>
          </c:extLst>
        </c:ser>
        <c:ser>
          <c:idx val="1"/>
          <c:order val="1"/>
          <c:tx>
            <c:strRef>
              <c:f>HF_EU_grafy!$E$2</c:f>
              <c:strCache>
                <c:ptCount val="1"/>
                <c:pt idx="0">
                  <c:v>Přímé výdaje domácností</c:v>
                </c:pt>
              </c:strCache>
            </c:strRef>
          </c:tx>
          <c:spPr>
            <a:solidFill>
              <a:schemeClr val="accent2"/>
            </a:solidFill>
            <a:ln>
              <a:noFill/>
            </a:ln>
            <a:effectLst/>
          </c:spPr>
          <c:invertIfNegative val="0"/>
          <c:dPt>
            <c:idx val="5"/>
            <c:invertIfNegative val="0"/>
            <c:bubble3D val="0"/>
            <c:spPr>
              <a:solidFill>
                <a:schemeClr val="accent2">
                  <a:lumMod val="75000"/>
                </a:schemeClr>
              </a:solidFill>
              <a:ln>
                <a:noFill/>
              </a:ln>
              <a:effectLst/>
            </c:spPr>
            <c:extLst>
              <c:ext xmlns:c16="http://schemas.microsoft.com/office/drawing/2014/chart" uri="{C3380CC4-5D6E-409C-BE32-E72D297353CC}">
                <c16:uniqueId val="{00000006-C61F-4884-A05A-F5EA919B8AF0}"/>
              </c:ext>
            </c:extLst>
          </c:dPt>
          <c:dPt>
            <c:idx val="10"/>
            <c:invertIfNegative val="0"/>
            <c:bubble3D val="0"/>
            <c:spPr>
              <a:solidFill>
                <a:schemeClr val="accent2">
                  <a:lumMod val="75000"/>
                </a:schemeClr>
              </a:solidFill>
              <a:ln>
                <a:noFill/>
              </a:ln>
              <a:effectLst/>
            </c:spPr>
            <c:extLst>
              <c:ext xmlns:c16="http://schemas.microsoft.com/office/drawing/2014/chart" uri="{C3380CC4-5D6E-409C-BE32-E72D297353CC}">
                <c16:uniqueId val="{00000008-C61F-4884-A05A-F5EA919B8AF0}"/>
              </c:ext>
            </c:extLst>
          </c:dPt>
          <c:dLbls>
            <c:spPr>
              <a:noFill/>
              <a:ln>
                <a:noFill/>
              </a:ln>
              <a:effectLst/>
            </c:spPr>
            <c:txPr>
              <a:bodyPr rot="-5400000" spcFirstLastPara="1" vertOverflow="ellipsis" wrap="square" anchor="ctr" anchorCtr="1"/>
              <a:lstStyle/>
              <a:p>
                <a:pPr>
                  <a:defRPr sz="800" b="0" i="0" u="none" strike="noStrike" kern="1200" baseline="0">
                    <a:solidFill>
                      <a:schemeClr val="bg1"/>
                    </a:solidFill>
                    <a:latin typeface="Arial" panose="020B0604020202020204" pitchFamily="34" charset="0"/>
                    <a:ea typeface="+mn-ea"/>
                    <a:cs typeface="Arial" panose="020B0604020202020204" pitchFamily="34" charset="0"/>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HF_EU_grafy!$A$3:$A$31</c:f>
              <c:strCache>
                <c:ptCount val="29"/>
                <c:pt idx="0">
                  <c:v>Švédsko</c:v>
                </c:pt>
                <c:pt idx="1">
                  <c:v>Německo</c:v>
                </c:pt>
                <c:pt idx="2">
                  <c:v>Lucembursko</c:v>
                </c:pt>
                <c:pt idx="3">
                  <c:v>Dánsko</c:v>
                </c:pt>
                <c:pt idx="4">
                  <c:v>Francie</c:v>
                </c:pt>
                <c:pt idx="5">
                  <c:v>Česko</c:v>
                </c:pt>
                <c:pt idx="6">
                  <c:v>Chorvatsko</c:v>
                </c:pt>
                <c:pt idx="7">
                  <c:v>Nizozemsko</c:v>
                </c:pt>
                <c:pt idx="8">
                  <c:v>Slovensko</c:v>
                </c:pt>
                <c:pt idx="9">
                  <c:v>Rumunsko</c:v>
                </c:pt>
                <c:pt idx="10">
                  <c:v>EU28</c:v>
                </c:pt>
                <c:pt idx="11">
                  <c:v>Velká Británie</c:v>
                </c:pt>
                <c:pt idx="12">
                  <c:v>Finsko</c:v>
                </c:pt>
                <c:pt idx="13">
                  <c:v>Belgie</c:v>
                </c:pt>
                <c:pt idx="14">
                  <c:v>Rakousko</c:v>
                </c:pt>
                <c:pt idx="15">
                  <c:v>Irsko</c:v>
                </c:pt>
                <c:pt idx="16">
                  <c:v>Itálie</c:v>
                </c:pt>
                <c:pt idx="17">
                  <c:v>Estonsko</c:v>
                </c:pt>
                <c:pt idx="18">
                  <c:v>Slovinsko</c:v>
                </c:pt>
                <c:pt idx="19">
                  <c:v>Polsko</c:v>
                </c:pt>
                <c:pt idx="20">
                  <c:v>Španělsko</c:v>
                </c:pt>
                <c:pt idx="21">
                  <c:v>Maďarsko</c:v>
                </c:pt>
                <c:pt idx="22">
                  <c:v>Litva</c:v>
                </c:pt>
                <c:pt idx="23">
                  <c:v>Malta</c:v>
                </c:pt>
                <c:pt idx="24">
                  <c:v>Portugalsko</c:v>
                </c:pt>
                <c:pt idx="25">
                  <c:v>Lotyšsko</c:v>
                </c:pt>
                <c:pt idx="26">
                  <c:v>Bulharsko</c:v>
                </c:pt>
                <c:pt idx="27">
                  <c:v>Řecko</c:v>
                </c:pt>
                <c:pt idx="28">
                  <c:v>Kypr</c:v>
                </c:pt>
              </c:strCache>
            </c:strRef>
          </c:cat>
          <c:val>
            <c:numRef>
              <c:f>HF_EU_grafy!$E$3:$E$31</c:f>
              <c:numCache>
                <c:formatCode>0</c:formatCode>
                <c:ptCount val="29"/>
                <c:pt idx="0">
                  <c:v>13.775608074809265</c:v>
                </c:pt>
                <c:pt idx="1">
                  <c:v>12.506907589485866</c:v>
                </c:pt>
                <c:pt idx="2">
                  <c:v>10.435587982345881</c:v>
                </c:pt>
                <c:pt idx="3">
                  <c:v>13.765089115147392</c:v>
                </c:pt>
                <c:pt idx="4">
                  <c:v>9.2483599902259037</c:v>
                </c:pt>
                <c:pt idx="5">
                  <c:v>14.190622540856825</c:v>
                </c:pt>
                <c:pt idx="6">
                  <c:v>10.478484647293486</c:v>
                </c:pt>
                <c:pt idx="7">
                  <c:v>10.798943032563923</c:v>
                </c:pt>
                <c:pt idx="8">
                  <c:v>18.907736242387017</c:v>
                </c:pt>
                <c:pt idx="9">
                  <c:v>19.457535658473656</c:v>
                </c:pt>
                <c:pt idx="10">
                  <c:v>15.68</c:v>
                </c:pt>
                <c:pt idx="11">
                  <c:v>16.708359466567131</c:v>
                </c:pt>
                <c:pt idx="12">
                  <c:v>18.430674476499231</c:v>
                </c:pt>
                <c:pt idx="13">
                  <c:v>19.050383750967733</c:v>
                </c:pt>
                <c:pt idx="14">
                  <c:v>18.365194873604331</c:v>
                </c:pt>
                <c:pt idx="15">
                  <c:v>12.083343540452482</c:v>
                </c:pt>
                <c:pt idx="16">
                  <c:v>23.54508932945749</c:v>
                </c:pt>
                <c:pt idx="17">
                  <c:v>24.55841999677174</c:v>
                </c:pt>
                <c:pt idx="18">
                  <c:v>11.981617792291587</c:v>
                </c:pt>
                <c:pt idx="19">
                  <c:v>20.420339486655951</c:v>
                </c:pt>
                <c:pt idx="20">
                  <c:v>22.16454212711718</c:v>
                </c:pt>
                <c:pt idx="21">
                  <c:v>26.893401015228427</c:v>
                </c:pt>
                <c:pt idx="22">
                  <c:v>31.642699766217603</c:v>
                </c:pt>
                <c:pt idx="23">
                  <c:v>34.295755609624223</c:v>
                </c:pt>
                <c:pt idx="24">
                  <c:v>29.521550359807268</c:v>
                </c:pt>
                <c:pt idx="25">
                  <c:v>39.179811774617285</c:v>
                </c:pt>
                <c:pt idx="26">
                  <c:v>39.328435905089883</c:v>
                </c:pt>
                <c:pt idx="27">
                  <c:v>36.438697201060663</c:v>
                </c:pt>
                <c:pt idx="28">
                  <c:v>44.63933807600386</c:v>
                </c:pt>
              </c:numCache>
            </c:numRef>
          </c:val>
          <c:extLst>
            <c:ext xmlns:c16="http://schemas.microsoft.com/office/drawing/2014/chart" uri="{C3380CC4-5D6E-409C-BE32-E72D297353CC}">
              <c16:uniqueId val="{00000009-C61F-4884-A05A-F5EA919B8AF0}"/>
            </c:ext>
          </c:extLst>
        </c:ser>
        <c:ser>
          <c:idx val="2"/>
          <c:order val="2"/>
          <c:tx>
            <c:strRef>
              <c:f>HF_EU_grafy!$F$2</c:f>
              <c:strCache>
                <c:ptCount val="1"/>
                <c:pt idx="0">
                  <c:v>Dobrovolné zdravotní pojištění</c:v>
                </c:pt>
              </c:strCache>
            </c:strRef>
          </c:tx>
          <c:spPr>
            <a:solidFill>
              <a:schemeClr val="accent3"/>
            </a:solidFill>
            <a:ln>
              <a:noFill/>
            </a:ln>
            <a:effectLst/>
          </c:spPr>
          <c:invertIfNegative val="0"/>
          <c:dLbls>
            <c:dLbl>
              <c:idx val="0"/>
              <c:delete val="1"/>
              <c:extLst>
                <c:ext xmlns:c15="http://schemas.microsoft.com/office/drawing/2012/chart" uri="{CE6537A1-D6FC-4f65-9D91-7224C49458BB}"/>
                <c:ext xmlns:c16="http://schemas.microsoft.com/office/drawing/2014/chart" uri="{C3380CC4-5D6E-409C-BE32-E72D297353CC}">
                  <c16:uniqueId val="{0000000A-C61F-4884-A05A-F5EA919B8AF0}"/>
                </c:ext>
              </c:extLst>
            </c:dLbl>
            <c:dLbl>
              <c:idx val="1"/>
              <c:delete val="1"/>
              <c:extLst>
                <c:ext xmlns:c15="http://schemas.microsoft.com/office/drawing/2012/chart" uri="{CE6537A1-D6FC-4f65-9D91-7224C49458BB}"/>
                <c:ext xmlns:c16="http://schemas.microsoft.com/office/drawing/2014/chart" uri="{C3380CC4-5D6E-409C-BE32-E72D297353CC}">
                  <c16:uniqueId val="{0000000B-C61F-4884-A05A-F5EA919B8AF0}"/>
                </c:ext>
              </c:extLst>
            </c:dLbl>
            <c:dLbl>
              <c:idx val="5"/>
              <c:delete val="1"/>
              <c:extLst>
                <c:ext xmlns:c15="http://schemas.microsoft.com/office/drawing/2012/chart" uri="{CE6537A1-D6FC-4f65-9D91-7224C49458BB}"/>
                <c:ext xmlns:c16="http://schemas.microsoft.com/office/drawing/2014/chart" uri="{C3380CC4-5D6E-409C-BE32-E72D297353CC}">
                  <c16:uniqueId val="{0000000C-C61F-4884-A05A-F5EA919B8AF0}"/>
                </c:ext>
              </c:extLst>
            </c:dLbl>
            <c:dLbl>
              <c:idx val="8"/>
              <c:delete val="1"/>
              <c:extLst>
                <c:ext xmlns:c15="http://schemas.microsoft.com/office/drawing/2012/chart" uri="{CE6537A1-D6FC-4f65-9D91-7224C49458BB}"/>
                <c:ext xmlns:c16="http://schemas.microsoft.com/office/drawing/2014/chart" uri="{C3380CC4-5D6E-409C-BE32-E72D297353CC}">
                  <c16:uniqueId val="{0000000D-C61F-4884-A05A-F5EA919B8AF0}"/>
                </c:ext>
              </c:extLst>
            </c:dLbl>
            <c:dLbl>
              <c:idx val="9"/>
              <c:delete val="1"/>
              <c:extLst>
                <c:ext xmlns:c15="http://schemas.microsoft.com/office/drawing/2012/chart" uri="{CE6537A1-D6FC-4f65-9D91-7224C49458BB}"/>
                <c:ext xmlns:c16="http://schemas.microsoft.com/office/drawing/2014/chart" uri="{C3380CC4-5D6E-409C-BE32-E72D297353CC}">
                  <c16:uniqueId val="{0000000E-C61F-4884-A05A-F5EA919B8AF0}"/>
                </c:ext>
              </c:extLst>
            </c:dLbl>
            <c:dLbl>
              <c:idx val="17"/>
              <c:delete val="1"/>
              <c:extLst>
                <c:ext xmlns:c15="http://schemas.microsoft.com/office/drawing/2012/chart" uri="{CE6537A1-D6FC-4f65-9D91-7224C49458BB}"/>
                <c:ext xmlns:c16="http://schemas.microsoft.com/office/drawing/2014/chart" uri="{C3380CC4-5D6E-409C-BE32-E72D297353CC}">
                  <c16:uniqueId val="{0000000F-C61F-4884-A05A-F5EA919B8AF0}"/>
                </c:ext>
              </c:extLst>
            </c:dLbl>
            <c:dLbl>
              <c:idx val="22"/>
              <c:delete val="1"/>
              <c:extLst>
                <c:ext xmlns:c15="http://schemas.microsoft.com/office/drawing/2012/chart" uri="{CE6537A1-D6FC-4f65-9D91-7224C49458BB}"/>
                <c:ext xmlns:c16="http://schemas.microsoft.com/office/drawing/2014/chart" uri="{C3380CC4-5D6E-409C-BE32-E72D297353CC}">
                  <c16:uniqueId val="{00000010-C61F-4884-A05A-F5EA919B8AF0}"/>
                </c:ext>
              </c:extLst>
            </c:dLbl>
            <c:dLbl>
              <c:idx val="25"/>
              <c:delete val="1"/>
              <c:extLst>
                <c:ext xmlns:c15="http://schemas.microsoft.com/office/drawing/2012/chart" uri="{CE6537A1-D6FC-4f65-9D91-7224C49458BB}"/>
                <c:ext xmlns:c16="http://schemas.microsoft.com/office/drawing/2014/chart" uri="{C3380CC4-5D6E-409C-BE32-E72D297353CC}">
                  <c16:uniqueId val="{00000011-C61F-4884-A05A-F5EA919B8AF0}"/>
                </c:ext>
              </c:extLst>
            </c:dLbl>
            <c:dLbl>
              <c:idx val="26"/>
              <c:delete val="1"/>
              <c:extLst>
                <c:ext xmlns:c15="http://schemas.microsoft.com/office/drawing/2012/chart" uri="{CE6537A1-D6FC-4f65-9D91-7224C49458BB}"/>
                <c:ext xmlns:c16="http://schemas.microsoft.com/office/drawing/2014/chart" uri="{C3380CC4-5D6E-409C-BE32-E72D297353CC}">
                  <c16:uniqueId val="{00000012-C61F-4884-A05A-F5EA919B8AF0}"/>
                </c:ext>
              </c:extLst>
            </c:dLbl>
            <c:spPr>
              <a:noFill/>
              <a:ln>
                <a:noFill/>
              </a:ln>
              <a:effectLst/>
            </c:spPr>
            <c:txPr>
              <a:bodyPr rot="-5400000" spcFirstLastPara="1" vertOverflow="ellipsis" wrap="square" anchor="ctr" anchorCtr="1"/>
              <a:lstStyle/>
              <a:p>
                <a:pPr>
                  <a:defRPr sz="800" b="0" i="0" u="none" strike="noStrike" kern="1200" baseline="0">
                    <a:solidFill>
                      <a:schemeClr val="bg1"/>
                    </a:solidFill>
                    <a:latin typeface="Arial" panose="020B0604020202020204" pitchFamily="34" charset="0"/>
                    <a:ea typeface="+mn-ea"/>
                    <a:cs typeface="Arial" panose="020B0604020202020204" pitchFamily="34" charset="0"/>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HF_EU_grafy!$A$3:$A$31</c:f>
              <c:strCache>
                <c:ptCount val="29"/>
                <c:pt idx="0">
                  <c:v>Švédsko</c:v>
                </c:pt>
                <c:pt idx="1">
                  <c:v>Německo</c:v>
                </c:pt>
                <c:pt idx="2">
                  <c:v>Lucembursko</c:v>
                </c:pt>
                <c:pt idx="3">
                  <c:v>Dánsko</c:v>
                </c:pt>
                <c:pt idx="4">
                  <c:v>Francie</c:v>
                </c:pt>
                <c:pt idx="5">
                  <c:v>Česko</c:v>
                </c:pt>
                <c:pt idx="6">
                  <c:v>Chorvatsko</c:v>
                </c:pt>
                <c:pt idx="7">
                  <c:v>Nizozemsko</c:v>
                </c:pt>
                <c:pt idx="8">
                  <c:v>Slovensko</c:v>
                </c:pt>
                <c:pt idx="9">
                  <c:v>Rumunsko</c:v>
                </c:pt>
                <c:pt idx="10">
                  <c:v>EU28</c:v>
                </c:pt>
                <c:pt idx="11">
                  <c:v>Velká Británie</c:v>
                </c:pt>
                <c:pt idx="12">
                  <c:v>Finsko</c:v>
                </c:pt>
                <c:pt idx="13">
                  <c:v>Belgie</c:v>
                </c:pt>
                <c:pt idx="14">
                  <c:v>Rakousko</c:v>
                </c:pt>
                <c:pt idx="15">
                  <c:v>Irsko</c:v>
                </c:pt>
                <c:pt idx="16">
                  <c:v>Itálie</c:v>
                </c:pt>
                <c:pt idx="17">
                  <c:v>Estonsko</c:v>
                </c:pt>
                <c:pt idx="18">
                  <c:v>Slovinsko</c:v>
                </c:pt>
                <c:pt idx="19">
                  <c:v>Polsko</c:v>
                </c:pt>
                <c:pt idx="20">
                  <c:v>Španělsko</c:v>
                </c:pt>
                <c:pt idx="21">
                  <c:v>Maďarsko</c:v>
                </c:pt>
                <c:pt idx="22">
                  <c:v>Litva</c:v>
                </c:pt>
                <c:pt idx="23">
                  <c:v>Malta</c:v>
                </c:pt>
                <c:pt idx="24">
                  <c:v>Portugalsko</c:v>
                </c:pt>
                <c:pt idx="25">
                  <c:v>Lotyšsko</c:v>
                </c:pt>
                <c:pt idx="26">
                  <c:v>Bulharsko</c:v>
                </c:pt>
                <c:pt idx="27">
                  <c:v>Řecko</c:v>
                </c:pt>
                <c:pt idx="28">
                  <c:v>Kypr</c:v>
                </c:pt>
              </c:strCache>
            </c:strRef>
          </c:cat>
          <c:val>
            <c:numRef>
              <c:f>HF_EU_grafy!$F$3:$F$31</c:f>
              <c:numCache>
                <c:formatCode>0</c:formatCode>
                <c:ptCount val="29"/>
                <c:pt idx="0">
                  <c:v>0.64688850974104961</c:v>
                </c:pt>
                <c:pt idx="1">
                  <c:v>1.4482478182443774</c:v>
                </c:pt>
                <c:pt idx="2">
                  <c:v>3.1134129091808349</c:v>
                </c:pt>
                <c:pt idx="3">
                  <c:v>2.2759001416423619</c:v>
                </c:pt>
                <c:pt idx="4">
                  <c:v>7.1186180985015035</c:v>
                </c:pt>
                <c:pt idx="5">
                  <c:v>0.13867283606426203</c:v>
                </c:pt>
                <c:pt idx="6">
                  <c:v>6.6520828722697942</c:v>
                </c:pt>
                <c:pt idx="7">
                  <c:v>5.6475220849200802</c:v>
                </c:pt>
                <c:pt idx="8">
                  <c:v>0</c:v>
                </c:pt>
                <c:pt idx="9">
                  <c:v>0.54489155374120468</c:v>
                </c:pt>
                <c:pt idx="10">
                  <c:v>3.89</c:v>
                </c:pt>
                <c:pt idx="11">
                  <c:v>2.9363636479945958</c:v>
                </c:pt>
                <c:pt idx="12">
                  <c:v>1.9507533514514628</c:v>
                </c:pt>
                <c:pt idx="13">
                  <c:v>5.1184088902254796</c:v>
                </c:pt>
                <c:pt idx="14">
                  <c:v>5.1280040773121103</c:v>
                </c:pt>
                <c:pt idx="15">
                  <c:v>12.034527529157099</c:v>
                </c:pt>
                <c:pt idx="16">
                  <c:v>1.9172355227487996</c:v>
                </c:pt>
                <c:pt idx="17">
                  <c:v>0.32052021122051327</c:v>
                </c:pt>
                <c:pt idx="18">
                  <c:v>14.003660640217005</c:v>
                </c:pt>
                <c:pt idx="19">
                  <c:v>6.1057061083726332</c:v>
                </c:pt>
                <c:pt idx="20">
                  <c:v>7.0797717503609761</c:v>
                </c:pt>
                <c:pt idx="21">
                  <c:v>1.8992581023037876</c:v>
                </c:pt>
                <c:pt idx="22">
                  <c:v>1.2247506601409421</c:v>
                </c:pt>
                <c:pt idx="23">
                  <c:v>2.2105073443272958</c:v>
                </c:pt>
                <c:pt idx="24">
                  <c:v>8.0523161993825951</c:v>
                </c:pt>
                <c:pt idx="25">
                  <c:v>0.74935429160523659</c:v>
                </c:pt>
                <c:pt idx="26">
                  <c:v>0.69141591008923609</c:v>
                </c:pt>
                <c:pt idx="27">
                  <c:v>4.4218596397424266</c:v>
                </c:pt>
                <c:pt idx="28">
                  <c:v>11.297851821828395</c:v>
                </c:pt>
              </c:numCache>
            </c:numRef>
          </c:val>
          <c:extLst>
            <c:ext xmlns:c16="http://schemas.microsoft.com/office/drawing/2014/chart" uri="{C3380CC4-5D6E-409C-BE32-E72D297353CC}">
              <c16:uniqueId val="{00000013-C61F-4884-A05A-F5EA919B8AF0}"/>
            </c:ext>
          </c:extLst>
        </c:ser>
        <c:ser>
          <c:idx val="3"/>
          <c:order val="3"/>
          <c:tx>
            <c:strRef>
              <c:f>HF_EU_grafy!$G$2</c:f>
              <c:strCache>
                <c:ptCount val="1"/>
                <c:pt idx="0">
                  <c:v>Ostatní zdroje *</c:v>
                </c:pt>
              </c:strCache>
            </c:strRef>
          </c:tx>
          <c:spPr>
            <a:solidFill>
              <a:schemeClr val="accent4"/>
            </a:solidFill>
            <a:ln>
              <a:noFill/>
            </a:ln>
            <a:effectLst/>
          </c:spPr>
          <c:invertIfNegative val="0"/>
          <c:cat>
            <c:strRef>
              <c:f>HF_EU_grafy!$A$3:$A$31</c:f>
              <c:strCache>
                <c:ptCount val="29"/>
                <c:pt idx="0">
                  <c:v>Švédsko</c:v>
                </c:pt>
                <c:pt idx="1">
                  <c:v>Německo</c:v>
                </c:pt>
                <c:pt idx="2">
                  <c:v>Lucembursko</c:v>
                </c:pt>
                <c:pt idx="3">
                  <c:v>Dánsko</c:v>
                </c:pt>
                <c:pt idx="4">
                  <c:v>Francie</c:v>
                </c:pt>
                <c:pt idx="5">
                  <c:v>Česko</c:v>
                </c:pt>
                <c:pt idx="6">
                  <c:v>Chorvatsko</c:v>
                </c:pt>
                <c:pt idx="7">
                  <c:v>Nizozemsko</c:v>
                </c:pt>
                <c:pt idx="8">
                  <c:v>Slovensko</c:v>
                </c:pt>
                <c:pt idx="9">
                  <c:v>Rumunsko</c:v>
                </c:pt>
                <c:pt idx="10">
                  <c:v>EU28</c:v>
                </c:pt>
                <c:pt idx="11">
                  <c:v>Velká Británie</c:v>
                </c:pt>
                <c:pt idx="12">
                  <c:v>Finsko</c:v>
                </c:pt>
                <c:pt idx="13">
                  <c:v>Belgie</c:v>
                </c:pt>
                <c:pt idx="14">
                  <c:v>Rakousko</c:v>
                </c:pt>
                <c:pt idx="15">
                  <c:v>Irsko</c:v>
                </c:pt>
                <c:pt idx="16">
                  <c:v>Itálie</c:v>
                </c:pt>
                <c:pt idx="17">
                  <c:v>Estonsko</c:v>
                </c:pt>
                <c:pt idx="18">
                  <c:v>Slovinsko</c:v>
                </c:pt>
                <c:pt idx="19">
                  <c:v>Polsko</c:v>
                </c:pt>
                <c:pt idx="20">
                  <c:v>Španělsko</c:v>
                </c:pt>
                <c:pt idx="21">
                  <c:v>Maďarsko</c:v>
                </c:pt>
                <c:pt idx="22">
                  <c:v>Litva</c:v>
                </c:pt>
                <c:pt idx="23">
                  <c:v>Malta</c:v>
                </c:pt>
                <c:pt idx="24">
                  <c:v>Portugalsko</c:v>
                </c:pt>
                <c:pt idx="25">
                  <c:v>Lotyšsko</c:v>
                </c:pt>
                <c:pt idx="26">
                  <c:v>Bulharsko</c:v>
                </c:pt>
                <c:pt idx="27">
                  <c:v>Řecko</c:v>
                </c:pt>
                <c:pt idx="28">
                  <c:v>Kypr</c:v>
                </c:pt>
              </c:strCache>
            </c:strRef>
          </c:cat>
          <c:val>
            <c:numRef>
              <c:f>HF_EU_grafy!$G$3:$G$31</c:f>
              <c:numCache>
                <c:formatCode>0.0</c:formatCode>
                <c:ptCount val="29"/>
                <c:pt idx="0">
                  <c:v>0.48535645442012221</c:v>
                </c:pt>
                <c:pt idx="1">
                  <c:v>1.484740743830089</c:v>
                </c:pt>
                <c:pt idx="2">
                  <c:v>2.3746743407270197</c:v>
                </c:pt>
                <c:pt idx="3">
                  <c:v>7.84238256048536E-2</c:v>
                </c:pt>
                <c:pt idx="4">
                  <c:v>0.6180641852990737</c:v>
                </c:pt>
                <c:pt idx="5">
                  <c:v>2.6385641533553974</c:v>
                </c:pt>
                <c:pt idx="6">
                  <c:v>2.5535826764951221E-2</c:v>
                </c:pt>
                <c:pt idx="7">
                  <c:v>1.4883034118287091</c:v>
                </c:pt>
                <c:pt idx="8">
                  <c:v>0.95837206934594699</c:v>
                </c:pt>
                <c:pt idx="9">
                  <c:v>0.26628980386190571</c:v>
                </c:pt>
                <c:pt idx="10">
                  <c:v>1.35</c:v>
                </c:pt>
                <c:pt idx="11">
                  <c:v>2.5764090908284247</c:v>
                </c:pt>
                <c:pt idx="12">
                  <c:v>2.7010977427159291</c:v>
                </c:pt>
                <c:pt idx="13">
                  <c:v>1.9655203029600693E-2</c:v>
                </c:pt>
                <c:pt idx="14">
                  <c:v>1.804934392067336</c:v>
                </c:pt>
                <c:pt idx="15">
                  <c:v>1.9909449862259565</c:v>
                </c:pt>
                <c:pt idx="16">
                  <c:v>0.64931247346245546</c:v>
                </c:pt>
                <c:pt idx="17">
                  <c:v>1.4521410288929371</c:v>
                </c:pt>
                <c:pt idx="18">
                  <c:v>1.1922099469338845</c:v>
                </c:pt>
                <c:pt idx="19">
                  <c:v>1.9797039395994118</c:v>
                </c:pt>
                <c:pt idx="20">
                  <c:v>0.35241981061828864</c:v>
                </c:pt>
                <c:pt idx="21">
                  <c:v>1.7558989234116136</c:v>
                </c:pt>
                <c:pt idx="22">
                  <c:v>8.4767142640900142E-2</c:v>
                </c:pt>
                <c:pt idx="23">
                  <c:v>1.6220600162206E-2</c:v>
                </c:pt>
                <c:pt idx="24">
                  <c:v>0.88139958836245869</c:v>
                </c:pt>
                <c:pt idx="25">
                  <c:v>0.1901098535655297</c:v>
                </c:pt>
                <c:pt idx="26">
                  <c:v>0.90061229987404534</c:v>
                </c:pt>
                <c:pt idx="27">
                  <c:v>0.3906965386728527</c:v>
                </c:pt>
                <c:pt idx="28">
                  <c:v>1.0705949768689988</c:v>
                </c:pt>
              </c:numCache>
            </c:numRef>
          </c:val>
          <c:extLst>
            <c:ext xmlns:c16="http://schemas.microsoft.com/office/drawing/2014/chart" uri="{C3380CC4-5D6E-409C-BE32-E72D297353CC}">
              <c16:uniqueId val="{00000014-C61F-4884-A05A-F5EA919B8AF0}"/>
            </c:ext>
          </c:extLst>
        </c:ser>
        <c:dLbls>
          <c:showLegendKey val="0"/>
          <c:showVal val="0"/>
          <c:showCatName val="0"/>
          <c:showSerName val="0"/>
          <c:showPercent val="0"/>
          <c:showBubbleSize val="0"/>
        </c:dLbls>
        <c:gapWidth val="80"/>
        <c:overlap val="100"/>
        <c:axId val="1056976079"/>
        <c:axId val="1056973167"/>
      </c:barChart>
      <c:catAx>
        <c:axId val="1056976079"/>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5400000" spcFirstLastPara="1" vertOverflow="ellipsis"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crossAx val="1056973167"/>
        <c:crosses val="autoZero"/>
        <c:auto val="1"/>
        <c:lblAlgn val="ctr"/>
        <c:lblOffset val="100"/>
        <c:noMultiLvlLbl val="0"/>
      </c:catAx>
      <c:valAx>
        <c:axId val="1056973167"/>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crossAx val="1056976079"/>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800">
          <a:latin typeface="Arial" panose="020B0604020202020204" pitchFamily="34" charset="0"/>
          <a:cs typeface="Arial" panose="020B0604020202020204" pitchFamily="34" charset="0"/>
        </a:defRPr>
      </a:pPr>
      <a:endParaRPr lang="cs-CZ"/>
    </a:p>
  </c:txPr>
  <c:externalData r:id="rId4">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percentStacked"/>
        <c:varyColors val="0"/>
        <c:ser>
          <c:idx val="0"/>
          <c:order val="0"/>
          <c:tx>
            <c:strRef>
              <c:f>HF_EU_grafy!$B$34</c:f>
              <c:strCache>
                <c:ptCount val="1"/>
                <c:pt idx="0">
                  <c:v>Veřejné rozpočty</c:v>
                </c:pt>
              </c:strCache>
            </c:strRef>
          </c:tx>
          <c:spPr>
            <a:solidFill>
              <a:schemeClr val="accent1"/>
            </a:solidFill>
            <a:ln>
              <a:noFill/>
            </a:ln>
            <a:effectLst/>
          </c:spPr>
          <c:invertIfNegative val="0"/>
          <c:dPt>
            <c:idx val="16"/>
            <c:invertIfNegative val="0"/>
            <c:bubble3D val="0"/>
            <c:spPr>
              <a:solidFill>
                <a:schemeClr val="accent1">
                  <a:lumMod val="75000"/>
                </a:schemeClr>
              </a:solidFill>
              <a:ln>
                <a:noFill/>
              </a:ln>
              <a:effectLst/>
            </c:spPr>
            <c:extLst>
              <c:ext xmlns:c16="http://schemas.microsoft.com/office/drawing/2014/chart" uri="{C3380CC4-5D6E-409C-BE32-E72D297353CC}">
                <c16:uniqueId val="{00000001-D516-4B13-9A6E-D1A1382B7688}"/>
              </c:ext>
            </c:extLst>
          </c:dPt>
          <c:dLbls>
            <c:dLbl>
              <c:idx val="27"/>
              <c:numFmt formatCode="#,##0" sourceLinked="0"/>
              <c:spPr>
                <a:noFill/>
                <a:ln>
                  <a:noFill/>
                </a:ln>
                <a:effectLst/>
              </c:spPr>
              <c:txPr>
                <a:bodyPr rot="-5400000" spcFirstLastPara="1" vertOverflow="ellipsis" wrap="square" anchor="ctr" anchorCtr="1"/>
                <a:lstStyle/>
                <a:p>
                  <a:pPr>
                    <a:defRPr sz="800" b="0" i="0" u="none" strike="noStrike" kern="1200" baseline="0">
                      <a:solidFill>
                        <a:schemeClr val="bg1"/>
                      </a:solidFill>
                      <a:latin typeface="Arial" panose="020B0604020202020204" pitchFamily="34" charset="0"/>
                      <a:ea typeface="+mn-ea"/>
                      <a:cs typeface="Arial" panose="020B0604020202020204" pitchFamily="34" charset="0"/>
                    </a:defRPr>
                  </a:pPr>
                  <a:endParaRPr lang="cs-CZ"/>
                </a:p>
              </c:txPr>
              <c:dLblPos val="ctr"/>
              <c:showLegendKey val="0"/>
              <c:showVal val="1"/>
              <c:showCatName val="0"/>
              <c:showSerName val="0"/>
              <c:showPercent val="0"/>
              <c:showBubbleSize val="0"/>
              <c:extLst>
                <c:ext xmlns:c16="http://schemas.microsoft.com/office/drawing/2014/chart" uri="{C3380CC4-5D6E-409C-BE32-E72D297353CC}">
                  <c16:uniqueId val="{00000002-D516-4B13-9A6E-D1A1382B7688}"/>
                </c:ext>
              </c:extLst>
            </c:dLbl>
            <c:spPr>
              <a:noFill/>
              <a:ln>
                <a:noFill/>
              </a:ln>
              <a:effectLst/>
            </c:spPr>
            <c:txPr>
              <a:bodyPr rot="-5400000" spcFirstLastPara="1" vertOverflow="ellipsis" wrap="square" anchor="ctr" anchorCtr="1"/>
              <a:lstStyle/>
              <a:p>
                <a:pPr>
                  <a:defRPr sz="800" b="0" i="0" u="none" strike="noStrike" kern="1200" baseline="0">
                    <a:solidFill>
                      <a:schemeClr val="bg1"/>
                    </a:solidFill>
                    <a:latin typeface="Arial" panose="020B0604020202020204" pitchFamily="34" charset="0"/>
                    <a:ea typeface="+mn-ea"/>
                    <a:cs typeface="Arial" panose="020B0604020202020204" pitchFamily="34" charset="0"/>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HF_EU_grafy!$A$35:$A$62</c:f>
              <c:strCache>
                <c:ptCount val="28"/>
                <c:pt idx="0">
                  <c:v>Dánsko</c:v>
                </c:pt>
                <c:pt idx="1">
                  <c:v>Lotyšsko</c:v>
                </c:pt>
                <c:pt idx="2">
                  <c:v>Malta</c:v>
                </c:pt>
                <c:pt idx="3">
                  <c:v>Švédsko</c:v>
                </c:pt>
                <c:pt idx="4">
                  <c:v>Velká Británie</c:v>
                </c:pt>
                <c:pt idx="5">
                  <c:v>Itálie</c:v>
                </c:pt>
                <c:pt idx="6">
                  <c:v>Kypr</c:v>
                </c:pt>
                <c:pt idx="7">
                  <c:v>Irsko</c:v>
                </c:pt>
                <c:pt idx="8">
                  <c:v>Portugalsko</c:v>
                </c:pt>
                <c:pt idx="9">
                  <c:v>Španělsko</c:v>
                </c:pt>
                <c:pt idx="10">
                  <c:v>Finsko</c:v>
                </c:pt>
                <c:pt idx="11">
                  <c:v>Řecko</c:v>
                </c:pt>
                <c:pt idx="12">
                  <c:v>Rakousko</c:v>
                </c:pt>
                <c:pt idx="13">
                  <c:v>Belgie</c:v>
                </c:pt>
                <c:pt idx="14">
                  <c:v>Rumunsko</c:v>
                </c:pt>
                <c:pt idx="15">
                  <c:v>Bulharsko</c:v>
                </c:pt>
                <c:pt idx="16">
                  <c:v>Česko</c:v>
                </c:pt>
                <c:pt idx="17">
                  <c:v>Polsko</c:v>
                </c:pt>
                <c:pt idx="18">
                  <c:v>Litva</c:v>
                </c:pt>
                <c:pt idx="19">
                  <c:v>Estonsko</c:v>
                </c:pt>
                <c:pt idx="20">
                  <c:v>Maďarsko</c:v>
                </c:pt>
                <c:pt idx="21">
                  <c:v>Nizozemsko</c:v>
                </c:pt>
                <c:pt idx="22">
                  <c:v>Německo</c:v>
                </c:pt>
                <c:pt idx="23">
                  <c:v>Francie</c:v>
                </c:pt>
                <c:pt idx="24">
                  <c:v>Lucembursko</c:v>
                </c:pt>
                <c:pt idx="25">
                  <c:v>Chorvatsko</c:v>
                </c:pt>
                <c:pt idx="26">
                  <c:v>Slovinsko</c:v>
                </c:pt>
                <c:pt idx="27">
                  <c:v>Slovensko</c:v>
                </c:pt>
              </c:strCache>
            </c:strRef>
          </c:cat>
          <c:val>
            <c:numRef>
              <c:f>HF_EU_grafy!$B$35:$B$62</c:f>
              <c:numCache>
                <c:formatCode>0</c:formatCode>
                <c:ptCount val="28"/>
                <c:pt idx="0">
                  <c:v>100</c:v>
                </c:pt>
                <c:pt idx="1">
                  <c:v>100</c:v>
                </c:pt>
                <c:pt idx="2">
                  <c:v>100</c:v>
                </c:pt>
                <c:pt idx="3">
                  <c:v>100</c:v>
                </c:pt>
                <c:pt idx="4">
                  <c:v>100</c:v>
                </c:pt>
                <c:pt idx="5">
                  <c:v>99.799313954310776</c:v>
                </c:pt>
                <c:pt idx="6">
                  <c:v>99.463597795874577</c:v>
                </c:pt>
                <c:pt idx="7">
                  <c:v>99.17714499270636</c:v>
                </c:pt>
                <c:pt idx="8">
                  <c:v>96.104365070680515</c:v>
                </c:pt>
                <c:pt idx="9">
                  <c:v>94.060825798351573</c:v>
                </c:pt>
                <c:pt idx="10">
                  <c:v>81.882501859303659</c:v>
                </c:pt>
                <c:pt idx="11">
                  <c:v>46.771835615391232</c:v>
                </c:pt>
                <c:pt idx="12">
                  <c:v>40.477739620031379</c:v>
                </c:pt>
                <c:pt idx="13">
                  <c:v>26.891896139777728</c:v>
                </c:pt>
                <c:pt idx="14">
                  <c:v>20.110872253148749</c:v>
                </c:pt>
                <c:pt idx="15">
                  <c:v>17.608107164423121</c:v>
                </c:pt>
                <c:pt idx="16">
                  <c:v>16.000962153524192</c:v>
                </c:pt>
                <c:pt idx="17">
                  <c:v>13.942651374884001</c:v>
                </c:pt>
                <c:pt idx="18">
                  <c:v>12.611125604543357</c:v>
                </c:pt>
                <c:pt idx="19">
                  <c:v>12.350538374859147</c:v>
                </c:pt>
                <c:pt idx="20">
                  <c:v>12.328261012739969</c:v>
                </c:pt>
                <c:pt idx="21">
                  <c:v>7.8161500094702951</c:v>
                </c:pt>
                <c:pt idx="22">
                  <c:v>7.6312723102816875</c:v>
                </c:pt>
                <c:pt idx="23">
                  <c:v>6.4511029073339001</c:v>
                </c:pt>
                <c:pt idx="24">
                  <c:v>5.1838612741020507</c:v>
                </c:pt>
                <c:pt idx="25">
                  <c:v>4.9996746341346459</c:v>
                </c:pt>
                <c:pt idx="26">
                  <c:v>4.6528616581922337</c:v>
                </c:pt>
                <c:pt idx="27" formatCode="0.00">
                  <c:v>2.8720262271043953</c:v>
                </c:pt>
              </c:numCache>
            </c:numRef>
          </c:val>
          <c:extLst>
            <c:ext xmlns:c16="http://schemas.microsoft.com/office/drawing/2014/chart" uri="{C3380CC4-5D6E-409C-BE32-E72D297353CC}">
              <c16:uniqueId val="{00000003-D516-4B13-9A6E-D1A1382B7688}"/>
            </c:ext>
          </c:extLst>
        </c:ser>
        <c:ser>
          <c:idx val="1"/>
          <c:order val="1"/>
          <c:tx>
            <c:strRef>
              <c:f>HF_EU_grafy!$C$34</c:f>
              <c:strCache>
                <c:ptCount val="1"/>
                <c:pt idx="0">
                  <c:v>Povinné veřejné zdravotní pojištění</c:v>
                </c:pt>
              </c:strCache>
            </c:strRef>
          </c:tx>
          <c:spPr>
            <a:solidFill>
              <a:schemeClr val="accent2"/>
            </a:solidFill>
            <a:ln>
              <a:noFill/>
            </a:ln>
            <a:effectLst/>
          </c:spPr>
          <c:invertIfNegative val="0"/>
          <c:dPt>
            <c:idx val="16"/>
            <c:invertIfNegative val="0"/>
            <c:bubble3D val="0"/>
            <c:spPr>
              <a:solidFill>
                <a:schemeClr val="accent2">
                  <a:lumMod val="75000"/>
                </a:schemeClr>
              </a:solidFill>
              <a:ln>
                <a:noFill/>
              </a:ln>
              <a:effectLst/>
            </c:spPr>
            <c:extLst>
              <c:ext xmlns:c16="http://schemas.microsoft.com/office/drawing/2014/chart" uri="{C3380CC4-5D6E-409C-BE32-E72D297353CC}">
                <c16:uniqueId val="{00000005-D516-4B13-9A6E-D1A1382B7688}"/>
              </c:ext>
            </c:extLst>
          </c:dPt>
          <c:dLbls>
            <c:dLbl>
              <c:idx val="0"/>
              <c:delete val="1"/>
              <c:extLst>
                <c:ext xmlns:c15="http://schemas.microsoft.com/office/drawing/2012/chart" uri="{CE6537A1-D6FC-4f65-9D91-7224C49458BB}"/>
                <c:ext xmlns:c16="http://schemas.microsoft.com/office/drawing/2014/chart" uri="{C3380CC4-5D6E-409C-BE32-E72D297353CC}">
                  <c16:uniqueId val="{00000006-D516-4B13-9A6E-D1A1382B7688}"/>
                </c:ext>
              </c:extLst>
            </c:dLbl>
            <c:dLbl>
              <c:idx val="1"/>
              <c:delete val="1"/>
              <c:extLst>
                <c:ext xmlns:c15="http://schemas.microsoft.com/office/drawing/2012/chart" uri="{CE6537A1-D6FC-4f65-9D91-7224C49458BB}"/>
                <c:ext xmlns:c16="http://schemas.microsoft.com/office/drawing/2014/chart" uri="{C3380CC4-5D6E-409C-BE32-E72D297353CC}">
                  <c16:uniqueId val="{00000007-D516-4B13-9A6E-D1A1382B7688}"/>
                </c:ext>
              </c:extLst>
            </c:dLbl>
            <c:dLbl>
              <c:idx val="2"/>
              <c:delete val="1"/>
              <c:extLst>
                <c:ext xmlns:c15="http://schemas.microsoft.com/office/drawing/2012/chart" uri="{CE6537A1-D6FC-4f65-9D91-7224C49458BB}"/>
                <c:ext xmlns:c16="http://schemas.microsoft.com/office/drawing/2014/chart" uri="{C3380CC4-5D6E-409C-BE32-E72D297353CC}">
                  <c16:uniqueId val="{00000008-D516-4B13-9A6E-D1A1382B7688}"/>
                </c:ext>
              </c:extLst>
            </c:dLbl>
            <c:dLbl>
              <c:idx val="3"/>
              <c:delete val="1"/>
              <c:extLst>
                <c:ext xmlns:c15="http://schemas.microsoft.com/office/drawing/2012/chart" uri="{CE6537A1-D6FC-4f65-9D91-7224C49458BB}"/>
                <c:ext xmlns:c16="http://schemas.microsoft.com/office/drawing/2014/chart" uri="{C3380CC4-5D6E-409C-BE32-E72D297353CC}">
                  <c16:uniqueId val="{00000009-D516-4B13-9A6E-D1A1382B7688}"/>
                </c:ext>
              </c:extLst>
            </c:dLbl>
            <c:dLbl>
              <c:idx val="4"/>
              <c:delete val="1"/>
              <c:extLst>
                <c:ext xmlns:c15="http://schemas.microsoft.com/office/drawing/2012/chart" uri="{CE6537A1-D6FC-4f65-9D91-7224C49458BB}"/>
                <c:ext xmlns:c16="http://schemas.microsoft.com/office/drawing/2014/chart" uri="{C3380CC4-5D6E-409C-BE32-E72D297353CC}">
                  <c16:uniqueId val="{0000000A-D516-4B13-9A6E-D1A1382B7688}"/>
                </c:ext>
              </c:extLst>
            </c:dLbl>
            <c:dLbl>
              <c:idx val="5"/>
              <c:delete val="1"/>
              <c:extLst>
                <c:ext xmlns:c15="http://schemas.microsoft.com/office/drawing/2012/chart" uri="{CE6537A1-D6FC-4f65-9D91-7224C49458BB}"/>
                <c:ext xmlns:c16="http://schemas.microsoft.com/office/drawing/2014/chart" uri="{C3380CC4-5D6E-409C-BE32-E72D297353CC}">
                  <c16:uniqueId val="{0000000B-D516-4B13-9A6E-D1A1382B7688}"/>
                </c:ext>
              </c:extLst>
            </c:dLbl>
            <c:dLbl>
              <c:idx val="6"/>
              <c:delete val="1"/>
              <c:extLst>
                <c:ext xmlns:c15="http://schemas.microsoft.com/office/drawing/2012/chart" uri="{CE6537A1-D6FC-4f65-9D91-7224C49458BB}"/>
                <c:ext xmlns:c16="http://schemas.microsoft.com/office/drawing/2014/chart" uri="{C3380CC4-5D6E-409C-BE32-E72D297353CC}">
                  <c16:uniqueId val="{0000000C-D516-4B13-9A6E-D1A1382B7688}"/>
                </c:ext>
              </c:extLst>
            </c:dLbl>
            <c:dLbl>
              <c:idx val="7"/>
              <c:delete val="1"/>
              <c:extLst>
                <c:ext xmlns:c15="http://schemas.microsoft.com/office/drawing/2012/chart" uri="{CE6537A1-D6FC-4f65-9D91-7224C49458BB}"/>
                <c:ext xmlns:c16="http://schemas.microsoft.com/office/drawing/2014/chart" uri="{C3380CC4-5D6E-409C-BE32-E72D297353CC}">
                  <c16:uniqueId val="{0000000D-D516-4B13-9A6E-D1A1382B7688}"/>
                </c:ext>
              </c:extLst>
            </c:dLbl>
            <c:dLbl>
              <c:idx val="27"/>
              <c:numFmt formatCode="#,##0" sourceLinked="0"/>
              <c:spPr>
                <a:noFill/>
                <a:ln>
                  <a:noFill/>
                </a:ln>
                <a:effectLst/>
              </c:spPr>
              <c:txPr>
                <a:bodyPr rot="-5400000" spcFirstLastPara="1" vertOverflow="ellipsis" wrap="square" anchor="ctr" anchorCtr="1"/>
                <a:lstStyle/>
                <a:p>
                  <a:pPr>
                    <a:defRPr sz="800" b="0" i="0" u="none" strike="noStrike" kern="1200" baseline="0">
                      <a:solidFill>
                        <a:schemeClr val="bg1"/>
                      </a:solidFill>
                      <a:latin typeface="Arial" panose="020B0604020202020204" pitchFamily="34" charset="0"/>
                      <a:ea typeface="+mn-ea"/>
                      <a:cs typeface="Arial" panose="020B0604020202020204" pitchFamily="34" charset="0"/>
                    </a:defRPr>
                  </a:pPr>
                  <a:endParaRPr lang="cs-CZ"/>
                </a:p>
              </c:txPr>
              <c:dLblPos val="ctr"/>
              <c:showLegendKey val="0"/>
              <c:showVal val="1"/>
              <c:showCatName val="0"/>
              <c:showSerName val="0"/>
              <c:showPercent val="0"/>
              <c:showBubbleSize val="0"/>
              <c:extLst>
                <c:ext xmlns:c16="http://schemas.microsoft.com/office/drawing/2014/chart" uri="{C3380CC4-5D6E-409C-BE32-E72D297353CC}">
                  <c16:uniqueId val="{0000000E-D516-4B13-9A6E-D1A1382B7688}"/>
                </c:ext>
              </c:extLst>
            </c:dLbl>
            <c:spPr>
              <a:noFill/>
              <a:ln>
                <a:noFill/>
              </a:ln>
              <a:effectLst/>
            </c:spPr>
            <c:txPr>
              <a:bodyPr rot="-5400000" spcFirstLastPara="1" vertOverflow="ellipsis" wrap="square" anchor="ctr" anchorCtr="1"/>
              <a:lstStyle/>
              <a:p>
                <a:pPr>
                  <a:defRPr sz="800" b="0" i="0" u="none" strike="noStrike" kern="1200" baseline="0">
                    <a:solidFill>
                      <a:schemeClr val="bg1"/>
                    </a:solidFill>
                    <a:latin typeface="Arial" panose="020B0604020202020204" pitchFamily="34" charset="0"/>
                    <a:ea typeface="+mn-ea"/>
                    <a:cs typeface="Arial" panose="020B0604020202020204" pitchFamily="34" charset="0"/>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HF_EU_grafy!$A$35:$A$62</c:f>
              <c:strCache>
                <c:ptCount val="28"/>
                <c:pt idx="0">
                  <c:v>Dánsko</c:v>
                </c:pt>
                <c:pt idx="1">
                  <c:v>Lotyšsko</c:v>
                </c:pt>
                <c:pt idx="2">
                  <c:v>Malta</c:v>
                </c:pt>
                <c:pt idx="3">
                  <c:v>Švédsko</c:v>
                </c:pt>
                <c:pt idx="4">
                  <c:v>Velká Británie</c:v>
                </c:pt>
                <c:pt idx="5">
                  <c:v>Itálie</c:v>
                </c:pt>
                <c:pt idx="6">
                  <c:v>Kypr</c:v>
                </c:pt>
                <c:pt idx="7">
                  <c:v>Irsko</c:v>
                </c:pt>
                <c:pt idx="8">
                  <c:v>Portugalsko</c:v>
                </c:pt>
                <c:pt idx="9">
                  <c:v>Španělsko</c:v>
                </c:pt>
                <c:pt idx="10">
                  <c:v>Finsko</c:v>
                </c:pt>
                <c:pt idx="11">
                  <c:v>Řecko</c:v>
                </c:pt>
                <c:pt idx="12">
                  <c:v>Rakousko</c:v>
                </c:pt>
                <c:pt idx="13">
                  <c:v>Belgie</c:v>
                </c:pt>
                <c:pt idx="14">
                  <c:v>Rumunsko</c:v>
                </c:pt>
                <c:pt idx="15">
                  <c:v>Bulharsko</c:v>
                </c:pt>
                <c:pt idx="16">
                  <c:v>Česko</c:v>
                </c:pt>
                <c:pt idx="17">
                  <c:v>Polsko</c:v>
                </c:pt>
                <c:pt idx="18">
                  <c:v>Litva</c:v>
                </c:pt>
                <c:pt idx="19">
                  <c:v>Estonsko</c:v>
                </c:pt>
                <c:pt idx="20">
                  <c:v>Maďarsko</c:v>
                </c:pt>
                <c:pt idx="21">
                  <c:v>Nizozemsko</c:v>
                </c:pt>
                <c:pt idx="22">
                  <c:v>Německo</c:v>
                </c:pt>
                <c:pt idx="23">
                  <c:v>Francie</c:v>
                </c:pt>
                <c:pt idx="24">
                  <c:v>Lucembursko</c:v>
                </c:pt>
                <c:pt idx="25">
                  <c:v>Chorvatsko</c:v>
                </c:pt>
                <c:pt idx="26">
                  <c:v>Slovinsko</c:v>
                </c:pt>
                <c:pt idx="27">
                  <c:v>Slovensko</c:v>
                </c:pt>
              </c:strCache>
            </c:strRef>
          </c:cat>
          <c:val>
            <c:numRef>
              <c:f>HF_EU_grafy!$C$35:$C$62</c:f>
              <c:numCache>
                <c:formatCode>0</c:formatCode>
                <c:ptCount val="28"/>
                <c:pt idx="0">
                  <c:v>0</c:v>
                </c:pt>
                <c:pt idx="1">
                  <c:v>0</c:v>
                </c:pt>
                <c:pt idx="2">
                  <c:v>0</c:v>
                </c:pt>
                <c:pt idx="3">
                  <c:v>0</c:v>
                </c:pt>
                <c:pt idx="4">
                  <c:v>0</c:v>
                </c:pt>
                <c:pt idx="5">
                  <c:v>0.20068604568922838</c:v>
                </c:pt>
                <c:pt idx="6">
                  <c:v>0.53640220412542061</c:v>
                </c:pt>
                <c:pt idx="7">
                  <c:v>0.82285500729363825</c:v>
                </c:pt>
                <c:pt idx="8">
                  <c:v>3.8957191028448972</c:v>
                </c:pt>
                <c:pt idx="9">
                  <c:v>5.9391610632486502</c:v>
                </c:pt>
                <c:pt idx="10">
                  <c:v>16.734964266892575</c:v>
                </c:pt>
                <c:pt idx="11">
                  <c:v>53.228164384608782</c:v>
                </c:pt>
                <c:pt idx="12">
                  <c:v>59.522260379968614</c:v>
                </c:pt>
                <c:pt idx="13">
                  <c:v>73.051188204717207</c:v>
                </c:pt>
                <c:pt idx="14">
                  <c:v>79.889127746851244</c:v>
                </c:pt>
                <c:pt idx="15">
                  <c:v>82.391892835576883</c:v>
                </c:pt>
                <c:pt idx="16">
                  <c:v>83.999037846475801</c:v>
                </c:pt>
                <c:pt idx="17">
                  <c:v>85.434799017844853</c:v>
                </c:pt>
                <c:pt idx="18">
                  <c:v>87.388874395456639</c:v>
                </c:pt>
                <c:pt idx="19">
                  <c:v>87.649461625140844</c:v>
                </c:pt>
                <c:pt idx="20">
                  <c:v>87.671738987260028</c:v>
                </c:pt>
                <c:pt idx="21">
                  <c:v>24.47124187133026</c:v>
                </c:pt>
                <c:pt idx="22">
                  <c:v>83.837337624305647</c:v>
                </c:pt>
                <c:pt idx="23">
                  <c:v>85.669047805653562</c:v>
                </c:pt>
                <c:pt idx="24">
                  <c:v>94.815764034081965</c:v>
                </c:pt>
                <c:pt idx="25">
                  <c:v>95.000325365865351</c:v>
                </c:pt>
                <c:pt idx="26">
                  <c:v>95.34677670169755</c:v>
                </c:pt>
                <c:pt idx="27" formatCode="0.00">
                  <c:v>97.127973772895601</c:v>
                </c:pt>
              </c:numCache>
            </c:numRef>
          </c:val>
          <c:extLst>
            <c:ext xmlns:c16="http://schemas.microsoft.com/office/drawing/2014/chart" uri="{C3380CC4-5D6E-409C-BE32-E72D297353CC}">
              <c16:uniqueId val="{0000000F-D516-4B13-9A6E-D1A1382B7688}"/>
            </c:ext>
          </c:extLst>
        </c:ser>
        <c:ser>
          <c:idx val="2"/>
          <c:order val="2"/>
          <c:tx>
            <c:strRef>
              <c:f>HF_EU_grafy!$D$34</c:f>
              <c:strCache>
                <c:ptCount val="1"/>
                <c:pt idx="0">
                  <c:v>Povinné soukromé pojištění</c:v>
                </c:pt>
              </c:strCache>
            </c:strRef>
          </c:tx>
          <c:spPr>
            <a:solidFill>
              <a:schemeClr val="accent3"/>
            </a:solidFill>
            <a:ln>
              <a:noFill/>
            </a:ln>
            <a:effectLst/>
          </c:spPr>
          <c:invertIfNegative val="0"/>
          <c:dLbls>
            <c:dLbl>
              <c:idx val="0"/>
              <c:delete val="1"/>
              <c:extLst>
                <c:ext xmlns:c15="http://schemas.microsoft.com/office/drawing/2012/chart" uri="{CE6537A1-D6FC-4f65-9D91-7224C49458BB}"/>
                <c:ext xmlns:c16="http://schemas.microsoft.com/office/drawing/2014/chart" uri="{C3380CC4-5D6E-409C-BE32-E72D297353CC}">
                  <c16:uniqueId val="{00000010-D516-4B13-9A6E-D1A1382B7688}"/>
                </c:ext>
              </c:extLst>
            </c:dLbl>
            <c:dLbl>
              <c:idx val="1"/>
              <c:delete val="1"/>
              <c:extLst>
                <c:ext xmlns:c15="http://schemas.microsoft.com/office/drawing/2012/chart" uri="{CE6537A1-D6FC-4f65-9D91-7224C49458BB}"/>
                <c:ext xmlns:c16="http://schemas.microsoft.com/office/drawing/2014/chart" uri="{C3380CC4-5D6E-409C-BE32-E72D297353CC}">
                  <c16:uniqueId val="{00000011-D516-4B13-9A6E-D1A1382B7688}"/>
                </c:ext>
              </c:extLst>
            </c:dLbl>
            <c:dLbl>
              <c:idx val="2"/>
              <c:delete val="1"/>
              <c:extLst>
                <c:ext xmlns:c15="http://schemas.microsoft.com/office/drawing/2012/chart" uri="{CE6537A1-D6FC-4f65-9D91-7224C49458BB}"/>
                <c:ext xmlns:c16="http://schemas.microsoft.com/office/drawing/2014/chart" uri="{C3380CC4-5D6E-409C-BE32-E72D297353CC}">
                  <c16:uniqueId val="{00000012-D516-4B13-9A6E-D1A1382B7688}"/>
                </c:ext>
              </c:extLst>
            </c:dLbl>
            <c:dLbl>
              <c:idx val="3"/>
              <c:delete val="1"/>
              <c:extLst>
                <c:ext xmlns:c15="http://schemas.microsoft.com/office/drawing/2012/chart" uri="{CE6537A1-D6FC-4f65-9D91-7224C49458BB}"/>
                <c:ext xmlns:c16="http://schemas.microsoft.com/office/drawing/2014/chart" uri="{C3380CC4-5D6E-409C-BE32-E72D297353CC}">
                  <c16:uniqueId val="{00000013-D516-4B13-9A6E-D1A1382B7688}"/>
                </c:ext>
              </c:extLst>
            </c:dLbl>
            <c:dLbl>
              <c:idx val="4"/>
              <c:delete val="1"/>
              <c:extLst>
                <c:ext xmlns:c15="http://schemas.microsoft.com/office/drawing/2012/chart" uri="{CE6537A1-D6FC-4f65-9D91-7224C49458BB}"/>
                <c:ext xmlns:c16="http://schemas.microsoft.com/office/drawing/2014/chart" uri="{C3380CC4-5D6E-409C-BE32-E72D297353CC}">
                  <c16:uniqueId val="{00000014-D516-4B13-9A6E-D1A1382B7688}"/>
                </c:ext>
              </c:extLst>
            </c:dLbl>
            <c:dLbl>
              <c:idx val="5"/>
              <c:delete val="1"/>
              <c:extLst>
                <c:ext xmlns:c15="http://schemas.microsoft.com/office/drawing/2012/chart" uri="{CE6537A1-D6FC-4f65-9D91-7224C49458BB}"/>
                <c:ext xmlns:c16="http://schemas.microsoft.com/office/drawing/2014/chart" uri="{C3380CC4-5D6E-409C-BE32-E72D297353CC}">
                  <c16:uniqueId val="{00000015-D516-4B13-9A6E-D1A1382B7688}"/>
                </c:ext>
              </c:extLst>
            </c:dLbl>
            <c:dLbl>
              <c:idx val="6"/>
              <c:delete val="1"/>
              <c:extLst>
                <c:ext xmlns:c15="http://schemas.microsoft.com/office/drawing/2012/chart" uri="{CE6537A1-D6FC-4f65-9D91-7224C49458BB}"/>
                <c:ext xmlns:c16="http://schemas.microsoft.com/office/drawing/2014/chart" uri="{C3380CC4-5D6E-409C-BE32-E72D297353CC}">
                  <c16:uniqueId val="{00000016-D516-4B13-9A6E-D1A1382B7688}"/>
                </c:ext>
              </c:extLst>
            </c:dLbl>
            <c:dLbl>
              <c:idx val="7"/>
              <c:delete val="1"/>
              <c:extLst>
                <c:ext xmlns:c15="http://schemas.microsoft.com/office/drawing/2012/chart" uri="{CE6537A1-D6FC-4f65-9D91-7224C49458BB}"/>
                <c:ext xmlns:c16="http://schemas.microsoft.com/office/drawing/2014/chart" uri="{C3380CC4-5D6E-409C-BE32-E72D297353CC}">
                  <c16:uniqueId val="{00000017-D516-4B13-9A6E-D1A1382B7688}"/>
                </c:ext>
              </c:extLst>
            </c:dLbl>
            <c:dLbl>
              <c:idx val="8"/>
              <c:delete val="1"/>
              <c:extLst>
                <c:ext xmlns:c15="http://schemas.microsoft.com/office/drawing/2012/chart" uri="{CE6537A1-D6FC-4f65-9D91-7224C49458BB}"/>
                <c:ext xmlns:c16="http://schemas.microsoft.com/office/drawing/2014/chart" uri="{C3380CC4-5D6E-409C-BE32-E72D297353CC}">
                  <c16:uniqueId val="{00000018-D516-4B13-9A6E-D1A1382B7688}"/>
                </c:ext>
              </c:extLst>
            </c:dLbl>
            <c:dLbl>
              <c:idx val="9"/>
              <c:delete val="1"/>
              <c:extLst>
                <c:ext xmlns:c15="http://schemas.microsoft.com/office/drawing/2012/chart" uri="{CE6537A1-D6FC-4f65-9D91-7224C49458BB}"/>
                <c:ext xmlns:c16="http://schemas.microsoft.com/office/drawing/2014/chart" uri="{C3380CC4-5D6E-409C-BE32-E72D297353CC}">
                  <c16:uniqueId val="{00000019-D516-4B13-9A6E-D1A1382B7688}"/>
                </c:ext>
              </c:extLst>
            </c:dLbl>
            <c:dLbl>
              <c:idx val="10"/>
              <c:delete val="1"/>
              <c:extLst>
                <c:ext xmlns:c15="http://schemas.microsoft.com/office/drawing/2012/chart" uri="{CE6537A1-D6FC-4f65-9D91-7224C49458BB}"/>
                <c:ext xmlns:c16="http://schemas.microsoft.com/office/drawing/2014/chart" uri="{C3380CC4-5D6E-409C-BE32-E72D297353CC}">
                  <c16:uniqueId val="{0000001A-D516-4B13-9A6E-D1A1382B7688}"/>
                </c:ext>
              </c:extLst>
            </c:dLbl>
            <c:dLbl>
              <c:idx val="11"/>
              <c:delete val="1"/>
              <c:extLst>
                <c:ext xmlns:c15="http://schemas.microsoft.com/office/drawing/2012/chart" uri="{CE6537A1-D6FC-4f65-9D91-7224C49458BB}"/>
                <c:ext xmlns:c16="http://schemas.microsoft.com/office/drawing/2014/chart" uri="{C3380CC4-5D6E-409C-BE32-E72D297353CC}">
                  <c16:uniqueId val="{0000001B-D516-4B13-9A6E-D1A1382B7688}"/>
                </c:ext>
              </c:extLst>
            </c:dLbl>
            <c:dLbl>
              <c:idx val="12"/>
              <c:delete val="1"/>
              <c:extLst>
                <c:ext xmlns:c15="http://schemas.microsoft.com/office/drawing/2012/chart" uri="{CE6537A1-D6FC-4f65-9D91-7224C49458BB}"/>
                <c:ext xmlns:c16="http://schemas.microsoft.com/office/drawing/2014/chart" uri="{C3380CC4-5D6E-409C-BE32-E72D297353CC}">
                  <c16:uniqueId val="{0000001C-D516-4B13-9A6E-D1A1382B7688}"/>
                </c:ext>
              </c:extLst>
            </c:dLbl>
            <c:dLbl>
              <c:idx val="13"/>
              <c:delete val="1"/>
              <c:extLst>
                <c:ext xmlns:c15="http://schemas.microsoft.com/office/drawing/2012/chart" uri="{CE6537A1-D6FC-4f65-9D91-7224C49458BB}"/>
                <c:ext xmlns:c16="http://schemas.microsoft.com/office/drawing/2014/chart" uri="{C3380CC4-5D6E-409C-BE32-E72D297353CC}">
                  <c16:uniqueId val="{0000001D-D516-4B13-9A6E-D1A1382B7688}"/>
                </c:ext>
              </c:extLst>
            </c:dLbl>
            <c:dLbl>
              <c:idx val="14"/>
              <c:delete val="1"/>
              <c:extLst>
                <c:ext xmlns:c15="http://schemas.microsoft.com/office/drawing/2012/chart" uri="{CE6537A1-D6FC-4f65-9D91-7224C49458BB}"/>
                <c:ext xmlns:c16="http://schemas.microsoft.com/office/drawing/2014/chart" uri="{C3380CC4-5D6E-409C-BE32-E72D297353CC}">
                  <c16:uniqueId val="{0000001E-D516-4B13-9A6E-D1A1382B7688}"/>
                </c:ext>
              </c:extLst>
            </c:dLbl>
            <c:dLbl>
              <c:idx val="15"/>
              <c:delete val="1"/>
              <c:extLst>
                <c:ext xmlns:c15="http://schemas.microsoft.com/office/drawing/2012/chart" uri="{CE6537A1-D6FC-4f65-9D91-7224C49458BB}"/>
                <c:ext xmlns:c16="http://schemas.microsoft.com/office/drawing/2014/chart" uri="{C3380CC4-5D6E-409C-BE32-E72D297353CC}">
                  <c16:uniqueId val="{0000001F-D516-4B13-9A6E-D1A1382B7688}"/>
                </c:ext>
              </c:extLst>
            </c:dLbl>
            <c:dLbl>
              <c:idx val="16"/>
              <c:delete val="1"/>
              <c:extLst>
                <c:ext xmlns:c15="http://schemas.microsoft.com/office/drawing/2012/chart" uri="{CE6537A1-D6FC-4f65-9D91-7224C49458BB}"/>
                <c:ext xmlns:c16="http://schemas.microsoft.com/office/drawing/2014/chart" uri="{C3380CC4-5D6E-409C-BE32-E72D297353CC}">
                  <c16:uniqueId val="{00000020-D516-4B13-9A6E-D1A1382B7688}"/>
                </c:ext>
              </c:extLst>
            </c:dLbl>
            <c:dLbl>
              <c:idx val="17"/>
              <c:delete val="1"/>
              <c:extLst>
                <c:ext xmlns:c15="http://schemas.microsoft.com/office/drawing/2012/chart" uri="{CE6537A1-D6FC-4f65-9D91-7224C49458BB}"/>
                <c:ext xmlns:c16="http://schemas.microsoft.com/office/drawing/2014/chart" uri="{C3380CC4-5D6E-409C-BE32-E72D297353CC}">
                  <c16:uniqueId val="{00000021-D516-4B13-9A6E-D1A1382B7688}"/>
                </c:ext>
              </c:extLst>
            </c:dLbl>
            <c:dLbl>
              <c:idx val="18"/>
              <c:delete val="1"/>
              <c:extLst>
                <c:ext xmlns:c15="http://schemas.microsoft.com/office/drawing/2012/chart" uri="{CE6537A1-D6FC-4f65-9D91-7224C49458BB}"/>
                <c:ext xmlns:c16="http://schemas.microsoft.com/office/drawing/2014/chart" uri="{C3380CC4-5D6E-409C-BE32-E72D297353CC}">
                  <c16:uniqueId val="{00000022-D516-4B13-9A6E-D1A1382B7688}"/>
                </c:ext>
              </c:extLst>
            </c:dLbl>
            <c:dLbl>
              <c:idx val="19"/>
              <c:delete val="1"/>
              <c:extLst>
                <c:ext xmlns:c15="http://schemas.microsoft.com/office/drawing/2012/chart" uri="{CE6537A1-D6FC-4f65-9D91-7224C49458BB}"/>
                <c:ext xmlns:c16="http://schemas.microsoft.com/office/drawing/2014/chart" uri="{C3380CC4-5D6E-409C-BE32-E72D297353CC}">
                  <c16:uniqueId val="{00000023-D516-4B13-9A6E-D1A1382B7688}"/>
                </c:ext>
              </c:extLst>
            </c:dLbl>
            <c:dLbl>
              <c:idx val="20"/>
              <c:delete val="1"/>
              <c:extLst>
                <c:ext xmlns:c15="http://schemas.microsoft.com/office/drawing/2012/chart" uri="{CE6537A1-D6FC-4f65-9D91-7224C49458BB}"/>
                <c:ext xmlns:c16="http://schemas.microsoft.com/office/drawing/2014/chart" uri="{C3380CC4-5D6E-409C-BE32-E72D297353CC}">
                  <c16:uniqueId val="{00000024-D516-4B13-9A6E-D1A1382B7688}"/>
                </c:ext>
              </c:extLst>
            </c:dLbl>
            <c:dLbl>
              <c:idx val="24"/>
              <c:delete val="1"/>
              <c:extLst>
                <c:ext xmlns:c15="http://schemas.microsoft.com/office/drawing/2012/chart" uri="{CE6537A1-D6FC-4f65-9D91-7224C49458BB}"/>
                <c:ext xmlns:c16="http://schemas.microsoft.com/office/drawing/2014/chart" uri="{C3380CC4-5D6E-409C-BE32-E72D297353CC}">
                  <c16:uniqueId val="{00000025-D516-4B13-9A6E-D1A1382B7688}"/>
                </c:ext>
              </c:extLst>
            </c:dLbl>
            <c:dLbl>
              <c:idx val="25"/>
              <c:delete val="1"/>
              <c:extLst>
                <c:ext xmlns:c15="http://schemas.microsoft.com/office/drawing/2012/chart" uri="{CE6537A1-D6FC-4f65-9D91-7224C49458BB}"/>
                <c:ext xmlns:c16="http://schemas.microsoft.com/office/drawing/2014/chart" uri="{C3380CC4-5D6E-409C-BE32-E72D297353CC}">
                  <c16:uniqueId val="{00000026-D516-4B13-9A6E-D1A1382B7688}"/>
                </c:ext>
              </c:extLst>
            </c:dLbl>
            <c:dLbl>
              <c:idx val="26"/>
              <c:delete val="1"/>
              <c:extLst>
                <c:ext xmlns:c15="http://schemas.microsoft.com/office/drawing/2012/chart" uri="{CE6537A1-D6FC-4f65-9D91-7224C49458BB}"/>
                <c:ext xmlns:c16="http://schemas.microsoft.com/office/drawing/2014/chart" uri="{C3380CC4-5D6E-409C-BE32-E72D297353CC}">
                  <c16:uniqueId val="{00000027-D516-4B13-9A6E-D1A1382B7688}"/>
                </c:ext>
              </c:extLst>
            </c:dLbl>
            <c:dLbl>
              <c:idx val="27"/>
              <c:delete val="1"/>
              <c:extLst>
                <c:ext xmlns:c15="http://schemas.microsoft.com/office/drawing/2012/chart" uri="{CE6537A1-D6FC-4f65-9D91-7224C49458BB}"/>
                <c:ext xmlns:c16="http://schemas.microsoft.com/office/drawing/2014/chart" uri="{C3380CC4-5D6E-409C-BE32-E72D297353CC}">
                  <c16:uniqueId val="{00000028-D516-4B13-9A6E-D1A1382B7688}"/>
                </c:ext>
              </c:extLst>
            </c:dLbl>
            <c:spPr>
              <a:noFill/>
              <a:ln>
                <a:noFill/>
              </a:ln>
              <a:effectLst/>
            </c:spPr>
            <c:txPr>
              <a:bodyPr rot="-5400000" spcFirstLastPara="1" vertOverflow="ellipsis" wrap="square" anchor="ctr" anchorCtr="1"/>
              <a:lstStyle/>
              <a:p>
                <a:pPr>
                  <a:defRPr sz="800" b="0" i="0" u="none" strike="noStrike" kern="1200" baseline="0">
                    <a:solidFill>
                      <a:schemeClr val="bg1"/>
                    </a:solidFill>
                    <a:latin typeface="Arial" panose="020B0604020202020204" pitchFamily="34" charset="0"/>
                    <a:ea typeface="+mn-ea"/>
                    <a:cs typeface="Arial" panose="020B0604020202020204" pitchFamily="34" charset="0"/>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HF_EU_grafy!$A$35:$A$62</c:f>
              <c:strCache>
                <c:ptCount val="28"/>
                <c:pt idx="0">
                  <c:v>Dánsko</c:v>
                </c:pt>
                <c:pt idx="1">
                  <c:v>Lotyšsko</c:v>
                </c:pt>
                <c:pt idx="2">
                  <c:v>Malta</c:v>
                </c:pt>
                <c:pt idx="3">
                  <c:v>Švédsko</c:v>
                </c:pt>
                <c:pt idx="4">
                  <c:v>Velká Británie</c:v>
                </c:pt>
                <c:pt idx="5">
                  <c:v>Itálie</c:v>
                </c:pt>
                <c:pt idx="6">
                  <c:v>Kypr</c:v>
                </c:pt>
                <c:pt idx="7">
                  <c:v>Irsko</c:v>
                </c:pt>
                <c:pt idx="8">
                  <c:v>Portugalsko</c:v>
                </c:pt>
                <c:pt idx="9">
                  <c:v>Španělsko</c:v>
                </c:pt>
                <c:pt idx="10">
                  <c:v>Finsko</c:v>
                </c:pt>
                <c:pt idx="11">
                  <c:v>Řecko</c:v>
                </c:pt>
                <c:pt idx="12">
                  <c:v>Rakousko</c:v>
                </c:pt>
                <c:pt idx="13">
                  <c:v>Belgie</c:v>
                </c:pt>
                <c:pt idx="14">
                  <c:v>Rumunsko</c:v>
                </c:pt>
                <c:pt idx="15">
                  <c:v>Bulharsko</c:v>
                </c:pt>
                <c:pt idx="16">
                  <c:v>Česko</c:v>
                </c:pt>
                <c:pt idx="17">
                  <c:v>Polsko</c:v>
                </c:pt>
                <c:pt idx="18">
                  <c:v>Litva</c:v>
                </c:pt>
                <c:pt idx="19">
                  <c:v>Estonsko</c:v>
                </c:pt>
                <c:pt idx="20">
                  <c:v>Maďarsko</c:v>
                </c:pt>
                <c:pt idx="21">
                  <c:v>Nizozemsko</c:v>
                </c:pt>
                <c:pt idx="22">
                  <c:v>Německo</c:v>
                </c:pt>
                <c:pt idx="23">
                  <c:v>Francie</c:v>
                </c:pt>
                <c:pt idx="24">
                  <c:v>Lucembursko</c:v>
                </c:pt>
                <c:pt idx="25">
                  <c:v>Chorvatsko</c:v>
                </c:pt>
                <c:pt idx="26">
                  <c:v>Slovinsko</c:v>
                </c:pt>
                <c:pt idx="27">
                  <c:v>Slovensko</c:v>
                </c:pt>
              </c:strCache>
            </c:strRef>
          </c:cat>
          <c:val>
            <c:numRef>
              <c:f>HF_EU_grafy!$D$35:$D$62</c:f>
              <c:numCache>
                <c:formatCode>0</c:formatCode>
                <c:ptCount val="28"/>
                <c:pt idx="0">
                  <c:v>0</c:v>
                </c:pt>
                <c:pt idx="1">
                  <c:v>0</c:v>
                </c:pt>
                <c:pt idx="2">
                  <c:v>0</c:v>
                </c:pt>
                <c:pt idx="3">
                  <c:v>0</c:v>
                </c:pt>
                <c:pt idx="4">
                  <c:v>0</c:v>
                </c:pt>
                <c:pt idx="5">
                  <c:v>0</c:v>
                </c:pt>
                <c:pt idx="6">
                  <c:v>0</c:v>
                </c:pt>
                <c:pt idx="7">
                  <c:v>0</c:v>
                </c:pt>
                <c:pt idx="8">
                  <c:v>0</c:v>
                </c:pt>
                <c:pt idx="9">
                  <c:v>0</c:v>
                </c:pt>
                <c:pt idx="10">
                  <c:v>1.382533873803766</c:v>
                </c:pt>
                <c:pt idx="11">
                  <c:v>0</c:v>
                </c:pt>
                <c:pt idx="12">
                  <c:v>0</c:v>
                </c:pt>
                <c:pt idx="13">
                  <c:v>5.6915655505059677E-2</c:v>
                </c:pt>
                <c:pt idx="14">
                  <c:v>0</c:v>
                </c:pt>
                <c:pt idx="15">
                  <c:v>0</c:v>
                </c:pt>
                <c:pt idx="16">
                  <c:v>0</c:v>
                </c:pt>
                <c:pt idx="17">
                  <c:v>0.62250520604389492</c:v>
                </c:pt>
                <c:pt idx="18">
                  <c:v>0</c:v>
                </c:pt>
                <c:pt idx="19">
                  <c:v>0</c:v>
                </c:pt>
                <c:pt idx="20">
                  <c:v>0</c:v>
                </c:pt>
                <c:pt idx="21">
                  <c:v>67.712608119199444</c:v>
                </c:pt>
                <c:pt idx="22">
                  <c:v>8.5313900654126673</c:v>
                </c:pt>
                <c:pt idx="23">
                  <c:v>7.8798492870125374</c:v>
                </c:pt>
                <c:pt idx="24">
                  <c:v>0</c:v>
                </c:pt>
                <c:pt idx="25">
                  <c:v>0</c:v>
                </c:pt>
                <c:pt idx="26">
                  <c:v>0</c:v>
                </c:pt>
                <c:pt idx="27">
                  <c:v>0</c:v>
                </c:pt>
              </c:numCache>
            </c:numRef>
          </c:val>
          <c:extLst>
            <c:ext xmlns:c16="http://schemas.microsoft.com/office/drawing/2014/chart" uri="{C3380CC4-5D6E-409C-BE32-E72D297353CC}">
              <c16:uniqueId val="{00000029-D516-4B13-9A6E-D1A1382B7688}"/>
            </c:ext>
          </c:extLst>
        </c:ser>
        <c:dLbls>
          <c:showLegendKey val="0"/>
          <c:showVal val="0"/>
          <c:showCatName val="0"/>
          <c:showSerName val="0"/>
          <c:showPercent val="0"/>
          <c:showBubbleSize val="0"/>
        </c:dLbls>
        <c:gapWidth val="80"/>
        <c:overlap val="100"/>
        <c:axId val="1257055776"/>
        <c:axId val="1257054112"/>
      </c:barChart>
      <c:catAx>
        <c:axId val="12570557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5400000" spcFirstLastPara="1" vertOverflow="ellipsis"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crossAx val="1257054112"/>
        <c:crosses val="autoZero"/>
        <c:auto val="1"/>
        <c:lblAlgn val="ctr"/>
        <c:lblOffset val="100"/>
        <c:noMultiLvlLbl val="0"/>
      </c:catAx>
      <c:valAx>
        <c:axId val="1257054112"/>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crossAx val="1257055776"/>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solidFill>
        <a:srgbClr val="D9D9D9"/>
      </a:solidFill>
      <a:round/>
    </a:ln>
    <a:effectLst/>
  </c:spPr>
  <c:txPr>
    <a:bodyPr/>
    <a:lstStyle/>
    <a:p>
      <a:pPr>
        <a:defRPr sz="800">
          <a:latin typeface="Arial" panose="020B0604020202020204" pitchFamily="34" charset="0"/>
          <a:cs typeface="Arial" panose="020B0604020202020204" pitchFamily="34" charset="0"/>
        </a:defRPr>
      </a:pPr>
      <a:endParaRPr lang="cs-CZ"/>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spPr>
            <a:solidFill>
              <a:schemeClr val="accent1"/>
            </a:solidFill>
            <a:ln>
              <a:noFill/>
            </a:ln>
            <a:effectLst/>
          </c:spPr>
          <c:invertIfNegative val="0"/>
          <c:dPt>
            <c:idx val="16"/>
            <c:invertIfNegative val="0"/>
            <c:bubble3D val="0"/>
            <c:spPr>
              <a:solidFill>
                <a:srgbClr val="C00000"/>
              </a:solidFill>
              <a:ln>
                <a:noFill/>
              </a:ln>
              <a:effectLst/>
            </c:spPr>
            <c:extLst>
              <c:ext xmlns:c16="http://schemas.microsoft.com/office/drawing/2014/chart" uri="{C3380CC4-5D6E-409C-BE32-E72D297353CC}">
                <c16:uniqueId val="{00000001-9692-4254-A8AE-15ACA33CBB2B}"/>
              </c:ext>
            </c:extLst>
          </c:dPt>
          <c:dPt>
            <c:idx val="24"/>
            <c:invertIfNegative val="0"/>
            <c:bubble3D val="0"/>
            <c:spPr>
              <a:solidFill>
                <a:srgbClr val="FFFF00"/>
              </a:solidFill>
              <a:ln>
                <a:noFill/>
              </a:ln>
              <a:effectLst/>
            </c:spPr>
            <c:extLst>
              <c:ext xmlns:c16="http://schemas.microsoft.com/office/drawing/2014/chart" uri="{C3380CC4-5D6E-409C-BE32-E72D297353CC}">
                <c16:uniqueId val="{00000003-9692-4254-A8AE-15ACA33CBB2B}"/>
              </c:ext>
            </c:extLst>
          </c:dPt>
          <c:dLbls>
            <c:spPr>
              <a:noFill/>
              <a:ln>
                <a:noFill/>
              </a:ln>
              <a:effectLst/>
            </c:spPr>
            <c:txPr>
              <a:bodyPr rot="-5400000" spcFirstLastPara="1" vertOverflow="ellipsis" wrap="square" anchor="ctr" anchorCtr="1"/>
              <a:lstStyle/>
              <a:p>
                <a:pPr>
                  <a:defRPr sz="8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domácnosti!$A$8:$A$36</c:f>
              <c:strCache>
                <c:ptCount val="29"/>
                <c:pt idx="0">
                  <c:v>Rakousko</c:v>
                </c:pt>
                <c:pt idx="1">
                  <c:v>Belgie</c:v>
                </c:pt>
                <c:pt idx="2">
                  <c:v>Malta</c:v>
                </c:pt>
                <c:pt idx="3">
                  <c:v>Kypr</c:v>
                </c:pt>
                <c:pt idx="4">
                  <c:v>Dánsko</c:v>
                </c:pt>
                <c:pt idx="5">
                  <c:v>Finsko</c:v>
                </c:pt>
                <c:pt idx="6">
                  <c:v>Švédsko</c:v>
                </c:pt>
                <c:pt idx="7">
                  <c:v>Velká Británie</c:v>
                </c:pt>
                <c:pt idx="8">
                  <c:v>Itálie</c:v>
                </c:pt>
                <c:pt idx="9">
                  <c:v>Německo</c:v>
                </c:pt>
                <c:pt idx="10">
                  <c:v>Irsko</c:v>
                </c:pt>
                <c:pt idx="11">
                  <c:v>Portugalsko</c:v>
                </c:pt>
                <c:pt idx="12">
                  <c:v>Lucembursko</c:v>
                </c:pt>
                <c:pt idx="13">
                  <c:v>Španělsko</c:v>
                </c:pt>
                <c:pt idx="14">
                  <c:v>Řecko</c:v>
                </c:pt>
                <c:pt idx="15">
                  <c:v>Nizozemsko</c:v>
                </c:pt>
                <c:pt idx="16">
                  <c:v>EU28</c:v>
                </c:pt>
                <c:pt idx="17">
                  <c:v>Francie</c:v>
                </c:pt>
                <c:pt idx="18">
                  <c:v>Lotyšsko</c:v>
                </c:pt>
                <c:pt idx="19">
                  <c:v>Litva</c:v>
                </c:pt>
                <c:pt idx="20">
                  <c:v>Estonsko</c:v>
                </c:pt>
                <c:pt idx="21">
                  <c:v>Maďarsko</c:v>
                </c:pt>
                <c:pt idx="22">
                  <c:v>Bulharsko</c:v>
                </c:pt>
                <c:pt idx="23">
                  <c:v>Slovinsko</c:v>
                </c:pt>
                <c:pt idx="24">
                  <c:v>Česko</c:v>
                </c:pt>
                <c:pt idx="25">
                  <c:v>Slovensko</c:v>
                </c:pt>
                <c:pt idx="26">
                  <c:v>Polsko</c:v>
                </c:pt>
                <c:pt idx="27">
                  <c:v>Rumunsko</c:v>
                </c:pt>
                <c:pt idx="28">
                  <c:v>Chorvatsko</c:v>
                </c:pt>
              </c:strCache>
            </c:strRef>
          </c:cat>
          <c:val>
            <c:numRef>
              <c:f>domácnosti!$C$8:$C$36</c:f>
              <c:numCache>
                <c:formatCode>0</c:formatCode>
                <c:ptCount val="29"/>
                <c:pt idx="0">
                  <c:v>826.61</c:v>
                </c:pt>
                <c:pt idx="1">
                  <c:v>790.51</c:v>
                </c:pt>
                <c:pt idx="2">
                  <c:v>785.3</c:v>
                </c:pt>
                <c:pt idx="3">
                  <c:v>734.17</c:v>
                </c:pt>
                <c:pt idx="4">
                  <c:v>723.46</c:v>
                </c:pt>
                <c:pt idx="5">
                  <c:v>705.64</c:v>
                </c:pt>
                <c:pt idx="6">
                  <c:v>694.47</c:v>
                </c:pt>
                <c:pt idx="7">
                  <c:v>609.15</c:v>
                </c:pt>
                <c:pt idx="8">
                  <c:v>596.54</c:v>
                </c:pt>
                <c:pt idx="9">
                  <c:v>578.74</c:v>
                </c:pt>
                <c:pt idx="10">
                  <c:v>557.37</c:v>
                </c:pt>
                <c:pt idx="11">
                  <c:v>554.14</c:v>
                </c:pt>
                <c:pt idx="12">
                  <c:v>544.88</c:v>
                </c:pt>
                <c:pt idx="13">
                  <c:v>512.03</c:v>
                </c:pt>
                <c:pt idx="14">
                  <c:v>483.84</c:v>
                </c:pt>
                <c:pt idx="15">
                  <c:v>483.82</c:v>
                </c:pt>
                <c:pt idx="16">
                  <c:v>481.15</c:v>
                </c:pt>
                <c:pt idx="17">
                  <c:v>367.03</c:v>
                </c:pt>
                <c:pt idx="18">
                  <c:v>366.8</c:v>
                </c:pt>
                <c:pt idx="19">
                  <c:v>335.78</c:v>
                </c:pt>
                <c:pt idx="20">
                  <c:v>322.25</c:v>
                </c:pt>
                <c:pt idx="21">
                  <c:v>246.59</c:v>
                </c:pt>
                <c:pt idx="22">
                  <c:v>230.68</c:v>
                </c:pt>
                <c:pt idx="23">
                  <c:v>219.37</c:v>
                </c:pt>
                <c:pt idx="24">
                  <c:v>211.88</c:v>
                </c:pt>
                <c:pt idx="25">
                  <c:v>207.98</c:v>
                </c:pt>
                <c:pt idx="26">
                  <c:v>169.4</c:v>
                </c:pt>
                <c:pt idx="27">
                  <c:v>113.62</c:v>
                </c:pt>
                <c:pt idx="28">
                  <c:v>90.28</c:v>
                </c:pt>
              </c:numCache>
            </c:numRef>
          </c:val>
          <c:extLst>
            <c:ext xmlns:c16="http://schemas.microsoft.com/office/drawing/2014/chart" uri="{C3380CC4-5D6E-409C-BE32-E72D297353CC}">
              <c16:uniqueId val="{00000004-9692-4254-A8AE-15ACA33CBB2B}"/>
            </c:ext>
          </c:extLst>
        </c:ser>
        <c:dLbls>
          <c:dLblPos val="outEnd"/>
          <c:showLegendKey val="0"/>
          <c:showVal val="1"/>
          <c:showCatName val="0"/>
          <c:showSerName val="0"/>
          <c:showPercent val="0"/>
          <c:showBubbleSize val="0"/>
        </c:dLbls>
        <c:gapWidth val="219"/>
        <c:axId val="1782455632"/>
        <c:axId val="1782453136"/>
      </c:barChart>
      <c:catAx>
        <c:axId val="17824556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5400000" spcFirstLastPara="1" vertOverflow="ellipsis"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crossAx val="1782453136"/>
        <c:crosses val="autoZero"/>
        <c:auto val="1"/>
        <c:lblAlgn val="ctr"/>
        <c:lblOffset val="100"/>
        <c:noMultiLvlLbl val="0"/>
      </c:catAx>
      <c:valAx>
        <c:axId val="178245313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r>
                  <a:rPr lang="cs-CZ"/>
                  <a:t>EUR</a:t>
                </a:r>
              </a:p>
            </c:rich>
          </c:tx>
          <c:layout/>
          <c:overlay val="0"/>
          <c:spPr>
            <a:noFill/>
            <a:ln>
              <a:noFill/>
            </a:ln>
            <a:effectLst/>
          </c:spPr>
          <c:txPr>
            <a:bodyPr rot="-54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crossAx val="178245563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800">
          <a:latin typeface="Arial" panose="020B0604020202020204" pitchFamily="34" charset="0"/>
          <a:cs typeface="Arial" panose="020B0604020202020204" pitchFamily="34" charset="0"/>
        </a:defRPr>
      </a:pPr>
      <a:endParaRPr lang="cs-CZ"/>
    </a:p>
  </c:txPr>
  <c:externalData r:id="rId4">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percentStacked"/>
        <c:varyColors val="0"/>
        <c:ser>
          <c:idx val="0"/>
          <c:order val="0"/>
          <c:tx>
            <c:strRef>
              <c:f>'HC grafy'!$B$32</c:f>
              <c:strCache>
                <c:ptCount val="1"/>
                <c:pt idx="0">
                  <c:v>Léčebná a rehabilitační péče</c:v>
                </c:pt>
              </c:strCache>
            </c:strRef>
          </c:tx>
          <c:spPr>
            <a:solidFill>
              <a:schemeClr val="accent1"/>
            </a:solidFill>
            <a:ln>
              <a:noFill/>
            </a:ln>
            <a:effectLst/>
          </c:spPr>
          <c:invertIfNegative val="0"/>
          <c:dPt>
            <c:idx val="16"/>
            <c:invertIfNegative val="0"/>
            <c:bubble3D val="0"/>
            <c:spPr>
              <a:solidFill>
                <a:schemeClr val="accent1">
                  <a:lumMod val="75000"/>
                </a:schemeClr>
              </a:solidFill>
              <a:ln>
                <a:noFill/>
              </a:ln>
              <a:effectLst/>
            </c:spPr>
            <c:extLst>
              <c:ext xmlns:c16="http://schemas.microsoft.com/office/drawing/2014/chart" uri="{C3380CC4-5D6E-409C-BE32-E72D297353CC}">
                <c16:uniqueId val="{00000001-5979-4806-AF52-5C433DDC3A37}"/>
              </c:ext>
            </c:extLst>
          </c:dPt>
          <c:dPt>
            <c:idx val="20"/>
            <c:invertIfNegative val="0"/>
            <c:bubble3D val="0"/>
            <c:spPr>
              <a:solidFill>
                <a:schemeClr val="accent1">
                  <a:lumMod val="75000"/>
                </a:schemeClr>
              </a:solidFill>
              <a:ln>
                <a:noFill/>
              </a:ln>
              <a:effectLst/>
            </c:spPr>
            <c:extLst>
              <c:ext xmlns:c16="http://schemas.microsoft.com/office/drawing/2014/chart" uri="{C3380CC4-5D6E-409C-BE32-E72D297353CC}">
                <c16:uniqueId val="{00000003-5979-4806-AF52-5C433DDC3A37}"/>
              </c:ext>
            </c:extLst>
          </c:dPt>
          <c:dLbls>
            <c:spPr>
              <a:noFill/>
              <a:ln>
                <a:noFill/>
              </a:ln>
              <a:effectLst/>
            </c:spPr>
            <c:txPr>
              <a:bodyPr rot="-5400000" spcFirstLastPara="1" vertOverflow="ellipsis" wrap="square" anchor="ctr" anchorCtr="1"/>
              <a:lstStyle/>
              <a:p>
                <a:pPr>
                  <a:defRPr sz="800" b="0" i="0" u="none" strike="noStrike" kern="1200" baseline="0">
                    <a:solidFill>
                      <a:schemeClr val="bg1"/>
                    </a:solidFill>
                    <a:latin typeface="Arial" panose="020B0604020202020204" pitchFamily="34" charset="0"/>
                    <a:ea typeface="+mn-ea"/>
                    <a:cs typeface="Arial" panose="020B0604020202020204" pitchFamily="34" charset="0"/>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'HC grafy'!$A$33:$A$61</c:f>
              <c:strCache>
                <c:ptCount val="29"/>
                <c:pt idx="0">
                  <c:v>Portugalsko</c:v>
                </c:pt>
                <c:pt idx="1">
                  <c:v>Polsko</c:v>
                </c:pt>
                <c:pt idx="2">
                  <c:v>Řecko</c:v>
                </c:pt>
                <c:pt idx="3">
                  <c:v>Kypr</c:v>
                </c:pt>
                <c:pt idx="4">
                  <c:v>Finsko</c:v>
                </c:pt>
                <c:pt idx="5">
                  <c:v>Rakousko</c:v>
                </c:pt>
                <c:pt idx="6">
                  <c:v>Slovinsko</c:v>
                </c:pt>
                <c:pt idx="7">
                  <c:v>Španělsko</c:v>
                </c:pt>
                <c:pt idx="8">
                  <c:v>Rumunsko</c:v>
                </c:pt>
                <c:pt idx="9">
                  <c:v>Chorvatsko</c:v>
                </c:pt>
                <c:pt idx="10">
                  <c:v>Lucembursko</c:v>
                </c:pt>
                <c:pt idx="11">
                  <c:v>Velká Británie</c:v>
                </c:pt>
                <c:pt idx="12">
                  <c:v>Irsko</c:v>
                </c:pt>
                <c:pt idx="13">
                  <c:v>Dánsko</c:v>
                </c:pt>
                <c:pt idx="14">
                  <c:v>Litva</c:v>
                </c:pt>
                <c:pt idx="15">
                  <c:v>Estonsko</c:v>
                </c:pt>
                <c:pt idx="16">
                  <c:v>Česko</c:v>
                </c:pt>
                <c:pt idx="17">
                  <c:v>Itálie</c:v>
                </c:pt>
                <c:pt idx="18">
                  <c:v>Maďarsko</c:v>
                </c:pt>
                <c:pt idx="19">
                  <c:v>Slovensko</c:v>
                </c:pt>
                <c:pt idx="20">
                  <c:v>EU28 </c:v>
                </c:pt>
                <c:pt idx="21">
                  <c:v>Francie</c:v>
                </c:pt>
                <c:pt idx="22">
                  <c:v>Bulharsko</c:v>
                </c:pt>
                <c:pt idx="23">
                  <c:v>Nizozemsko</c:v>
                </c:pt>
                <c:pt idx="24">
                  <c:v>Lotyšsko</c:v>
                </c:pt>
                <c:pt idx="25">
                  <c:v>Švédsko</c:v>
                </c:pt>
                <c:pt idx="26">
                  <c:v>Belgie</c:v>
                </c:pt>
                <c:pt idx="27">
                  <c:v>Malta</c:v>
                </c:pt>
                <c:pt idx="28">
                  <c:v>Německo</c:v>
                </c:pt>
              </c:strCache>
            </c:strRef>
          </c:cat>
          <c:val>
            <c:numRef>
              <c:f>'HC grafy'!$B$33:$B$61</c:f>
              <c:numCache>
                <c:formatCode>0</c:formatCode>
                <c:ptCount val="29"/>
                <c:pt idx="0">
                  <c:v>64.995941127439266</c:v>
                </c:pt>
                <c:pt idx="1">
                  <c:v>62.564409263251996</c:v>
                </c:pt>
                <c:pt idx="2">
                  <c:v>62.04903774838666</c:v>
                </c:pt>
                <c:pt idx="3">
                  <c:v>61.986191281499394</c:v>
                </c:pt>
                <c:pt idx="4">
                  <c:v>60.134479520499383</c:v>
                </c:pt>
                <c:pt idx="5">
                  <c:v>59.35336503905917</c:v>
                </c:pt>
                <c:pt idx="6">
                  <c:v>58.882056279051397</c:v>
                </c:pt>
                <c:pt idx="7">
                  <c:v>57.607661477184749</c:v>
                </c:pt>
                <c:pt idx="8">
                  <c:v>57.424147419723916</c:v>
                </c:pt>
                <c:pt idx="9">
                  <c:v>56.643287198606309</c:v>
                </c:pt>
                <c:pt idx="10">
                  <c:v>56.136255524787913</c:v>
                </c:pt>
                <c:pt idx="11">
                  <c:v>56.055870071497729</c:v>
                </c:pt>
                <c:pt idx="12">
                  <c:v>55.834381882846017</c:v>
                </c:pt>
                <c:pt idx="13">
                  <c:v>55.5312935037946</c:v>
                </c:pt>
                <c:pt idx="14">
                  <c:v>55.254721899860407</c:v>
                </c:pt>
                <c:pt idx="15">
                  <c:v>55.076440611524887</c:v>
                </c:pt>
                <c:pt idx="16">
                  <c:v>54.723539540659615</c:v>
                </c:pt>
                <c:pt idx="17">
                  <c:v>54.399843224352487</c:v>
                </c:pt>
                <c:pt idx="18">
                  <c:v>54.293858425838124</c:v>
                </c:pt>
                <c:pt idx="19">
                  <c:v>53.805197774814275</c:v>
                </c:pt>
                <c:pt idx="20">
                  <c:v>53.772693311150519</c:v>
                </c:pt>
                <c:pt idx="21">
                  <c:v>53.46825070064132</c:v>
                </c:pt>
                <c:pt idx="22">
                  <c:v>53.43317485857402</c:v>
                </c:pt>
                <c:pt idx="23">
                  <c:v>51.757726483769851</c:v>
                </c:pt>
                <c:pt idx="24">
                  <c:v>51.66886521599362</c:v>
                </c:pt>
                <c:pt idx="25">
                  <c:v>51.083118633071535</c:v>
                </c:pt>
                <c:pt idx="26">
                  <c:v>50.64234764106984</c:v>
                </c:pt>
                <c:pt idx="27">
                  <c:v>49.874740920969636</c:v>
                </c:pt>
                <c:pt idx="28">
                  <c:v>49.299335828754344</c:v>
                </c:pt>
              </c:numCache>
            </c:numRef>
          </c:val>
          <c:extLst>
            <c:ext xmlns:c16="http://schemas.microsoft.com/office/drawing/2014/chart" uri="{C3380CC4-5D6E-409C-BE32-E72D297353CC}">
              <c16:uniqueId val="{00000004-5979-4806-AF52-5C433DDC3A37}"/>
            </c:ext>
          </c:extLst>
        </c:ser>
        <c:ser>
          <c:idx val="3"/>
          <c:order val="1"/>
          <c:tx>
            <c:strRef>
              <c:f>'HC grafy'!$I$32</c:f>
              <c:strCache>
                <c:ptCount val="1"/>
                <c:pt idx="0">
                  <c:v>Léčiva a ostatní zdravotnické výrobky</c:v>
                </c:pt>
              </c:strCache>
            </c:strRef>
          </c:tx>
          <c:spPr>
            <a:solidFill>
              <a:schemeClr val="accent4"/>
            </a:solidFill>
            <a:ln>
              <a:noFill/>
            </a:ln>
            <a:effectLst/>
          </c:spPr>
          <c:invertIfNegative val="0"/>
          <c:dPt>
            <c:idx val="16"/>
            <c:invertIfNegative val="0"/>
            <c:bubble3D val="0"/>
            <c:spPr>
              <a:solidFill>
                <a:schemeClr val="accent4">
                  <a:lumMod val="75000"/>
                </a:schemeClr>
              </a:solidFill>
              <a:ln>
                <a:noFill/>
              </a:ln>
              <a:effectLst/>
            </c:spPr>
            <c:extLst>
              <c:ext xmlns:c16="http://schemas.microsoft.com/office/drawing/2014/chart" uri="{C3380CC4-5D6E-409C-BE32-E72D297353CC}">
                <c16:uniqueId val="{00000006-5979-4806-AF52-5C433DDC3A37}"/>
              </c:ext>
            </c:extLst>
          </c:dPt>
          <c:dPt>
            <c:idx val="20"/>
            <c:invertIfNegative val="0"/>
            <c:bubble3D val="0"/>
            <c:spPr>
              <a:solidFill>
                <a:schemeClr val="accent4">
                  <a:lumMod val="75000"/>
                </a:schemeClr>
              </a:solidFill>
              <a:ln>
                <a:noFill/>
              </a:ln>
              <a:effectLst/>
            </c:spPr>
            <c:extLst>
              <c:ext xmlns:c16="http://schemas.microsoft.com/office/drawing/2014/chart" uri="{C3380CC4-5D6E-409C-BE32-E72D297353CC}">
                <c16:uniqueId val="{00000008-5979-4806-AF52-5C433DDC3A37}"/>
              </c:ext>
            </c:extLst>
          </c:dPt>
          <c:dLbls>
            <c:spPr>
              <a:noFill/>
              <a:ln>
                <a:noFill/>
              </a:ln>
              <a:effectLst/>
            </c:spPr>
            <c:txPr>
              <a:bodyPr rot="-5400000" spcFirstLastPara="1" vertOverflow="ellipsis" wrap="square" anchor="ctr" anchorCtr="1"/>
              <a:lstStyle/>
              <a:p>
                <a:pPr>
                  <a:defRPr sz="800" b="0" i="0" u="none" strike="noStrike" kern="1200" baseline="0">
                    <a:solidFill>
                      <a:schemeClr val="bg1"/>
                    </a:solidFill>
                    <a:latin typeface="Arial" panose="020B0604020202020204" pitchFamily="34" charset="0"/>
                    <a:ea typeface="+mn-ea"/>
                    <a:cs typeface="Arial" panose="020B0604020202020204" pitchFamily="34" charset="0"/>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'HC grafy'!$A$33:$A$61</c:f>
              <c:strCache>
                <c:ptCount val="29"/>
                <c:pt idx="0">
                  <c:v>Portugalsko</c:v>
                </c:pt>
                <c:pt idx="1">
                  <c:v>Polsko</c:v>
                </c:pt>
                <c:pt idx="2">
                  <c:v>Řecko</c:v>
                </c:pt>
                <c:pt idx="3">
                  <c:v>Kypr</c:v>
                </c:pt>
                <c:pt idx="4">
                  <c:v>Finsko</c:v>
                </c:pt>
                <c:pt idx="5">
                  <c:v>Rakousko</c:v>
                </c:pt>
                <c:pt idx="6">
                  <c:v>Slovinsko</c:v>
                </c:pt>
                <c:pt idx="7">
                  <c:v>Španělsko</c:v>
                </c:pt>
                <c:pt idx="8">
                  <c:v>Rumunsko</c:v>
                </c:pt>
                <c:pt idx="9">
                  <c:v>Chorvatsko</c:v>
                </c:pt>
                <c:pt idx="10">
                  <c:v>Lucembursko</c:v>
                </c:pt>
                <c:pt idx="11">
                  <c:v>Velká Británie</c:v>
                </c:pt>
                <c:pt idx="12">
                  <c:v>Irsko</c:v>
                </c:pt>
                <c:pt idx="13">
                  <c:v>Dánsko</c:v>
                </c:pt>
                <c:pt idx="14">
                  <c:v>Litva</c:v>
                </c:pt>
                <c:pt idx="15">
                  <c:v>Estonsko</c:v>
                </c:pt>
                <c:pt idx="16">
                  <c:v>Česko</c:v>
                </c:pt>
                <c:pt idx="17">
                  <c:v>Itálie</c:v>
                </c:pt>
                <c:pt idx="18">
                  <c:v>Maďarsko</c:v>
                </c:pt>
                <c:pt idx="19">
                  <c:v>Slovensko</c:v>
                </c:pt>
                <c:pt idx="20">
                  <c:v>EU28 </c:v>
                </c:pt>
                <c:pt idx="21">
                  <c:v>Francie</c:v>
                </c:pt>
                <c:pt idx="22">
                  <c:v>Bulharsko</c:v>
                </c:pt>
                <c:pt idx="23">
                  <c:v>Nizozemsko</c:v>
                </c:pt>
                <c:pt idx="24">
                  <c:v>Lotyšsko</c:v>
                </c:pt>
                <c:pt idx="25">
                  <c:v>Švédsko</c:v>
                </c:pt>
                <c:pt idx="26">
                  <c:v>Belgie</c:v>
                </c:pt>
                <c:pt idx="27">
                  <c:v>Malta</c:v>
                </c:pt>
                <c:pt idx="28">
                  <c:v>Německo</c:v>
                </c:pt>
              </c:strCache>
            </c:strRef>
          </c:cat>
          <c:val>
            <c:numRef>
              <c:f>'HC grafy'!$I$33:$I$61</c:f>
              <c:numCache>
                <c:formatCode>0</c:formatCode>
                <c:ptCount val="29"/>
                <c:pt idx="0">
                  <c:v>18.965995092053781</c:v>
                </c:pt>
                <c:pt idx="1">
                  <c:v>22.886144484992549</c:v>
                </c:pt>
                <c:pt idx="2">
                  <c:v>29.676517580291716</c:v>
                </c:pt>
                <c:pt idx="3">
                  <c:v>19.827670547456989</c:v>
                </c:pt>
                <c:pt idx="4">
                  <c:v>14.660626027313578</c:v>
                </c:pt>
                <c:pt idx="5">
                  <c:v>16.845627092814137</c:v>
                </c:pt>
                <c:pt idx="6">
                  <c:v>22.090251899450902</c:v>
                </c:pt>
                <c:pt idx="7">
                  <c:v>22.732224767990296</c:v>
                </c:pt>
                <c:pt idx="8">
                  <c:v>25.74551031697105</c:v>
                </c:pt>
                <c:pt idx="9">
                  <c:v>23.221997128638147</c:v>
                </c:pt>
                <c:pt idx="10">
                  <c:v>13.814883770748473</c:v>
                </c:pt>
                <c:pt idx="11">
                  <c:v>14.714855792630319</c:v>
                </c:pt>
                <c:pt idx="12">
                  <c:v>13.665365351767017</c:v>
                </c:pt>
                <c:pt idx="13">
                  <c:v>10.000384237336506</c:v>
                </c:pt>
                <c:pt idx="14">
                  <c:v>27.400306103570649</c:v>
                </c:pt>
                <c:pt idx="15">
                  <c:v>19.943159545276362</c:v>
                </c:pt>
                <c:pt idx="16">
                  <c:v>18.757816491923769</c:v>
                </c:pt>
                <c:pt idx="17">
                  <c:v>20.764281281640919</c:v>
                </c:pt>
                <c:pt idx="18">
                  <c:v>29.591677358174817</c:v>
                </c:pt>
                <c:pt idx="19">
                  <c:v>33.432864717987918</c:v>
                </c:pt>
                <c:pt idx="20">
                  <c:v>18.130730920749698</c:v>
                </c:pt>
                <c:pt idx="21">
                  <c:v>18.356663209710465</c:v>
                </c:pt>
                <c:pt idx="22">
                  <c:v>37.114643019223251</c:v>
                </c:pt>
                <c:pt idx="23">
                  <c:v>11.532084661019145</c:v>
                </c:pt>
                <c:pt idx="24">
                  <c:v>29.965303566083957</c:v>
                </c:pt>
                <c:pt idx="25">
                  <c:v>12.523062083205968</c:v>
                </c:pt>
                <c:pt idx="26">
                  <c:v>16.529878122978726</c:v>
                </c:pt>
                <c:pt idx="27">
                  <c:v>21.301252590790302</c:v>
                </c:pt>
                <c:pt idx="28">
                  <c:v>19.265397407959629</c:v>
                </c:pt>
              </c:numCache>
            </c:numRef>
          </c:val>
          <c:extLst>
            <c:ext xmlns:c16="http://schemas.microsoft.com/office/drawing/2014/chart" uri="{C3380CC4-5D6E-409C-BE32-E72D297353CC}">
              <c16:uniqueId val="{00000009-5979-4806-AF52-5C433DDC3A37}"/>
            </c:ext>
          </c:extLst>
        </c:ser>
        <c:ser>
          <c:idx val="1"/>
          <c:order val="2"/>
          <c:tx>
            <c:strRef>
              <c:f>'HC grafy'!$G$32</c:f>
              <c:strCache>
                <c:ptCount val="1"/>
                <c:pt idx="0">
                  <c:v>Dlouhodobá péče</c:v>
                </c:pt>
              </c:strCache>
            </c:strRef>
          </c:tx>
          <c:spPr>
            <a:solidFill>
              <a:schemeClr val="accent2"/>
            </a:solidFill>
            <a:ln>
              <a:noFill/>
            </a:ln>
            <a:effectLst/>
          </c:spPr>
          <c:invertIfNegative val="0"/>
          <c:dPt>
            <c:idx val="16"/>
            <c:invertIfNegative val="0"/>
            <c:bubble3D val="0"/>
            <c:spPr>
              <a:solidFill>
                <a:schemeClr val="accent2">
                  <a:lumMod val="75000"/>
                </a:schemeClr>
              </a:solidFill>
              <a:ln>
                <a:noFill/>
              </a:ln>
              <a:effectLst/>
            </c:spPr>
            <c:extLst>
              <c:ext xmlns:c16="http://schemas.microsoft.com/office/drawing/2014/chart" uri="{C3380CC4-5D6E-409C-BE32-E72D297353CC}">
                <c16:uniqueId val="{0000000B-5979-4806-AF52-5C433DDC3A37}"/>
              </c:ext>
            </c:extLst>
          </c:dPt>
          <c:dPt>
            <c:idx val="20"/>
            <c:invertIfNegative val="0"/>
            <c:bubble3D val="0"/>
            <c:spPr>
              <a:solidFill>
                <a:schemeClr val="accent2">
                  <a:lumMod val="75000"/>
                </a:schemeClr>
              </a:solidFill>
              <a:ln>
                <a:noFill/>
              </a:ln>
              <a:effectLst/>
            </c:spPr>
            <c:extLst>
              <c:ext xmlns:c16="http://schemas.microsoft.com/office/drawing/2014/chart" uri="{C3380CC4-5D6E-409C-BE32-E72D297353CC}">
                <c16:uniqueId val="{0000000D-5979-4806-AF52-5C433DDC3A37}"/>
              </c:ext>
            </c:extLst>
          </c:dPt>
          <c:dLbls>
            <c:dLbl>
              <c:idx val="19"/>
              <c:delete val="1"/>
              <c:extLst>
                <c:ext xmlns:c15="http://schemas.microsoft.com/office/drawing/2012/chart" uri="{CE6537A1-D6FC-4f65-9D91-7224C49458BB}"/>
                <c:ext xmlns:c16="http://schemas.microsoft.com/office/drawing/2014/chart" uri="{C3380CC4-5D6E-409C-BE32-E72D297353CC}">
                  <c16:uniqueId val="{0000000E-5979-4806-AF52-5C433DDC3A37}"/>
                </c:ext>
              </c:extLst>
            </c:dLbl>
            <c:dLbl>
              <c:idx val="22"/>
              <c:delete val="1"/>
              <c:extLst>
                <c:ext xmlns:c15="http://schemas.microsoft.com/office/drawing/2012/chart" uri="{CE6537A1-D6FC-4f65-9D91-7224C49458BB}"/>
                <c:ext xmlns:c16="http://schemas.microsoft.com/office/drawing/2014/chart" uri="{C3380CC4-5D6E-409C-BE32-E72D297353CC}">
                  <c16:uniqueId val="{0000000F-5979-4806-AF52-5C433DDC3A37}"/>
                </c:ext>
              </c:extLst>
            </c:dLbl>
            <c:spPr>
              <a:noFill/>
              <a:ln>
                <a:noFill/>
              </a:ln>
              <a:effectLst/>
            </c:spPr>
            <c:txPr>
              <a:bodyPr rot="-5400000" spcFirstLastPara="1" vertOverflow="ellipsis" wrap="square" anchor="ctr" anchorCtr="1"/>
              <a:lstStyle/>
              <a:p>
                <a:pPr>
                  <a:defRPr sz="800" b="0" i="0" u="none" strike="noStrike" kern="1200" baseline="0">
                    <a:solidFill>
                      <a:schemeClr val="bg1"/>
                    </a:solidFill>
                    <a:latin typeface="Arial" panose="020B0604020202020204" pitchFamily="34" charset="0"/>
                    <a:ea typeface="+mn-ea"/>
                    <a:cs typeface="Arial" panose="020B0604020202020204" pitchFamily="34" charset="0"/>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'HC grafy'!$A$33:$A$61</c:f>
              <c:strCache>
                <c:ptCount val="29"/>
                <c:pt idx="0">
                  <c:v>Portugalsko</c:v>
                </c:pt>
                <c:pt idx="1">
                  <c:v>Polsko</c:v>
                </c:pt>
                <c:pt idx="2">
                  <c:v>Řecko</c:v>
                </c:pt>
                <c:pt idx="3">
                  <c:v>Kypr</c:v>
                </c:pt>
                <c:pt idx="4">
                  <c:v>Finsko</c:v>
                </c:pt>
                <c:pt idx="5">
                  <c:v>Rakousko</c:v>
                </c:pt>
                <c:pt idx="6">
                  <c:v>Slovinsko</c:v>
                </c:pt>
                <c:pt idx="7">
                  <c:v>Španělsko</c:v>
                </c:pt>
                <c:pt idx="8">
                  <c:v>Rumunsko</c:v>
                </c:pt>
                <c:pt idx="9">
                  <c:v>Chorvatsko</c:v>
                </c:pt>
                <c:pt idx="10">
                  <c:v>Lucembursko</c:v>
                </c:pt>
                <c:pt idx="11">
                  <c:v>Velká Británie</c:v>
                </c:pt>
                <c:pt idx="12">
                  <c:v>Irsko</c:v>
                </c:pt>
                <c:pt idx="13">
                  <c:v>Dánsko</c:v>
                </c:pt>
                <c:pt idx="14">
                  <c:v>Litva</c:v>
                </c:pt>
                <c:pt idx="15">
                  <c:v>Estonsko</c:v>
                </c:pt>
                <c:pt idx="16">
                  <c:v>Česko</c:v>
                </c:pt>
                <c:pt idx="17">
                  <c:v>Itálie</c:v>
                </c:pt>
                <c:pt idx="18">
                  <c:v>Maďarsko</c:v>
                </c:pt>
                <c:pt idx="19">
                  <c:v>Slovensko</c:v>
                </c:pt>
                <c:pt idx="20">
                  <c:v>EU28 </c:v>
                </c:pt>
                <c:pt idx="21">
                  <c:v>Francie</c:v>
                </c:pt>
                <c:pt idx="22">
                  <c:v>Bulharsko</c:v>
                </c:pt>
                <c:pt idx="23">
                  <c:v>Nizozemsko</c:v>
                </c:pt>
                <c:pt idx="24">
                  <c:v>Lotyšsko</c:v>
                </c:pt>
                <c:pt idx="25">
                  <c:v>Švédsko</c:v>
                </c:pt>
                <c:pt idx="26">
                  <c:v>Belgie</c:v>
                </c:pt>
                <c:pt idx="27">
                  <c:v>Malta</c:v>
                </c:pt>
                <c:pt idx="28">
                  <c:v>Německo</c:v>
                </c:pt>
              </c:strCache>
            </c:strRef>
          </c:cat>
          <c:val>
            <c:numRef>
              <c:f>'HC grafy'!$G$33:$G$61</c:f>
              <c:numCache>
                <c:formatCode>0</c:formatCode>
                <c:ptCount val="29"/>
                <c:pt idx="0">
                  <c:v>4.8608560465286148</c:v>
                </c:pt>
                <c:pt idx="1">
                  <c:v>6.182781362771764</c:v>
                </c:pt>
                <c:pt idx="2">
                  <c:v>2.1807574937883603</c:v>
                </c:pt>
                <c:pt idx="3">
                  <c:v>3.7456847754685598</c:v>
                </c:pt>
                <c:pt idx="4">
                  <c:v>17.206066968888052</c:v>
                </c:pt>
                <c:pt idx="5">
                  <c:v>14.743665137674627</c:v>
                </c:pt>
                <c:pt idx="6">
                  <c:v>9.5068669923495239</c:v>
                </c:pt>
                <c:pt idx="7">
                  <c:v>9.5321511390744789</c:v>
                </c:pt>
                <c:pt idx="8">
                  <c:v>5.6494243725524509</c:v>
                </c:pt>
                <c:pt idx="9">
                  <c:v>3.0311026369997105</c:v>
                </c:pt>
                <c:pt idx="10">
                  <c:v>18.716705572514517</c:v>
                </c:pt>
                <c:pt idx="11">
                  <c:v>17.914702693185799</c:v>
                </c:pt>
                <c:pt idx="12">
                  <c:v>21.456819431979383</c:v>
                </c:pt>
                <c:pt idx="13">
                  <c:v>25.055591260800924</c:v>
                </c:pt>
                <c:pt idx="14">
                  <c:v>8.047496510082917</c:v>
                </c:pt>
                <c:pt idx="15">
                  <c:v>9.1129199621832271</c:v>
                </c:pt>
                <c:pt idx="16">
                  <c:v>13.931422155773509</c:v>
                </c:pt>
                <c:pt idx="17">
                  <c:v>10.599993467681355</c:v>
                </c:pt>
                <c:pt idx="18">
                  <c:v>3.9077369331176435</c:v>
                </c:pt>
                <c:pt idx="19">
                  <c:v>0.41158925862192708</c:v>
                </c:pt>
                <c:pt idx="20">
                  <c:v>16.383851382106528</c:v>
                </c:pt>
                <c:pt idx="21">
                  <c:v>15.566676798475759</c:v>
                </c:pt>
                <c:pt idx="22">
                  <c:v>0.10338475875676187</c:v>
                </c:pt>
                <c:pt idx="23">
                  <c:v>26.751897619232661</c:v>
                </c:pt>
                <c:pt idx="24">
                  <c:v>4.7072973362450261</c:v>
                </c:pt>
                <c:pt idx="25">
                  <c:v>26.555589172868544</c:v>
                </c:pt>
                <c:pt idx="26">
                  <c:v>22.604664483364463</c:v>
                </c:pt>
                <c:pt idx="27">
                  <c:v>19.469225916914482</c:v>
                </c:pt>
                <c:pt idx="28">
                  <c:v>18.588714302098865</c:v>
                </c:pt>
              </c:numCache>
            </c:numRef>
          </c:val>
          <c:extLst>
            <c:ext xmlns:c16="http://schemas.microsoft.com/office/drawing/2014/chart" uri="{C3380CC4-5D6E-409C-BE32-E72D297353CC}">
              <c16:uniqueId val="{00000010-5979-4806-AF52-5C433DDC3A37}"/>
            </c:ext>
          </c:extLst>
        </c:ser>
        <c:ser>
          <c:idx val="2"/>
          <c:order val="3"/>
          <c:tx>
            <c:strRef>
              <c:f>'HC grafy'!$H$32</c:f>
              <c:strCache>
                <c:ptCount val="1"/>
                <c:pt idx="0">
                  <c:v>Doplňkové služby</c:v>
                </c:pt>
              </c:strCache>
            </c:strRef>
          </c:tx>
          <c:spPr>
            <a:solidFill>
              <a:schemeClr val="accent3"/>
            </a:solidFill>
            <a:ln>
              <a:noFill/>
            </a:ln>
            <a:effectLst/>
          </c:spPr>
          <c:invertIfNegative val="0"/>
          <c:dLbls>
            <c:spPr>
              <a:noFill/>
              <a:ln>
                <a:noFill/>
              </a:ln>
              <a:effectLst/>
            </c:spPr>
            <c:txPr>
              <a:bodyPr rot="-5400000" spcFirstLastPara="1" vertOverflow="ellipsis" wrap="square" anchor="ctr" anchorCtr="1"/>
              <a:lstStyle/>
              <a:p>
                <a:pPr>
                  <a:defRPr sz="800" b="0" i="0" u="none" strike="noStrike" kern="1200" baseline="0">
                    <a:solidFill>
                      <a:schemeClr val="bg1"/>
                    </a:solidFill>
                    <a:latin typeface="Arial" panose="020B0604020202020204" pitchFamily="34" charset="0"/>
                    <a:ea typeface="+mn-ea"/>
                    <a:cs typeface="Arial" panose="020B0604020202020204" pitchFamily="34" charset="0"/>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'HC grafy'!$A$33:$A$61</c:f>
              <c:strCache>
                <c:ptCount val="29"/>
                <c:pt idx="0">
                  <c:v>Portugalsko</c:v>
                </c:pt>
                <c:pt idx="1">
                  <c:v>Polsko</c:v>
                </c:pt>
                <c:pt idx="2">
                  <c:v>Řecko</c:v>
                </c:pt>
                <c:pt idx="3">
                  <c:v>Kypr</c:v>
                </c:pt>
                <c:pt idx="4">
                  <c:v>Finsko</c:v>
                </c:pt>
                <c:pt idx="5">
                  <c:v>Rakousko</c:v>
                </c:pt>
                <c:pt idx="6">
                  <c:v>Slovinsko</c:v>
                </c:pt>
                <c:pt idx="7">
                  <c:v>Španělsko</c:v>
                </c:pt>
                <c:pt idx="8">
                  <c:v>Rumunsko</c:v>
                </c:pt>
                <c:pt idx="9">
                  <c:v>Chorvatsko</c:v>
                </c:pt>
                <c:pt idx="10">
                  <c:v>Lucembursko</c:v>
                </c:pt>
                <c:pt idx="11">
                  <c:v>Velká Británie</c:v>
                </c:pt>
                <c:pt idx="12">
                  <c:v>Irsko</c:v>
                </c:pt>
                <c:pt idx="13">
                  <c:v>Dánsko</c:v>
                </c:pt>
                <c:pt idx="14">
                  <c:v>Litva</c:v>
                </c:pt>
                <c:pt idx="15">
                  <c:v>Estonsko</c:v>
                </c:pt>
                <c:pt idx="16">
                  <c:v>Česko</c:v>
                </c:pt>
                <c:pt idx="17">
                  <c:v>Itálie</c:v>
                </c:pt>
                <c:pt idx="18">
                  <c:v>Maďarsko</c:v>
                </c:pt>
                <c:pt idx="19">
                  <c:v>Slovensko</c:v>
                </c:pt>
                <c:pt idx="20">
                  <c:v>EU28 </c:v>
                </c:pt>
                <c:pt idx="21">
                  <c:v>Francie</c:v>
                </c:pt>
                <c:pt idx="22">
                  <c:v>Bulharsko</c:v>
                </c:pt>
                <c:pt idx="23">
                  <c:v>Nizozemsko</c:v>
                </c:pt>
                <c:pt idx="24">
                  <c:v>Lotyšsko</c:v>
                </c:pt>
                <c:pt idx="25">
                  <c:v>Švédsko</c:v>
                </c:pt>
                <c:pt idx="26">
                  <c:v>Belgie</c:v>
                </c:pt>
                <c:pt idx="27">
                  <c:v>Malta</c:v>
                </c:pt>
                <c:pt idx="28">
                  <c:v>Německo</c:v>
                </c:pt>
              </c:strCache>
            </c:strRef>
          </c:cat>
          <c:val>
            <c:numRef>
              <c:f>'HC grafy'!$H$33:$H$61</c:f>
              <c:numCache>
                <c:formatCode>0</c:formatCode>
                <c:ptCount val="29"/>
                <c:pt idx="0">
                  <c:v>7.3425444960703787</c:v>
                </c:pt>
                <c:pt idx="1">
                  <c:v>3.7090720240952231</c:v>
                </c:pt>
                <c:pt idx="2">
                  <c:v>3.1781984595273332</c:v>
                </c:pt>
                <c:pt idx="3">
                  <c:v>10.766747264112706</c:v>
                </c:pt>
                <c:pt idx="4">
                  <c:v>3.080602946350731</c:v>
                </c:pt>
                <c:pt idx="5">
                  <c:v>3.0065653169114963</c:v>
                </c:pt>
                <c:pt idx="6">
                  <c:v>3.2411150468114243</c:v>
                </c:pt>
                <c:pt idx="7">
                  <c:v>4.9535610588134089</c:v>
                </c:pt>
                <c:pt idx="8">
                  <c:v>5.8653231402145973</c:v>
                </c:pt>
                <c:pt idx="9">
                  <c:v>9.7697235888618401</c:v>
                </c:pt>
                <c:pt idx="10">
                  <c:v>5.8002791140177621</c:v>
                </c:pt>
                <c:pt idx="11">
                  <c:v>1.828860689782003</c:v>
                </c:pt>
                <c:pt idx="12">
                  <c:v>2.7879020027481269</c:v>
                </c:pt>
                <c:pt idx="13">
                  <c:v>4.5020136335288781</c:v>
                </c:pt>
                <c:pt idx="14">
                  <c:v>5.8522966177237334</c:v>
                </c:pt>
                <c:pt idx="15">
                  <c:v>11.113865381511287</c:v>
                </c:pt>
                <c:pt idx="16">
                  <c:v>4.9467328717625945</c:v>
                </c:pt>
                <c:pt idx="17">
                  <c:v>8.1523336708364624</c:v>
                </c:pt>
                <c:pt idx="18">
                  <c:v>6.510514865844816</c:v>
                </c:pt>
                <c:pt idx="19">
                  <c:v>7.8826186156514071</c:v>
                </c:pt>
                <c:pt idx="20">
                  <c:v>4.5797249793548707</c:v>
                </c:pt>
                <c:pt idx="21">
                  <c:v>5.2009480904951415</c:v>
                </c:pt>
                <c:pt idx="22">
                  <c:v>4.2547924660177214</c:v>
                </c:pt>
                <c:pt idx="23">
                  <c:v>1.9118675681977151</c:v>
                </c:pt>
                <c:pt idx="24">
                  <c:v>9.9588741949429664</c:v>
                </c:pt>
                <c:pt idx="25">
                  <c:v>4.1682717200766062</c:v>
                </c:pt>
                <c:pt idx="26">
                  <c:v>5.0643359926204417</c:v>
                </c:pt>
                <c:pt idx="27">
                  <c:v>5.0346940614580511</c:v>
                </c:pt>
                <c:pt idx="28">
                  <c:v>4.9489620369308405</c:v>
                </c:pt>
              </c:numCache>
            </c:numRef>
          </c:val>
          <c:extLst>
            <c:ext xmlns:c16="http://schemas.microsoft.com/office/drawing/2014/chart" uri="{C3380CC4-5D6E-409C-BE32-E72D297353CC}">
              <c16:uniqueId val="{00000011-5979-4806-AF52-5C433DDC3A37}"/>
            </c:ext>
          </c:extLst>
        </c:ser>
        <c:ser>
          <c:idx val="4"/>
          <c:order val="4"/>
          <c:tx>
            <c:strRef>
              <c:f>'HC grafy'!$J$32</c:f>
              <c:strCache>
                <c:ptCount val="1"/>
                <c:pt idx="0">
                  <c:v>Preventivní péče</c:v>
                </c:pt>
              </c:strCache>
            </c:strRef>
          </c:tx>
          <c:spPr>
            <a:solidFill>
              <a:schemeClr val="accent5"/>
            </a:solidFill>
            <a:ln>
              <a:noFill/>
            </a:ln>
            <a:effectLst/>
          </c:spPr>
          <c:invertIfNegative val="0"/>
          <c:dLbls>
            <c:delete val="1"/>
          </c:dLbls>
          <c:cat>
            <c:strRef>
              <c:f>'HC grafy'!$A$33:$A$61</c:f>
              <c:strCache>
                <c:ptCount val="29"/>
                <c:pt idx="0">
                  <c:v>Portugalsko</c:v>
                </c:pt>
                <c:pt idx="1">
                  <c:v>Polsko</c:v>
                </c:pt>
                <c:pt idx="2">
                  <c:v>Řecko</c:v>
                </c:pt>
                <c:pt idx="3">
                  <c:v>Kypr</c:v>
                </c:pt>
                <c:pt idx="4">
                  <c:v>Finsko</c:v>
                </c:pt>
                <c:pt idx="5">
                  <c:v>Rakousko</c:v>
                </c:pt>
                <c:pt idx="6">
                  <c:v>Slovinsko</c:v>
                </c:pt>
                <c:pt idx="7">
                  <c:v>Španělsko</c:v>
                </c:pt>
                <c:pt idx="8">
                  <c:v>Rumunsko</c:v>
                </c:pt>
                <c:pt idx="9">
                  <c:v>Chorvatsko</c:v>
                </c:pt>
                <c:pt idx="10">
                  <c:v>Lucembursko</c:v>
                </c:pt>
                <c:pt idx="11">
                  <c:v>Velká Británie</c:v>
                </c:pt>
                <c:pt idx="12">
                  <c:v>Irsko</c:v>
                </c:pt>
                <c:pt idx="13">
                  <c:v>Dánsko</c:v>
                </c:pt>
                <c:pt idx="14">
                  <c:v>Litva</c:v>
                </c:pt>
                <c:pt idx="15">
                  <c:v>Estonsko</c:v>
                </c:pt>
                <c:pt idx="16">
                  <c:v>Česko</c:v>
                </c:pt>
                <c:pt idx="17">
                  <c:v>Itálie</c:v>
                </c:pt>
                <c:pt idx="18">
                  <c:v>Maďarsko</c:v>
                </c:pt>
                <c:pt idx="19">
                  <c:v>Slovensko</c:v>
                </c:pt>
                <c:pt idx="20">
                  <c:v>EU28 </c:v>
                </c:pt>
                <c:pt idx="21">
                  <c:v>Francie</c:v>
                </c:pt>
                <c:pt idx="22">
                  <c:v>Bulharsko</c:v>
                </c:pt>
                <c:pt idx="23">
                  <c:v>Nizozemsko</c:v>
                </c:pt>
                <c:pt idx="24">
                  <c:v>Lotyšsko</c:v>
                </c:pt>
                <c:pt idx="25">
                  <c:v>Švédsko</c:v>
                </c:pt>
                <c:pt idx="26">
                  <c:v>Belgie</c:v>
                </c:pt>
                <c:pt idx="27">
                  <c:v>Malta</c:v>
                </c:pt>
                <c:pt idx="28">
                  <c:v>Německo</c:v>
                </c:pt>
              </c:strCache>
            </c:strRef>
          </c:cat>
          <c:val>
            <c:numRef>
              <c:f>'HC grafy'!$J$33:$J$61</c:f>
              <c:numCache>
                <c:formatCode>0</c:formatCode>
                <c:ptCount val="29"/>
                <c:pt idx="0">
                  <c:v>1.6836939003978055</c:v>
                </c:pt>
                <c:pt idx="1">
                  <c:v>2.2834337724210263</c:v>
                </c:pt>
                <c:pt idx="2">
                  <c:v>1.2673780318802201</c:v>
                </c:pt>
                <c:pt idx="3">
                  <c:v>1.2606745027882988</c:v>
                </c:pt>
                <c:pt idx="4">
                  <c:v>3.979784978621459</c:v>
                </c:pt>
                <c:pt idx="5">
                  <c:v>2.1049274558115267</c:v>
                </c:pt>
                <c:pt idx="6">
                  <c:v>3.1318225511238689</c:v>
                </c:pt>
                <c:pt idx="7">
                  <c:v>2.1326855962045959</c:v>
                </c:pt>
                <c:pt idx="8">
                  <c:v>1.4212382827649468</c:v>
                </c:pt>
                <c:pt idx="9">
                  <c:v>3.1633214733604578</c:v>
                </c:pt>
                <c:pt idx="10">
                  <c:v>2.1758922355268671</c:v>
                </c:pt>
                <c:pt idx="11">
                  <c:v>5.0792358548201584</c:v>
                </c:pt>
                <c:pt idx="12">
                  <c:v>2.6042629383586506</c:v>
                </c:pt>
                <c:pt idx="13">
                  <c:v>2.4409908331480561</c:v>
                </c:pt>
                <c:pt idx="14">
                  <c:v>2.1679533107960376</c:v>
                </c:pt>
                <c:pt idx="15">
                  <c:v>3.2985910946111101</c:v>
                </c:pt>
                <c:pt idx="16">
                  <c:v>2.6499679622275609</c:v>
                </c:pt>
                <c:pt idx="17">
                  <c:v>4.404742463337362</c:v>
                </c:pt>
                <c:pt idx="18">
                  <c:v>3.038656774697384</c:v>
                </c:pt>
                <c:pt idx="19">
                  <c:v>0.76776585144398402</c:v>
                </c:pt>
                <c:pt idx="20">
                  <c:v>3.1219020547109824</c:v>
                </c:pt>
                <c:pt idx="21">
                  <c:v>1.7974466486501579</c:v>
                </c:pt>
                <c:pt idx="22">
                  <c:v>2.8260927599119534</c:v>
                </c:pt>
                <c:pt idx="23">
                  <c:v>3.2615735343643948</c:v>
                </c:pt>
                <c:pt idx="24">
                  <c:v>2.5778452738579554</c:v>
                </c:pt>
                <c:pt idx="25">
                  <c:v>3.2690259262262868</c:v>
                </c:pt>
                <c:pt idx="26">
                  <c:v>1.6511846794019167</c:v>
                </c:pt>
                <c:pt idx="27">
                  <c:v>1.2976480129764802</c:v>
                </c:pt>
                <c:pt idx="28">
                  <c:v>3.1973016088166912</c:v>
                </c:pt>
              </c:numCache>
            </c:numRef>
          </c:val>
          <c:extLst>
            <c:ext xmlns:c16="http://schemas.microsoft.com/office/drawing/2014/chart" uri="{C3380CC4-5D6E-409C-BE32-E72D297353CC}">
              <c16:uniqueId val="{00000012-5979-4806-AF52-5C433DDC3A37}"/>
            </c:ext>
          </c:extLst>
        </c:ser>
        <c:ser>
          <c:idx val="5"/>
          <c:order val="5"/>
          <c:tx>
            <c:strRef>
              <c:f>'HC grafy'!$K$32</c:f>
              <c:strCache>
                <c:ptCount val="1"/>
                <c:pt idx="0">
                  <c:v>Správa a zdravotní systém a správa financování</c:v>
                </c:pt>
              </c:strCache>
            </c:strRef>
          </c:tx>
          <c:spPr>
            <a:solidFill>
              <a:schemeClr val="accent6"/>
            </a:solidFill>
            <a:ln>
              <a:noFill/>
            </a:ln>
            <a:effectLst/>
          </c:spPr>
          <c:invertIfNegative val="0"/>
          <c:dLbls>
            <c:delete val="1"/>
          </c:dLbls>
          <c:cat>
            <c:strRef>
              <c:f>'HC grafy'!$A$33:$A$61</c:f>
              <c:strCache>
                <c:ptCount val="29"/>
                <c:pt idx="0">
                  <c:v>Portugalsko</c:v>
                </c:pt>
                <c:pt idx="1">
                  <c:v>Polsko</c:v>
                </c:pt>
                <c:pt idx="2">
                  <c:v>Řecko</c:v>
                </c:pt>
                <c:pt idx="3">
                  <c:v>Kypr</c:v>
                </c:pt>
                <c:pt idx="4">
                  <c:v>Finsko</c:v>
                </c:pt>
                <c:pt idx="5">
                  <c:v>Rakousko</c:v>
                </c:pt>
                <c:pt idx="6">
                  <c:v>Slovinsko</c:v>
                </c:pt>
                <c:pt idx="7">
                  <c:v>Španělsko</c:v>
                </c:pt>
                <c:pt idx="8">
                  <c:v>Rumunsko</c:v>
                </c:pt>
                <c:pt idx="9">
                  <c:v>Chorvatsko</c:v>
                </c:pt>
                <c:pt idx="10">
                  <c:v>Lucembursko</c:v>
                </c:pt>
                <c:pt idx="11">
                  <c:v>Velká Británie</c:v>
                </c:pt>
                <c:pt idx="12">
                  <c:v>Irsko</c:v>
                </c:pt>
                <c:pt idx="13">
                  <c:v>Dánsko</c:v>
                </c:pt>
                <c:pt idx="14">
                  <c:v>Litva</c:v>
                </c:pt>
                <c:pt idx="15">
                  <c:v>Estonsko</c:v>
                </c:pt>
                <c:pt idx="16">
                  <c:v>Česko</c:v>
                </c:pt>
                <c:pt idx="17">
                  <c:v>Itálie</c:v>
                </c:pt>
                <c:pt idx="18">
                  <c:v>Maďarsko</c:v>
                </c:pt>
                <c:pt idx="19">
                  <c:v>Slovensko</c:v>
                </c:pt>
                <c:pt idx="20">
                  <c:v>EU28 </c:v>
                </c:pt>
                <c:pt idx="21">
                  <c:v>Francie</c:v>
                </c:pt>
                <c:pt idx="22">
                  <c:v>Bulharsko</c:v>
                </c:pt>
                <c:pt idx="23">
                  <c:v>Nizozemsko</c:v>
                </c:pt>
                <c:pt idx="24">
                  <c:v>Lotyšsko</c:v>
                </c:pt>
                <c:pt idx="25">
                  <c:v>Švédsko</c:v>
                </c:pt>
                <c:pt idx="26">
                  <c:v>Belgie</c:v>
                </c:pt>
                <c:pt idx="27">
                  <c:v>Malta</c:v>
                </c:pt>
                <c:pt idx="28">
                  <c:v>Německo</c:v>
                </c:pt>
              </c:strCache>
            </c:strRef>
          </c:cat>
          <c:val>
            <c:numRef>
              <c:f>'HC grafy'!$K$33:$K$61</c:f>
              <c:numCache>
                <c:formatCode>0</c:formatCode>
                <c:ptCount val="29"/>
                <c:pt idx="0">
                  <c:v>2.048396680583048</c:v>
                </c:pt>
                <c:pt idx="1">
                  <c:v>1.8224742299458314</c:v>
                </c:pt>
                <c:pt idx="2">
                  <c:v>1.6481808543259047</c:v>
                </c:pt>
                <c:pt idx="3">
                  <c:v>2.4130316286740556</c:v>
                </c:pt>
                <c:pt idx="4">
                  <c:v>0.89184196406965588</c:v>
                </c:pt>
                <c:pt idx="5">
                  <c:v>3.9458750890906766</c:v>
                </c:pt>
                <c:pt idx="6">
                  <c:v>3.1481505866241788</c:v>
                </c:pt>
                <c:pt idx="7">
                  <c:v>3.0417159607324784</c:v>
                </c:pt>
                <c:pt idx="8">
                  <c:v>2.9365750100913988</c:v>
                </c:pt>
                <c:pt idx="9">
                  <c:v>2.6906249468003609</c:v>
                </c:pt>
                <c:pt idx="10">
                  <c:v>3.3559837824044756</c:v>
                </c:pt>
                <c:pt idx="11">
                  <c:v>1.8711099623058238</c:v>
                </c:pt>
                <c:pt idx="12">
                  <c:v>2.7951175080673356</c:v>
                </c:pt>
                <c:pt idx="13">
                  <c:v>2.469628008997065</c:v>
                </c:pt>
                <c:pt idx="14">
                  <c:v>1.2775619355164236</c:v>
                </c:pt>
                <c:pt idx="15">
                  <c:v>1.4544469296930846</c:v>
                </c:pt>
                <c:pt idx="16">
                  <c:v>2.2570720941236364</c:v>
                </c:pt>
                <c:pt idx="17">
                  <c:v>1.6788058921514193</c:v>
                </c:pt>
                <c:pt idx="18">
                  <c:v>2.1887655491716407</c:v>
                </c:pt>
                <c:pt idx="19">
                  <c:v>3.6999637814804864</c:v>
                </c:pt>
                <c:pt idx="20">
                  <c:v>3.4832655601598579</c:v>
                </c:pt>
                <c:pt idx="21">
                  <c:v>5.6100145520271667</c:v>
                </c:pt>
                <c:pt idx="22">
                  <c:v>1.5655753022062697</c:v>
                </c:pt>
                <c:pt idx="23">
                  <c:v>3.7926478588637602</c:v>
                </c:pt>
                <c:pt idx="24">
                  <c:v>1.1218144128764782</c:v>
                </c:pt>
                <c:pt idx="25">
                  <c:v>1.7479616471512966</c:v>
                </c:pt>
                <c:pt idx="26">
                  <c:v>3.5076101698382476</c:v>
                </c:pt>
                <c:pt idx="27">
                  <c:v>3.0224384968910516</c:v>
                </c:pt>
                <c:pt idx="28">
                  <c:v>4.7002888154396354</c:v>
                </c:pt>
              </c:numCache>
            </c:numRef>
          </c:val>
          <c:extLst>
            <c:ext xmlns:c16="http://schemas.microsoft.com/office/drawing/2014/chart" uri="{C3380CC4-5D6E-409C-BE32-E72D297353CC}">
              <c16:uniqueId val="{00000013-5979-4806-AF52-5C433DDC3A37}"/>
            </c:ext>
          </c:extLst>
        </c:ser>
        <c:ser>
          <c:idx val="6"/>
          <c:order val="6"/>
          <c:tx>
            <c:strRef>
              <c:f>'HC grafy'!$L$32</c:f>
              <c:strCache>
                <c:ptCount val="1"/>
                <c:pt idx="0">
                  <c:v>Ostatní služby zdravotní péče (neznámé)</c:v>
                </c:pt>
              </c:strCache>
            </c:strRef>
          </c:tx>
          <c:spPr>
            <a:solidFill>
              <a:srgbClr val="C00000"/>
            </a:solidFill>
            <a:ln>
              <a:noFill/>
            </a:ln>
            <a:effectLst/>
          </c:spPr>
          <c:invertIfNegative val="0"/>
          <c:dLbls>
            <c:delete val="1"/>
          </c:dLbls>
          <c:cat>
            <c:strRef>
              <c:f>'HC grafy'!$A$33:$A$61</c:f>
              <c:strCache>
                <c:ptCount val="29"/>
                <c:pt idx="0">
                  <c:v>Portugalsko</c:v>
                </c:pt>
                <c:pt idx="1">
                  <c:v>Polsko</c:v>
                </c:pt>
                <c:pt idx="2">
                  <c:v>Řecko</c:v>
                </c:pt>
                <c:pt idx="3">
                  <c:v>Kypr</c:v>
                </c:pt>
                <c:pt idx="4">
                  <c:v>Finsko</c:v>
                </c:pt>
                <c:pt idx="5">
                  <c:v>Rakousko</c:v>
                </c:pt>
                <c:pt idx="6">
                  <c:v>Slovinsko</c:v>
                </c:pt>
                <c:pt idx="7">
                  <c:v>Španělsko</c:v>
                </c:pt>
                <c:pt idx="8">
                  <c:v>Rumunsko</c:v>
                </c:pt>
                <c:pt idx="9">
                  <c:v>Chorvatsko</c:v>
                </c:pt>
                <c:pt idx="10">
                  <c:v>Lucembursko</c:v>
                </c:pt>
                <c:pt idx="11">
                  <c:v>Velká Británie</c:v>
                </c:pt>
                <c:pt idx="12">
                  <c:v>Irsko</c:v>
                </c:pt>
                <c:pt idx="13">
                  <c:v>Dánsko</c:v>
                </c:pt>
                <c:pt idx="14">
                  <c:v>Litva</c:v>
                </c:pt>
                <c:pt idx="15">
                  <c:v>Estonsko</c:v>
                </c:pt>
                <c:pt idx="16">
                  <c:v>Česko</c:v>
                </c:pt>
                <c:pt idx="17">
                  <c:v>Itálie</c:v>
                </c:pt>
                <c:pt idx="18">
                  <c:v>Maďarsko</c:v>
                </c:pt>
                <c:pt idx="19">
                  <c:v>Slovensko</c:v>
                </c:pt>
                <c:pt idx="20">
                  <c:v>EU28 </c:v>
                </c:pt>
                <c:pt idx="21">
                  <c:v>Francie</c:v>
                </c:pt>
                <c:pt idx="22">
                  <c:v>Bulharsko</c:v>
                </c:pt>
                <c:pt idx="23">
                  <c:v>Nizozemsko</c:v>
                </c:pt>
                <c:pt idx="24">
                  <c:v>Lotyšsko</c:v>
                </c:pt>
                <c:pt idx="25">
                  <c:v>Švédsko</c:v>
                </c:pt>
                <c:pt idx="26">
                  <c:v>Belgie</c:v>
                </c:pt>
                <c:pt idx="27">
                  <c:v>Malta</c:v>
                </c:pt>
                <c:pt idx="28">
                  <c:v>Německo</c:v>
                </c:pt>
              </c:strCache>
            </c:strRef>
          </c:cat>
          <c:val>
            <c:numRef>
              <c:f>'HC grafy'!$L$33:$L$61</c:f>
              <c:numCache>
                <c:formatCode>0</c:formatCode>
                <c:ptCount val="29"/>
                <c:pt idx="0">
                  <c:v>0.10252085255491393</c:v>
                </c:pt>
                <c:pt idx="1">
                  <c:v>0.55168486252161786</c:v>
                </c:pt>
                <c:pt idx="2">
                  <c:v>0</c:v>
                </c:pt>
                <c:pt idx="3">
                  <c:v>0</c:v>
                </c:pt>
                <c:pt idx="4">
                  <c:v>4.6597594257130635E-2</c:v>
                </c:pt>
                <c:pt idx="5">
                  <c:v>0</c:v>
                </c:pt>
                <c:pt idx="6">
                  <c:v>0</c:v>
                </c:pt>
                <c:pt idx="7">
                  <c:v>0</c:v>
                </c:pt>
                <c:pt idx="8">
                  <c:v>0.95769351521009027</c:v>
                </c:pt>
                <c:pt idx="9">
                  <c:v>1.4799430267331732</c:v>
                </c:pt>
                <c:pt idx="10">
                  <c:v>0</c:v>
                </c:pt>
                <c:pt idx="11">
                  <c:v>2.5353649357781753</c:v>
                </c:pt>
                <c:pt idx="12">
                  <c:v>0.85610634407716124</c:v>
                </c:pt>
                <c:pt idx="13">
                  <c:v>9.8522393975946732E-5</c:v>
                </c:pt>
                <c:pt idx="14">
                  <c:v>0</c:v>
                </c:pt>
                <c:pt idx="15">
                  <c:v>0</c:v>
                </c:pt>
                <c:pt idx="16">
                  <c:v>2.7334488835293089</c:v>
                </c:pt>
                <c:pt idx="17">
                  <c:v>0</c:v>
                </c:pt>
                <c:pt idx="18">
                  <c:v>0.46890165671891559</c:v>
                </c:pt>
                <c:pt idx="19">
                  <c:v>0</c:v>
                </c:pt>
                <c:pt idx="20">
                  <c:v>0.64257938078129462</c:v>
                </c:pt>
                <c:pt idx="21">
                  <c:v>0</c:v>
                </c:pt>
                <c:pt idx="22">
                  <c:v>0.70233683531002089</c:v>
                </c:pt>
                <c:pt idx="23">
                  <c:v>0.99220227455247278</c:v>
                </c:pt>
                <c:pt idx="24">
                  <c:v>0</c:v>
                </c:pt>
                <c:pt idx="25">
                  <c:v>0.6529708173997667</c:v>
                </c:pt>
                <c:pt idx="26">
                  <c:v>0</c:v>
                </c:pt>
                <c:pt idx="27">
                  <c:v>0</c:v>
                </c:pt>
                <c:pt idx="28">
                  <c:v>0</c:v>
                </c:pt>
              </c:numCache>
            </c:numRef>
          </c:val>
          <c:extLst>
            <c:ext xmlns:c16="http://schemas.microsoft.com/office/drawing/2014/chart" uri="{C3380CC4-5D6E-409C-BE32-E72D297353CC}">
              <c16:uniqueId val="{00000014-5979-4806-AF52-5C433DDC3A37}"/>
            </c:ext>
          </c:extLst>
        </c:ser>
        <c:dLbls>
          <c:dLblPos val="ctr"/>
          <c:showLegendKey val="0"/>
          <c:showVal val="1"/>
          <c:showCatName val="0"/>
          <c:showSerName val="0"/>
          <c:showPercent val="0"/>
          <c:showBubbleSize val="0"/>
        </c:dLbls>
        <c:gapWidth val="70"/>
        <c:overlap val="100"/>
        <c:axId val="645687984"/>
        <c:axId val="645695056"/>
      </c:barChart>
      <c:catAx>
        <c:axId val="6456879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5400000" spcFirstLastPara="1" vertOverflow="ellipsis"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crossAx val="645695056"/>
        <c:crosses val="autoZero"/>
        <c:auto val="1"/>
        <c:lblAlgn val="ctr"/>
        <c:lblOffset val="100"/>
        <c:noMultiLvlLbl val="0"/>
      </c:catAx>
      <c:valAx>
        <c:axId val="645695056"/>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crossAx val="64568798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800">
          <a:latin typeface="Arial" panose="020B0604020202020204" pitchFamily="34" charset="0"/>
          <a:cs typeface="Arial" panose="020B0604020202020204" pitchFamily="34" charset="0"/>
        </a:defRPr>
      </a:pPr>
      <a:endParaRPr lang="cs-CZ"/>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percentStacked"/>
        <c:varyColors val="0"/>
        <c:ser>
          <c:idx val="0"/>
          <c:order val="0"/>
          <c:tx>
            <c:strRef>
              <c:f>'HC grafy'!$B$96</c:f>
              <c:strCache>
                <c:ptCount val="1"/>
                <c:pt idx="0">
                  <c:v>Lůžková</c:v>
                </c:pt>
              </c:strCache>
            </c:strRef>
          </c:tx>
          <c:spPr>
            <a:solidFill>
              <a:schemeClr val="accent1"/>
            </a:solidFill>
            <a:ln>
              <a:noFill/>
            </a:ln>
            <a:effectLst/>
          </c:spPr>
          <c:invertIfNegative val="0"/>
          <c:dPt>
            <c:idx val="12"/>
            <c:invertIfNegative val="0"/>
            <c:bubble3D val="0"/>
            <c:spPr>
              <a:solidFill>
                <a:schemeClr val="accent1">
                  <a:lumMod val="75000"/>
                </a:schemeClr>
              </a:solidFill>
              <a:ln>
                <a:noFill/>
              </a:ln>
              <a:effectLst/>
            </c:spPr>
            <c:extLst>
              <c:ext xmlns:c16="http://schemas.microsoft.com/office/drawing/2014/chart" uri="{C3380CC4-5D6E-409C-BE32-E72D297353CC}">
                <c16:uniqueId val="{00000001-C614-467A-A8F0-150A6C65BB8E}"/>
              </c:ext>
            </c:extLst>
          </c:dPt>
          <c:dPt>
            <c:idx val="19"/>
            <c:invertIfNegative val="0"/>
            <c:bubble3D val="0"/>
            <c:spPr>
              <a:solidFill>
                <a:schemeClr val="accent1">
                  <a:lumMod val="75000"/>
                </a:schemeClr>
              </a:solidFill>
              <a:ln>
                <a:noFill/>
              </a:ln>
              <a:effectLst/>
            </c:spPr>
            <c:extLst>
              <c:ext xmlns:c16="http://schemas.microsoft.com/office/drawing/2014/chart" uri="{C3380CC4-5D6E-409C-BE32-E72D297353CC}">
                <c16:uniqueId val="{00000003-C614-467A-A8F0-150A6C65BB8E}"/>
              </c:ext>
            </c:extLst>
          </c:dPt>
          <c:dLbls>
            <c:spPr>
              <a:noFill/>
              <a:ln>
                <a:noFill/>
              </a:ln>
              <a:effectLst/>
            </c:spPr>
            <c:txPr>
              <a:bodyPr rot="-5400000" spcFirstLastPara="1" vertOverflow="ellipsis" wrap="square" anchor="ctr" anchorCtr="1"/>
              <a:lstStyle/>
              <a:p>
                <a:pPr>
                  <a:defRPr sz="800" b="0" i="0" u="none" strike="noStrike" kern="1200" baseline="0">
                    <a:solidFill>
                      <a:schemeClr val="bg1"/>
                    </a:solidFill>
                    <a:latin typeface="Arial" panose="020B0604020202020204" pitchFamily="34" charset="0"/>
                    <a:ea typeface="+mn-ea"/>
                    <a:cs typeface="Arial" panose="020B0604020202020204" pitchFamily="34" charset="0"/>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'HC grafy'!$A$97:$A$125</c:f>
              <c:strCache>
                <c:ptCount val="29"/>
                <c:pt idx="0">
                  <c:v>Řecko</c:v>
                </c:pt>
                <c:pt idx="1">
                  <c:v>Bulharsko</c:v>
                </c:pt>
                <c:pt idx="2">
                  <c:v>Rumunsko</c:v>
                </c:pt>
                <c:pt idx="3">
                  <c:v>Rakousko</c:v>
                </c:pt>
                <c:pt idx="4">
                  <c:v>Slovensko</c:v>
                </c:pt>
                <c:pt idx="5">
                  <c:v>Polsko</c:v>
                </c:pt>
                <c:pt idx="6">
                  <c:v>Německo</c:v>
                </c:pt>
                <c:pt idx="7">
                  <c:v>Belgie</c:v>
                </c:pt>
                <c:pt idx="8">
                  <c:v>Maďarsko</c:v>
                </c:pt>
                <c:pt idx="9">
                  <c:v>Litva</c:v>
                </c:pt>
                <c:pt idx="10">
                  <c:v>Francie</c:v>
                </c:pt>
                <c:pt idx="11">
                  <c:v>Itálie</c:v>
                </c:pt>
                <c:pt idx="12">
                  <c:v>EU28</c:v>
                </c:pt>
                <c:pt idx="13">
                  <c:v>Slovinsko</c:v>
                </c:pt>
                <c:pt idx="14">
                  <c:v>Kypr</c:v>
                </c:pt>
                <c:pt idx="15">
                  <c:v>Malta</c:v>
                </c:pt>
                <c:pt idx="16">
                  <c:v>Irsko</c:v>
                </c:pt>
                <c:pt idx="17">
                  <c:v>Dánsko</c:v>
                </c:pt>
                <c:pt idx="18">
                  <c:v>Lucembursko</c:v>
                </c:pt>
                <c:pt idx="19">
                  <c:v>Česko</c:v>
                </c:pt>
                <c:pt idx="20">
                  <c:v>Španělsko</c:v>
                </c:pt>
                <c:pt idx="21">
                  <c:v>Lotyšsko</c:v>
                </c:pt>
                <c:pt idx="22">
                  <c:v>Velká Británie</c:v>
                </c:pt>
                <c:pt idx="23">
                  <c:v>Estonsko</c:v>
                </c:pt>
                <c:pt idx="24">
                  <c:v>Švédsko</c:v>
                </c:pt>
                <c:pt idx="25">
                  <c:v>Finsko</c:v>
                </c:pt>
                <c:pt idx="26">
                  <c:v>Chorvatsko</c:v>
                </c:pt>
                <c:pt idx="27">
                  <c:v>Nizozemsko</c:v>
                </c:pt>
                <c:pt idx="28">
                  <c:v>Portugalsko</c:v>
                </c:pt>
              </c:strCache>
            </c:strRef>
          </c:cat>
          <c:val>
            <c:numRef>
              <c:f>'HC grafy'!$B$97:$B$125</c:f>
              <c:numCache>
                <c:formatCode>0</c:formatCode>
                <c:ptCount val="29"/>
                <c:pt idx="0">
                  <c:v>68.792138325662393</c:v>
                </c:pt>
                <c:pt idx="1">
                  <c:v>67.826209389888859</c:v>
                </c:pt>
                <c:pt idx="2">
                  <c:v>63.51033884963261</c:v>
                </c:pt>
                <c:pt idx="3">
                  <c:v>54.936370661275127</c:v>
                </c:pt>
                <c:pt idx="4">
                  <c:v>54.373404390620685</c:v>
                </c:pt>
                <c:pt idx="5">
                  <c:v>54.319280079395845</c:v>
                </c:pt>
                <c:pt idx="6">
                  <c:v>53.171363612330147</c:v>
                </c:pt>
                <c:pt idx="7">
                  <c:v>53.00295835811125</c:v>
                </c:pt>
                <c:pt idx="8">
                  <c:v>52.047926388486488</c:v>
                </c:pt>
                <c:pt idx="9">
                  <c:v>51.841547752398576</c:v>
                </c:pt>
                <c:pt idx="10">
                  <c:v>51.003383692995271</c:v>
                </c:pt>
                <c:pt idx="11">
                  <c:v>49.765844520761789</c:v>
                </c:pt>
                <c:pt idx="12">
                  <c:v>47.857946501606143</c:v>
                </c:pt>
                <c:pt idx="13">
                  <c:v>46.993523686846999</c:v>
                </c:pt>
                <c:pt idx="14">
                  <c:v>46.838254360153776</c:v>
                </c:pt>
                <c:pt idx="15">
                  <c:v>45.678097784844432</c:v>
                </c:pt>
                <c:pt idx="16">
                  <c:v>45.629216942916813</c:v>
                </c:pt>
                <c:pt idx="17">
                  <c:v>45.272229857758241</c:v>
                </c:pt>
                <c:pt idx="18">
                  <c:v>44.795308510339801</c:v>
                </c:pt>
                <c:pt idx="19">
                  <c:v>44.542729049951298</c:v>
                </c:pt>
                <c:pt idx="20">
                  <c:v>43.176443216360063</c:v>
                </c:pt>
                <c:pt idx="21">
                  <c:v>41.942889017613865</c:v>
                </c:pt>
                <c:pt idx="22">
                  <c:v>40.929445215584735</c:v>
                </c:pt>
                <c:pt idx="23">
                  <c:v>40.298304375130833</c:v>
                </c:pt>
                <c:pt idx="24">
                  <c:v>39.61145270755037</c:v>
                </c:pt>
                <c:pt idx="25">
                  <c:v>37.421821967495575</c:v>
                </c:pt>
                <c:pt idx="26">
                  <c:v>37.365818961414973</c:v>
                </c:pt>
                <c:pt idx="27">
                  <c:v>37.319185144401622</c:v>
                </c:pt>
                <c:pt idx="28">
                  <c:v>26.96777248011783</c:v>
                </c:pt>
              </c:numCache>
            </c:numRef>
          </c:val>
          <c:extLst>
            <c:ext xmlns:c16="http://schemas.microsoft.com/office/drawing/2014/chart" uri="{C3380CC4-5D6E-409C-BE32-E72D297353CC}">
              <c16:uniqueId val="{00000004-C614-467A-A8F0-150A6C65BB8E}"/>
            </c:ext>
          </c:extLst>
        </c:ser>
        <c:ser>
          <c:idx val="2"/>
          <c:order val="1"/>
          <c:tx>
            <c:strRef>
              <c:f>'HC grafy'!$D$96</c:f>
              <c:strCache>
                <c:ptCount val="1"/>
                <c:pt idx="0">
                  <c:v>Ambulantní </c:v>
                </c:pt>
              </c:strCache>
            </c:strRef>
          </c:tx>
          <c:spPr>
            <a:solidFill>
              <a:schemeClr val="accent3"/>
            </a:solidFill>
            <a:ln>
              <a:noFill/>
            </a:ln>
            <a:effectLst/>
          </c:spPr>
          <c:invertIfNegative val="0"/>
          <c:dPt>
            <c:idx val="12"/>
            <c:invertIfNegative val="0"/>
            <c:bubble3D val="0"/>
            <c:spPr>
              <a:solidFill>
                <a:schemeClr val="accent3">
                  <a:lumMod val="75000"/>
                </a:schemeClr>
              </a:solidFill>
              <a:ln>
                <a:noFill/>
              </a:ln>
              <a:effectLst/>
            </c:spPr>
            <c:extLst>
              <c:ext xmlns:c16="http://schemas.microsoft.com/office/drawing/2014/chart" uri="{C3380CC4-5D6E-409C-BE32-E72D297353CC}">
                <c16:uniqueId val="{00000006-C614-467A-A8F0-150A6C65BB8E}"/>
              </c:ext>
            </c:extLst>
          </c:dPt>
          <c:dPt>
            <c:idx val="19"/>
            <c:invertIfNegative val="0"/>
            <c:bubble3D val="0"/>
            <c:spPr>
              <a:solidFill>
                <a:schemeClr val="accent3">
                  <a:lumMod val="75000"/>
                </a:schemeClr>
              </a:solidFill>
              <a:ln>
                <a:noFill/>
              </a:ln>
              <a:effectLst/>
            </c:spPr>
            <c:extLst>
              <c:ext xmlns:c16="http://schemas.microsoft.com/office/drawing/2014/chart" uri="{C3380CC4-5D6E-409C-BE32-E72D297353CC}">
                <c16:uniqueId val="{00000008-C614-467A-A8F0-150A6C65BB8E}"/>
              </c:ext>
            </c:extLst>
          </c:dPt>
          <c:dLbls>
            <c:spPr>
              <a:noFill/>
              <a:ln>
                <a:noFill/>
              </a:ln>
              <a:effectLst/>
            </c:spPr>
            <c:txPr>
              <a:bodyPr rot="-5400000" spcFirstLastPara="1" vertOverflow="ellipsis" wrap="square" anchor="ctr" anchorCtr="1"/>
              <a:lstStyle/>
              <a:p>
                <a:pPr>
                  <a:defRPr sz="800" b="0" i="0" u="none" strike="noStrike" kern="1200" baseline="0">
                    <a:solidFill>
                      <a:schemeClr val="bg1"/>
                    </a:solidFill>
                    <a:latin typeface="Arial" panose="020B0604020202020204" pitchFamily="34" charset="0"/>
                    <a:ea typeface="+mn-ea"/>
                    <a:cs typeface="Arial" panose="020B0604020202020204" pitchFamily="34" charset="0"/>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'HC grafy'!$A$97:$A$125</c:f>
              <c:strCache>
                <c:ptCount val="29"/>
                <c:pt idx="0">
                  <c:v>Řecko</c:v>
                </c:pt>
                <c:pt idx="1">
                  <c:v>Bulharsko</c:v>
                </c:pt>
                <c:pt idx="2">
                  <c:v>Rumunsko</c:v>
                </c:pt>
                <c:pt idx="3">
                  <c:v>Rakousko</c:v>
                </c:pt>
                <c:pt idx="4">
                  <c:v>Slovensko</c:v>
                </c:pt>
                <c:pt idx="5">
                  <c:v>Polsko</c:v>
                </c:pt>
                <c:pt idx="6">
                  <c:v>Německo</c:v>
                </c:pt>
                <c:pt idx="7">
                  <c:v>Belgie</c:v>
                </c:pt>
                <c:pt idx="8">
                  <c:v>Maďarsko</c:v>
                </c:pt>
                <c:pt idx="9">
                  <c:v>Litva</c:v>
                </c:pt>
                <c:pt idx="10">
                  <c:v>Francie</c:v>
                </c:pt>
                <c:pt idx="11">
                  <c:v>Itálie</c:v>
                </c:pt>
                <c:pt idx="12">
                  <c:v>EU28</c:v>
                </c:pt>
                <c:pt idx="13">
                  <c:v>Slovinsko</c:v>
                </c:pt>
                <c:pt idx="14">
                  <c:v>Kypr</c:v>
                </c:pt>
                <c:pt idx="15">
                  <c:v>Malta</c:v>
                </c:pt>
                <c:pt idx="16">
                  <c:v>Irsko</c:v>
                </c:pt>
                <c:pt idx="17">
                  <c:v>Dánsko</c:v>
                </c:pt>
                <c:pt idx="18">
                  <c:v>Lucembursko</c:v>
                </c:pt>
                <c:pt idx="19">
                  <c:v>Česko</c:v>
                </c:pt>
                <c:pt idx="20">
                  <c:v>Španělsko</c:v>
                </c:pt>
                <c:pt idx="21">
                  <c:v>Lotyšsko</c:v>
                </c:pt>
                <c:pt idx="22">
                  <c:v>Velká Británie</c:v>
                </c:pt>
                <c:pt idx="23">
                  <c:v>Estonsko</c:v>
                </c:pt>
                <c:pt idx="24">
                  <c:v>Švédsko</c:v>
                </c:pt>
                <c:pt idx="25">
                  <c:v>Finsko</c:v>
                </c:pt>
                <c:pt idx="26">
                  <c:v>Chorvatsko</c:v>
                </c:pt>
                <c:pt idx="27">
                  <c:v>Nizozemsko</c:v>
                </c:pt>
                <c:pt idx="28">
                  <c:v>Portugalsko</c:v>
                </c:pt>
              </c:strCache>
            </c:strRef>
          </c:cat>
          <c:val>
            <c:numRef>
              <c:f>'HC grafy'!$D$97:$D$125</c:f>
              <c:numCache>
                <c:formatCode>0</c:formatCode>
                <c:ptCount val="29"/>
                <c:pt idx="0">
                  <c:v>29.604315326420068</c:v>
                </c:pt>
                <c:pt idx="1">
                  <c:v>25.940056228511217</c:v>
                </c:pt>
                <c:pt idx="2">
                  <c:v>21.24464373772922</c:v>
                </c:pt>
                <c:pt idx="3">
                  <c:v>43.765086959743407</c:v>
                </c:pt>
                <c:pt idx="4">
                  <c:v>45.252490158793179</c:v>
                </c:pt>
                <c:pt idx="5">
                  <c:v>43.922067458054357</c:v>
                </c:pt>
                <c:pt idx="6">
                  <c:v>43.755617829006503</c:v>
                </c:pt>
                <c:pt idx="7">
                  <c:v>39.649786035417009</c:v>
                </c:pt>
                <c:pt idx="8">
                  <c:v>41.682848295432365</c:v>
                </c:pt>
                <c:pt idx="9">
                  <c:v>45.621073394048601</c:v>
                </c:pt>
                <c:pt idx="10">
                  <c:v>34.18120357907766</c:v>
                </c:pt>
                <c:pt idx="11">
                  <c:v>43.19027834482096</c:v>
                </c:pt>
                <c:pt idx="12">
                  <c:v>43.961507484082688</c:v>
                </c:pt>
                <c:pt idx="13">
                  <c:v>49.07730427937598</c:v>
                </c:pt>
                <c:pt idx="14">
                  <c:v>46.484256096323605</c:v>
                </c:pt>
                <c:pt idx="15">
                  <c:v>36.138112962093011</c:v>
                </c:pt>
                <c:pt idx="16">
                  <c:v>35.565989722186323</c:v>
                </c:pt>
                <c:pt idx="17">
                  <c:v>54.727474445924237</c:v>
                </c:pt>
                <c:pt idx="18">
                  <c:v>47.760038160442207</c:v>
                </c:pt>
                <c:pt idx="19">
                  <c:v>52.345935714729798</c:v>
                </c:pt>
                <c:pt idx="20">
                  <c:v>51.973274660172933</c:v>
                </c:pt>
                <c:pt idx="21">
                  <c:v>44.183776361803005</c:v>
                </c:pt>
                <c:pt idx="22">
                  <c:v>46.004314868006162</c:v>
                </c:pt>
                <c:pt idx="23">
                  <c:v>54.163701067615669</c:v>
                </c:pt>
                <c:pt idx="24">
                  <c:v>55.849580365565863</c:v>
                </c:pt>
                <c:pt idx="25">
                  <c:v>56.418512936092071</c:v>
                </c:pt>
                <c:pt idx="26">
                  <c:v>48.189463876936642</c:v>
                </c:pt>
                <c:pt idx="27">
                  <c:v>51.26632964612844</c:v>
                </c:pt>
                <c:pt idx="28">
                  <c:v>59.816266313418488</c:v>
                </c:pt>
              </c:numCache>
            </c:numRef>
          </c:val>
          <c:extLst>
            <c:ext xmlns:c16="http://schemas.microsoft.com/office/drawing/2014/chart" uri="{C3380CC4-5D6E-409C-BE32-E72D297353CC}">
              <c16:uniqueId val="{00000009-C614-467A-A8F0-150A6C65BB8E}"/>
            </c:ext>
          </c:extLst>
        </c:ser>
        <c:ser>
          <c:idx val="1"/>
          <c:order val="2"/>
          <c:tx>
            <c:strRef>
              <c:f>'HC grafy'!$C$96</c:f>
              <c:strCache>
                <c:ptCount val="1"/>
                <c:pt idx="0">
                  <c:v>Denní </c:v>
                </c:pt>
              </c:strCache>
            </c:strRef>
          </c:tx>
          <c:spPr>
            <a:solidFill>
              <a:schemeClr val="accent2"/>
            </a:solidFill>
            <a:ln>
              <a:noFill/>
            </a:ln>
            <a:effectLst/>
          </c:spPr>
          <c:invertIfNegative val="0"/>
          <c:dPt>
            <c:idx val="12"/>
            <c:invertIfNegative val="0"/>
            <c:bubble3D val="0"/>
            <c:spPr>
              <a:solidFill>
                <a:schemeClr val="accent2"/>
              </a:solidFill>
              <a:ln>
                <a:noFill/>
              </a:ln>
              <a:effectLst/>
            </c:spPr>
            <c:extLst>
              <c:ext xmlns:c16="http://schemas.microsoft.com/office/drawing/2014/chart" uri="{C3380CC4-5D6E-409C-BE32-E72D297353CC}">
                <c16:uniqueId val="{0000000B-C614-467A-A8F0-150A6C65BB8E}"/>
              </c:ext>
            </c:extLst>
          </c:dPt>
          <c:dLbls>
            <c:dLbl>
              <c:idx val="0"/>
              <c:delete val="1"/>
              <c:extLst>
                <c:ext xmlns:c15="http://schemas.microsoft.com/office/drawing/2012/chart" uri="{CE6537A1-D6FC-4f65-9D91-7224C49458BB}"/>
                <c:ext xmlns:c16="http://schemas.microsoft.com/office/drawing/2014/chart" uri="{C3380CC4-5D6E-409C-BE32-E72D297353CC}">
                  <c16:uniqueId val="{0000000C-C614-467A-A8F0-150A6C65BB8E}"/>
                </c:ext>
              </c:extLst>
            </c:dLbl>
            <c:dLbl>
              <c:idx val="3"/>
              <c:delete val="1"/>
              <c:extLst>
                <c:ext xmlns:c15="http://schemas.microsoft.com/office/drawing/2012/chart" uri="{CE6537A1-D6FC-4f65-9D91-7224C49458BB}"/>
                <c:ext xmlns:c16="http://schemas.microsoft.com/office/drawing/2014/chart" uri="{C3380CC4-5D6E-409C-BE32-E72D297353CC}">
                  <c16:uniqueId val="{0000000D-C614-467A-A8F0-150A6C65BB8E}"/>
                </c:ext>
              </c:extLst>
            </c:dLbl>
            <c:dLbl>
              <c:idx val="4"/>
              <c:delete val="1"/>
              <c:extLst>
                <c:ext xmlns:c15="http://schemas.microsoft.com/office/drawing/2012/chart" uri="{CE6537A1-D6FC-4f65-9D91-7224C49458BB}"/>
                <c:ext xmlns:c16="http://schemas.microsoft.com/office/drawing/2014/chart" uri="{C3380CC4-5D6E-409C-BE32-E72D297353CC}">
                  <c16:uniqueId val="{0000000E-C614-467A-A8F0-150A6C65BB8E}"/>
                </c:ext>
              </c:extLst>
            </c:dLbl>
            <c:dLbl>
              <c:idx val="5"/>
              <c:delete val="1"/>
              <c:extLst>
                <c:ext xmlns:c15="http://schemas.microsoft.com/office/drawing/2012/chart" uri="{CE6537A1-D6FC-4f65-9D91-7224C49458BB}"/>
                <c:ext xmlns:c16="http://schemas.microsoft.com/office/drawing/2014/chart" uri="{C3380CC4-5D6E-409C-BE32-E72D297353CC}">
                  <c16:uniqueId val="{0000000F-C614-467A-A8F0-150A6C65BB8E}"/>
                </c:ext>
              </c:extLst>
            </c:dLbl>
            <c:dLbl>
              <c:idx val="17"/>
              <c:delete val="1"/>
              <c:extLst>
                <c:ext xmlns:c15="http://schemas.microsoft.com/office/drawing/2012/chart" uri="{CE6537A1-D6FC-4f65-9D91-7224C49458BB}"/>
                <c:ext xmlns:c16="http://schemas.microsoft.com/office/drawing/2014/chart" uri="{C3380CC4-5D6E-409C-BE32-E72D297353CC}">
                  <c16:uniqueId val="{00000010-C614-467A-A8F0-150A6C65BB8E}"/>
                </c:ext>
              </c:extLst>
            </c:dLbl>
            <c:spPr>
              <a:noFill/>
              <a:ln>
                <a:noFill/>
              </a:ln>
              <a:effectLst/>
            </c:spPr>
            <c:txPr>
              <a:bodyPr rot="-5400000" spcFirstLastPara="1" vertOverflow="ellipsis" wrap="square" anchor="ctr" anchorCtr="1"/>
              <a:lstStyle/>
              <a:p>
                <a:pPr>
                  <a:defRPr sz="800" b="0" i="0" u="none" strike="noStrike" kern="1200" baseline="0">
                    <a:solidFill>
                      <a:schemeClr val="bg1"/>
                    </a:solidFill>
                    <a:latin typeface="Arial" panose="020B0604020202020204" pitchFamily="34" charset="0"/>
                    <a:ea typeface="+mn-ea"/>
                    <a:cs typeface="Arial" panose="020B0604020202020204" pitchFamily="34" charset="0"/>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'HC grafy'!$A$97:$A$125</c:f>
              <c:strCache>
                <c:ptCount val="29"/>
                <c:pt idx="0">
                  <c:v>Řecko</c:v>
                </c:pt>
                <c:pt idx="1">
                  <c:v>Bulharsko</c:v>
                </c:pt>
                <c:pt idx="2">
                  <c:v>Rumunsko</c:v>
                </c:pt>
                <c:pt idx="3">
                  <c:v>Rakousko</c:v>
                </c:pt>
                <c:pt idx="4">
                  <c:v>Slovensko</c:v>
                </c:pt>
                <c:pt idx="5">
                  <c:v>Polsko</c:v>
                </c:pt>
                <c:pt idx="6">
                  <c:v>Německo</c:v>
                </c:pt>
                <c:pt idx="7">
                  <c:v>Belgie</c:v>
                </c:pt>
                <c:pt idx="8">
                  <c:v>Maďarsko</c:v>
                </c:pt>
                <c:pt idx="9">
                  <c:v>Litva</c:v>
                </c:pt>
                <c:pt idx="10">
                  <c:v>Francie</c:v>
                </c:pt>
                <c:pt idx="11">
                  <c:v>Itálie</c:v>
                </c:pt>
                <c:pt idx="12">
                  <c:v>EU28</c:v>
                </c:pt>
                <c:pt idx="13">
                  <c:v>Slovinsko</c:v>
                </c:pt>
                <c:pt idx="14">
                  <c:v>Kypr</c:v>
                </c:pt>
                <c:pt idx="15">
                  <c:v>Malta</c:v>
                </c:pt>
                <c:pt idx="16">
                  <c:v>Irsko</c:v>
                </c:pt>
                <c:pt idx="17">
                  <c:v>Dánsko</c:v>
                </c:pt>
                <c:pt idx="18">
                  <c:v>Lucembursko</c:v>
                </c:pt>
                <c:pt idx="19">
                  <c:v>Česko</c:v>
                </c:pt>
                <c:pt idx="20">
                  <c:v>Španělsko</c:v>
                </c:pt>
                <c:pt idx="21">
                  <c:v>Lotyšsko</c:v>
                </c:pt>
                <c:pt idx="22">
                  <c:v>Velká Británie</c:v>
                </c:pt>
                <c:pt idx="23">
                  <c:v>Estonsko</c:v>
                </c:pt>
                <c:pt idx="24">
                  <c:v>Švédsko</c:v>
                </c:pt>
                <c:pt idx="25">
                  <c:v>Finsko</c:v>
                </c:pt>
                <c:pt idx="26">
                  <c:v>Chorvatsko</c:v>
                </c:pt>
                <c:pt idx="27">
                  <c:v>Nizozemsko</c:v>
                </c:pt>
                <c:pt idx="28">
                  <c:v>Portugalsko</c:v>
                </c:pt>
              </c:strCache>
            </c:strRef>
          </c:cat>
          <c:val>
            <c:numRef>
              <c:f>'HC grafy'!$C$97:$C$125</c:f>
              <c:numCache>
                <c:formatCode>0</c:formatCode>
                <c:ptCount val="29"/>
                <c:pt idx="0">
                  <c:v>1.6035463479175387</c:v>
                </c:pt>
                <c:pt idx="1">
                  <c:v>6.1224582487407631</c:v>
                </c:pt>
                <c:pt idx="2">
                  <c:v>14.862766358231722</c:v>
                </c:pt>
                <c:pt idx="3">
                  <c:v>1.177444452677598</c:v>
                </c:pt>
                <c:pt idx="4">
                  <c:v>0.3741054505861296</c:v>
                </c:pt>
                <c:pt idx="5">
                  <c:v>0.93171389082259537</c:v>
                </c:pt>
                <c:pt idx="6">
                  <c:v>1.9367630730185585</c:v>
                </c:pt>
                <c:pt idx="7">
                  <c:v>4.9908550754331351</c:v>
                </c:pt>
                <c:pt idx="8">
                  <c:v>5.6688098334987451</c:v>
                </c:pt>
                <c:pt idx="9">
                  <c:v>2.2597769444309157</c:v>
                </c:pt>
                <c:pt idx="10">
                  <c:v>7.8229867336321011</c:v>
                </c:pt>
                <c:pt idx="11">
                  <c:v>6.4554864429981516</c:v>
                </c:pt>
                <c:pt idx="12">
                  <c:v>5.4992632807454003</c:v>
                </c:pt>
                <c:pt idx="13">
                  <c:v>3.3544439673679691</c:v>
                </c:pt>
                <c:pt idx="14">
                  <c:v>6.5388214338057065</c:v>
                </c:pt>
                <c:pt idx="15">
                  <c:v>4.3995952733711565</c:v>
                </c:pt>
                <c:pt idx="16">
                  <c:v>13.123756555257209</c:v>
                </c:pt>
                <c:pt idx="17">
                  <c:v>0</c:v>
                </c:pt>
                <c:pt idx="18">
                  <c:v>7.0776396644125814</c:v>
                </c:pt>
                <c:pt idx="19">
                  <c:v>3.0143938399614996</c:v>
                </c:pt>
                <c:pt idx="20">
                  <c:v>3.5027273032349182</c:v>
                </c:pt>
                <c:pt idx="21">
                  <c:v>12.860698118469887</c:v>
                </c:pt>
                <c:pt idx="22">
                  <c:v>8.4177990256317408</c:v>
                </c:pt>
                <c:pt idx="23">
                  <c:v>5.2417835461586773</c:v>
                </c:pt>
                <c:pt idx="24">
                  <c:v>3.593682738660406</c:v>
                </c:pt>
                <c:pt idx="25">
                  <c:v>3.2036652917097821</c:v>
                </c:pt>
                <c:pt idx="26">
                  <c:v>13.81357163251301</c:v>
                </c:pt>
                <c:pt idx="27">
                  <c:v>9.8628559987987394</c:v>
                </c:pt>
                <c:pt idx="28">
                  <c:v>12.776712400828282</c:v>
                </c:pt>
              </c:numCache>
            </c:numRef>
          </c:val>
          <c:extLst>
            <c:ext xmlns:c16="http://schemas.microsoft.com/office/drawing/2014/chart" uri="{C3380CC4-5D6E-409C-BE32-E72D297353CC}">
              <c16:uniqueId val="{00000011-C614-467A-A8F0-150A6C65BB8E}"/>
            </c:ext>
          </c:extLst>
        </c:ser>
        <c:ser>
          <c:idx val="3"/>
          <c:order val="3"/>
          <c:tx>
            <c:strRef>
              <c:f>'HC grafy'!$E$96</c:f>
              <c:strCache>
                <c:ptCount val="1"/>
                <c:pt idx="0">
                  <c:v>Domácí</c:v>
                </c:pt>
              </c:strCache>
            </c:strRef>
          </c:tx>
          <c:spPr>
            <a:solidFill>
              <a:schemeClr val="accent4"/>
            </a:solidFill>
            <a:ln>
              <a:noFill/>
            </a:ln>
            <a:effectLst/>
          </c:spPr>
          <c:invertIfNegative val="0"/>
          <c:dLbls>
            <c:dLbl>
              <c:idx val="0"/>
              <c:delete val="1"/>
              <c:extLst>
                <c:ext xmlns:c15="http://schemas.microsoft.com/office/drawing/2012/chart" uri="{CE6537A1-D6FC-4f65-9D91-7224C49458BB}"/>
                <c:ext xmlns:c16="http://schemas.microsoft.com/office/drawing/2014/chart" uri="{C3380CC4-5D6E-409C-BE32-E72D297353CC}">
                  <c16:uniqueId val="{00000012-C614-467A-A8F0-150A6C65BB8E}"/>
                </c:ext>
              </c:extLst>
            </c:dLbl>
            <c:dLbl>
              <c:idx val="1"/>
              <c:delete val="1"/>
              <c:extLst>
                <c:ext xmlns:c15="http://schemas.microsoft.com/office/drawing/2012/chart" uri="{CE6537A1-D6FC-4f65-9D91-7224C49458BB}"/>
                <c:ext xmlns:c16="http://schemas.microsoft.com/office/drawing/2014/chart" uri="{C3380CC4-5D6E-409C-BE32-E72D297353CC}">
                  <c16:uniqueId val="{00000013-C614-467A-A8F0-150A6C65BB8E}"/>
                </c:ext>
              </c:extLst>
            </c:dLbl>
            <c:dLbl>
              <c:idx val="2"/>
              <c:delete val="1"/>
              <c:extLst>
                <c:ext xmlns:c15="http://schemas.microsoft.com/office/drawing/2012/chart" uri="{CE6537A1-D6FC-4f65-9D91-7224C49458BB}"/>
                <c:ext xmlns:c16="http://schemas.microsoft.com/office/drawing/2014/chart" uri="{C3380CC4-5D6E-409C-BE32-E72D297353CC}">
                  <c16:uniqueId val="{00000014-C614-467A-A8F0-150A6C65BB8E}"/>
                </c:ext>
              </c:extLst>
            </c:dLbl>
            <c:dLbl>
              <c:idx val="3"/>
              <c:delete val="1"/>
              <c:extLst>
                <c:ext xmlns:c15="http://schemas.microsoft.com/office/drawing/2012/chart" uri="{CE6537A1-D6FC-4f65-9D91-7224C49458BB}"/>
                <c:ext xmlns:c16="http://schemas.microsoft.com/office/drawing/2014/chart" uri="{C3380CC4-5D6E-409C-BE32-E72D297353CC}">
                  <c16:uniqueId val="{00000015-C614-467A-A8F0-150A6C65BB8E}"/>
                </c:ext>
              </c:extLst>
            </c:dLbl>
            <c:dLbl>
              <c:idx val="4"/>
              <c:delete val="1"/>
              <c:extLst>
                <c:ext xmlns:c15="http://schemas.microsoft.com/office/drawing/2012/chart" uri="{CE6537A1-D6FC-4f65-9D91-7224C49458BB}"/>
                <c:ext xmlns:c16="http://schemas.microsoft.com/office/drawing/2014/chart" uri="{C3380CC4-5D6E-409C-BE32-E72D297353CC}">
                  <c16:uniqueId val="{00000016-C614-467A-A8F0-150A6C65BB8E}"/>
                </c:ext>
              </c:extLst>
            </c:dLbl>
            <c:dLbl>
              <c:idx val="5"/>
              <c:delete val="1"/>
              <c:extLst>
                <c:ext xmlns:c15="http://schemas.microsoft.com/office/drawing/2012/chart" uri="{CE6537A1-D6FC-4f65-9D91-7224C49458BB}"/>
                <c:ext xmlns:c16="http://schemas.microsoft.com/office/drawing/2014/chart" uri="{C3380CC4-5D6E-409C-BE32-E72D297353CC}">
                  <c16:uniqueId val="{00000017-C614-467A-A8F0-150A6C65BB8E}"/>
                </c:ext>
              </c:extLst>
            </c:dLbl>
            <c:dLbl>
              <c:idx val="6"/>
              <c:delete val="1"/>
              <c:extLst>
                <c:ext xmlns:c15="http://schemas.microsoft.com/office/drawing/2012/chart" uri="{CE6537A1-D6FC-4f65-9D91-7224C49458BB}"/>
                <c:ext xmlns:c16="http://schemas.microsoft.com/office/drawing/2014/chart" uri="{C3380CC4-5D6E-409C-BE32-E72D297353CC}">
                  <c16:uniqueId val="{00000018-C614-467A-A8F0-150A6C65BB8E}"/>
                </c:ext>
              </c:extLst>
            </c:dLbl>
            <c:dLbl>
              <c:idx val="8"/>
              <c:delete val="1"/>
              <c:extLst>
                <c:ext xmlns:c15="http://schemas.microsoft.com/office/drawing/2012/chart" uri="{CE6537A1-D6FC-4f65-9D91-7224C49458BB}"/>
                <c:ext xmlns:c16="http://schemas.microsoft.com/office/drawing/2014/chart" uri="{C3380CC4-5D6E-409C-BE32-E72D297353CC}">
                  <c16:uniqueId val="{00000019-C614-467A-A8F0-150A6C65BB8E}"/>
                </c:ext>
              </c:extLst>
            </c:dLbl>
            <c:dLbl>
              <c:idx val="9"/>
              <c:delete val="1"/>
              <c:extLst>
                <c:ext xmlns:c15="http://schemas.microsoft.com/office/drawing/2012/chart" uri="{CE6537A1-D6FC-4f65-9D91-7224C49458BB}"/>
                <c:ext xmlns:c16="http://schemas.microsoft.com/office/drawing/2014/chart" uri="{C3380CC4-5D6E-409C-BE32-E72D297353CC}">
                  <c16:uniqueId val="{0000001A-C614-467A-A8F0-150A6C65BB8E}"/>
                </c:ext>
              </c:extLst>
            </c:dLbl>
            <c:dLbl>
              <c:idx val="11"/>
              <c:delete val="1"/>
              <c:extLst>
                <c:ext xmlns:c15="http://schemas.microsoft.com/office/drawing/2012/chart" uri="{CE6537A1-D6FC-4f65-9D91-7224C49458BB}"/>
                <c:ext xmlns:c16="http://schemas.microsoft.com/office/drawing/2014/chart" uri="{C3380CC4-5D6E-409C-BE32-E72D297353CC}">
                  <c16:uniqueId val="{0000001B-C614-467A-A8F0-150A6C65BB8E}"/>
                </c:ext>
              </c:extLst>
            </c:dLbl>
            <c:dLbl>
              <c:idx val="13"/>
              <c:delete val="1"/>
              <c:extLst>
                <c:ext xmlns:c15="http://schemas.microsoft.com/office/drawing/2012/chart" uri="{CE6537A1-D6FC-4f65-9D91-7224C49458BB}"/>
                <c:ext xmlns:c16="http://schemas.microsoft.com/office/drawing/2014/chart" uri="{C3380CC4-5D6E-409C-BE32-E72D297353CC}">
                  <c16:uniqueId val="{0000001C-C614-467A-A8F0-150A6C65BB8E}"/>
                </c:ext>
              </c:extLst>
            </c:dLbl>
            <c:dLbl>
              <c:idx val="14"/>
              <c:delete val="1"/>
              <c:extLst>
                <c:ext xmlns:c15="http://schemas.microsoft.com/office/drawing/2012/chart" uri="{CE6537A1-D6FC-4f65-9D91-7224C49458BB}"/>
                <c:ext xmlns:c16="http://schemas.microsoft.com/office/drawing/2014/chart" uri="{C3380CC4-5D6E-409C-BE32-E72D297353CC}">
                  <c16:uniqueId val="{0000001D-C614-467A-A8F0-150A6C65BB8E}"/>
                </c:ext>
              </c:extLst>
            </c:dLbl>
            <c:dLbl>
              <c:idx val="17"/>
              <c:delete val="1"/>
              <c:extLst>
                <c:ext xmlns:c15="http://schemas.microsoft.com/office/drawing/2012/chart" uri="{CE6537A1-D6FC-4f65-9D91-7224C49458BB}"/>
                <c:ext xmlns:c16="http://schemas.microsoft.com/office/drawing/2014/chart" uri="{C3380CC4-5D6E-409C-BE32-E72D297353CC}">
                  <c16:uniqueId val="{0000001E-C614-467A-A8F0-150A6C65BB8E}"/>
                </c:ext>
              </c:extLst>
            </c:dLbl>
            <c:dLbl>
              <c:idx val="18"/>
              <c:delete val="1"/>
              <c:extLst>
                <c:ext xmlns:c15="http://schemas.microsoft.com/office/drawing/2012/chart" uri="{CE6537A1-D6FC-4f65-9D91-7224C49458BB}"/>
                <c:ext xmlns:c16="http://schemas.microsoft.com/office/drawing/2014/chart" uri="{C3380CC4-5D6E-409C-BE32-E72D297353CC}">
                  <c16:uniqueId val="{0000001F-C614-467A-A8F0-150A6C65BB8E}"/>
                </c:ext>
              </c:extLst>
            </c:dLbl>
            <c:dLbl>
              <c:idx val="19"/>
              <c:delete val="1"/>
              <c:extLst>
                <c:ext xmlns:c15="http://schemas.microsoft.com/office/drawing/2012/chart" uri="{CE6537A1-D6FC-4f65-9D91-7224C49458BB}"/>
                <c:ext xmlns:c16="http://schemas.microsoft.com/office/drawing/2014/chart" uri="{C3380CC4-5D6E-409C-BE32-E72D297353CC}">
                  <c16:uniqueId val="{00000020-C614-467A-A8F0-150A6C65BB8E}"/>
                </c:ext>
              </c:extLst>
            </c:dLbl>
            <c:dLbl>
              <c:idx val="20"/>
              <c:delete val="1"/>
              <c:extLst>
                <c:ext xmlns:c15="http://schemas.microsoft.com/office/drawing/2012/chart" uri="{CE6537A1-D6FC-4f65-9D91-7224C49458BB}"/>
                <c:ext xmlns:c16="http://schemas.microsoft.com/office/drawing/2014/chart" uri="{C3380CC4-5D6E-409C-BE32-E72D297353CC}">
                  <c16:uniqueId val="{00000021-C614-467A-A8F0-150A6C65BB8E}"/>
                </c:ext>
              </c:extLst>
            </c:dLbl>
            <c:dLbl>
              <c:idx val="21"/>
              <c:delete val="1"/>
              <c:extLst>
                <c:ext xmlns:c15="http://schemas.microsoft.com/office/drawing/2012/chart" uri="{CE6537A1-D6FC-4f65-9D91-7224C49458BB}"/>
                <c:ext xmlns:c16="http://schemas.microsoft.com/office/drawing/2014/chart" uri="{C3380CC4-5D6E-409C-BE32-E72D297353CC}">
                  <c16:uniqueId val="{00000022-C614-467A-A8F0-150A6C65BB8E}"/>
                </c:ext>
              </c:extLst>
            </c:dLbl>
            <c:dLbl>
              <c:idx val="23"/>
              <c:delete val="1"/>
              <c:extLst>
                <c:ext xmlns:c15="http://schemas.microsoft.com/office/drawing/2012/chart" uri="{CE6537A1-D6FC-4f65-9D91-7224C49458BB}"/>
                <c:ext xmlns:c16="http://schemas.microsoft.com/office/drawing/2014/chart" uri="{C3380CC4-5D6E-409C-BE32-E72D297353CC}">
                  <c16:uniqueId val="{00000023-C614-467A-A8F0-150A6C65BB8E}"/>
                </c:ext>
              </c:extLst>
            </c:dLbl>
            <c:dLbl>
              <c:idx val="24"/>
              <c:delete val="1"/>
              <c:extLst>
                <c:ext xmlns:c15="http://schemas.microsoft.com/office/drawing/2012/chart" uri="{CE6537A1-D6FC-4f65-9D91-7224C49458BB}"/>
                <c:ext xmlns:c16="http://schemas.microsoft.com/office/drawing/2014/chart" uri="{C3380CC4-5D6E-409C-BE32-E72D297353CC}">
                  <c16:uniqueId val="{00000024-C614-467A-A8F0-150A6C65BB8E}"/>
                </c:ext>
              </c:extLst>
            </c:dLbl>
            <c:dLbl>
              <c:idx val="26"/>
              <c:delete val="1"/>
              <c:extLst>
                <c:ext xmlns:c15="http://schemas.microsoft.com/office/drawing/2012/chart" uri="{CE6537A1-D6FC-4f65-9D91-7224C49458BB}"/>
                <c:ext xmlns:c16="http://schemas.microsoft.com/office/drawing/2014/chart" uri="{C3380CC4-5D6E-409C-BE32-E72D297353CC}">
                  <c16:uniqueId val="{00000025-C614-467A-A8F0-150A6C65BB8E}"/>
                </c:ext>
              </c:extLst>
            </c:dLbl>
            <c:dLbl>
              <c:idx val="27"/>
              <c:delete val="1"/>
              <c:extLst>
                <c:ext xmlns:c15="http://schemas.microsoft.com/office/drawing/2012/chart" uri="{CE6537A1-D6FC-4f65-9D91-7224C49458BB}"/>
                <c:ext xmlns:c16="http://schemas.microsoft.com/office/drawing/2014/chart" uri="{C3380CC4-5D6E-409C-BE32-E72D297353CC}">
                  <c16:uniqueId val="{00000026-C614-467A-A8F0-150A6C65BB8E}"/>
                </c:ext>
              </c:extLst>
            </c:dLbl>
            <c:dLbl>
              <c:idx val="28"/>
              <c:delete val="1"/>
              <c:extLst>
                <c:ext xmlns:c15="http://schemas.microsoft.com/office/drawing/2012/chart" uri="{CE6537A1-D6FC-4f65-9D91-7224C49458BB}"/>
                <c:ext xmlns:c16="http://schemas.microsoft.com/office/drawing/2014/chart" uri="{C3380CC4-5D6E-409C-BE32-E72D297353CC}">
                  <c16:uniqueId val="{00000027-C614-467A-A8F0-150A6C65BB8E}"/>
                </c:ext>
              </c:extLst>
            </c:dLbl>
            <c:spPr>
              <a:noFill/>
              <a:ln>
                <a:noFill/>
              </a:ln>
              <a:effectLst/>
            </c:spPr>
            <c:txPr>
              <a:bodyPr rot="-5400000" spcFirstLastPara="1" vertOverflow="ellipsis" wrap="square" anchor="ctr" anchorCtr="1"/>
              <a:lstStyle/>
              <a:p>
                <a:pPr>
                  <a:defRPr sz="800" b="0" i="0" u="none" strike="noStrike" kern="1200" baseline="0">
                    <a:solidFill>
                      <a:schemeClr val="bg1"/>
                    </a:solidFill>
                    <a:latin typeface="Arial" panose="020B0604020202020204" pitchFamily="34" charset="0"/>
                    <a:ea typeface="+mn-ea"/>
                    <a:cs typeface="Arial" panose="020B0604020202020204" pitchFamily="34" charset="0"/>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'HC grafy'!$A$97:$A$125</c:f>
              <c:strCache>
                <c:ptCount val="29"/>
                <c:pt idx="0">
                  <c:v>Řecko</c:v>
                </c:pt>
                <c:pt idx="1">
                  <c:v>Bulharsko</c:v>
                </c:pt>
                <c:pt idx="2">
                  <c:v>Rumunsko</c:v>
                </c:pt>
                <c:pt idx="3">
                  <c:v>Rakousko</c:v>
                </c:pt>
                <c:pt idx="4">
                  <c:v>Slovensko</c:v>
                </c:pt>
                <c:pt idx="5">
                  <c:v>Polsko</c:v>
                </c:pt>
                <c:pt idx="6">
                  <c:v>Německo</c:v>
                </c:pt>
                <c:pt idx="7">
                  <c:v>Belgie</c:v>
                </c:pt>
                <c:pt idx="8">
                  <c:v>Maďarsko</c:v>
                </c:pt>
                <c:pt idx="9">
                  <c:v>Litva</c:v>
                </c:pt>
                <c:pt idx="10">
                  <c:v>Francie</c:v>
                </c:pt>
                <c:pt idx="11">
                  <c:v>Itálie</c:v>
                </c:pt>
                <c:pt idx="12">
                  <c:v>EU28</c:v>
                </c:pt>
                <c:pt idx="13">
                  <c:v>Slovinsko</c:v>
                </c:pt>
                <c:pt idx="14">
                  <c:v>Kypr</c:v>
                </c:pt>
                <c:pt idx="15">
                  <c:v>Malta</c:v>
                </c:pt>
                <c:pt idx="16">
                  <c:v>Irsko</c:v>
                </c:pt>
                <c:pt idx="17">
                  <c:v>Dánsko</c:v>
                </c:pt>
                <c:pt idx="18">
                  <c:v>Lucembursko</c:v>
                </c:pt>
                <c:pt idx="19">
                  <c:v>Česko</c:v>
                </c:pt>
                <c:pt idx="20">
                  <c:v>Španělsko</c:v>
                </c:pt>
                <c:pt idx="21">
                  <c:v>Lotyšsko</c:v>
                </c:pt>
                <c:pt idx="22">
                  <c:v>Velká Británie</c:v>
                </c:pt>
                <c:pt idx="23">
                  <c:v>Estonsko</c:v>
                </c:pt>
                <c:pt idx="24">
                  <c:v>Švédsko</c:v>
                </c:pt>
                <c:pt idx="25">
                  <c:v>Finsko</c:v>
                </c:pt>
                <c:pt idx="26">
                  <c:v>Chorvatsko</c:v>
                </c:pt>
                <c:pt idx="27">
                  <c:v>Nizozemsko</c:v>
                </c:pt>
                <c:pt idx="28">
                  <c:v>Portugalsko</c:v>
                </c:pt>
              </c:strCache>
            </c:strRef>
          </c:cat>
          <c:val>
            <c:numRef>
              <c:f>'HC grafy'!$E$97:$E$125</c:f>
              <c:numCache>
                <c:formatCode>0</c:formatCode>
                <c:ptCount val="29"/>
                <c:pt idx="0">
                  <c:v>0</c:v>
                </c:pt>
                <c:pt idx="1">
                  <c:v>0.11082194456177642</c:v>
                </c:pt>
                <c:pt idx="2">
                  <c:v>0.38225105440645418</c:v>
                </c:pt>
                <c:pt idx="3">
                  <c:v>0.12105558437159279</c:v>
                </c:pt>
                <c:pt idx="4">
                  <c:v>0</c:v>
                </c:pt>
                <c:pt idx="5">
                  <c:v>0.82688783307388969</c:v>
                </c:pt>
                <c:pt idx="6">
                  <c:v>1.1362554856447946</c:v>
                </c:pt>
                <c:pt idx="7">
                  <c:v>2.3564005310386071</c:v>
                </c:pt>
                <c:pt idx="8">
                  <c:v>0.60062096358260231</c:v>
                </c:pt>
                <c:pt idx="9">
                  <c:v>0.2776019091219013</c:v>
                </c:pt>
                <c:pt idx="10">
                  <c:v>6.9924259942949707</c:v>
                </c:pt>
                <c:pt idx="11">
                  <c:v>0.58839069141910227</c:v>
                </c:pt>
                <c:pt idx="12">
                  <c:v>2.6813997359740211</c:v>
                </c:pt>
                <c:pt idx="13">
                  <c:v>0.57472806640904528</c:v>
                </c:pt>
                <c:pt idx="14">
                  <c:v>0.13866810971691412</c:v>
                </c:pt>
                <c:pt idx="15">
                  <c:v>13.786000794998735</c:v>
                </c:pt>
                <c:pt idx="16">
                  <c:v>5.6811165515557915</c:v>
                </c:pt>
                <c:pt idx="17">
                  <c:v>2.9569631751634017E-4</c:v>
                </c:pt>
                <c:pt idx="18">
                  <c:v>0.36701366480540981</c:v>
                </c:pt>
                <c:pt idx="19">
                  <c:v>9.6941395357405202E-2</c:v>
                </c:pt>
                <c:pt idx="20">
                  <c:v>1.3475387635765046</c:v>
                </c:pt>
                <c:pt idx="21">
                  <c:v>1.0137092102722531</c:v>
                </c:pt>
                <c:pt idx="22">
                  <c:v>4.648440890777354</c:v>
                </c:pt>
                <c:pt idx="23">
                  <c:v>0.29516432907682644</c:v>
                </c:pt>
                <c:pt idx="24">
                  <c:v>0.94528418822336946</c:v>
                </c:pt>
                <c:pt idx="25">
                  <c:v>2.9559998047025733</c:v>
                </c:pt>
                <c:pt idx="26">
                  <c:v>0.63114552913538069</c:v>
                </c:pt>
                <c:pt idx="27">
                  <c:v>1.5541318384303517</c:v>
                </c:pt>
                <c:pt idx="28">
                  <c:v>0.43924880563539243</c:v>
                </c:pt>
              </c:numCache>
            </c:numRef>
          </c:val>
          <c:extLst>
            <c:ext xmlns:c16="http://schemas.microsoft.com/office/drawing/2014/chart" uri="{C3380CC4-5D6E-409C-BE32-E72D297353CC}">
              <c16:uniqueId val="{00000028-C614-467A-A8F0-150A6C65BB8E}"/>
            </c:ext>
          </c:extLst>
        </c:ser>
        <c:dLbls>
          <c:dLblPos val="ctr"/>
          <c:showLegendKey val="0"/>
          <c:showVal val="1"/>
          <c:showCatName val="0"/>
          <c:showSerName val="0"/>
          <c:showPercent val="0"/>
          <c:showBubbleSize val="0"/>
        </c:dLbls>
        <c:gapWidth val="70"/>
        <c:overlap val="100"/>
        <c:axId val="645685072"/>
        <c:axId val="645705040"/>
      </c:barChart>
      <c:catAx>
        <c:axId val="64568507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5400000" spcFirstLastPara="1" vertOverflow="ellipsis"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crossAx val="645705040"/>
        <c:crosses val="autoZero"/>
        <c:auto val="1"/>
        <c:lblAlgn val="ctr"/>
        <c:lblOffset val="100"/>
        <c:noMultiLvlLbl val="0"/>
      </c:catAx>
      <c:valAx>
        <c:axId val="64570504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crossAx val="645685072"/>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800">
          <a:latin typeface="Arial" panose="020B0604020202020204" pitchFamily="34" charset="0"/>
          <a:cs typeface="Arial" panose="020B0604020202020204" pitchFamily="34" charset="0"/>
        </a:defRPr>
      </a:pPr>
      <a:endParaRPr lang="cs-CZ"/>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word/theme/themeOverride1.xml><?xml version="1.0" encoding="utf-8"?>
<a:themeOverride xmlns:a="http://schemas.openxmlformats.org/drawingml/2006/main">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F2CB1B-887D-4268-B526-41E977F359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 CZ_lide a spolecnost_2017-08-14.dotx</Template>
  <TotalTime>13</TotalTime>
  <Pages>11</Pages>
  <Words>3181</Words>
  <Characters>18769</Characters>
  <Application>Microsoft Office Word</Application>
  <DocSecurity>0</DocSecurity>
  <Lines>156</Lines>
  <Paragraphs>43</Paragraphs>
  <ScaleCrop>false</ScaleCrop>
  <HeadingPairs>
    <vt:vector size="6" baseType="variant">
      <vt:variant>
        <vt:lpstr>Název</vt:lpstr>
      </vt:variant>
      <vt:variant>
        <vt:i4>1</vt:i4>
      </vt:variant>
      <vt:variant>
        <vt:lpstr>Title</vt:lpstr>
      </vt:variant>
      <vt:variant>
        <vt:i4>1</vt:i4>
      </vt:variant>
      <vt:variant>
        <vt:lpstr>Headings</vt:lpstr>
      </vt:variant>
      <vt:variant>
        <vt:i4>8</vt:i4>
      </vt:variant>
    </vt:vector>
  </HeadingPairs>
  <TitlesOfParts>
    <vt:vector size="10" baseType="lpstr">
      <vt:lpstr/>
      <vt:lpstr/>
      <vt:lpstr>Styl: Nadpis 1</vt:lpstr>
      <vt:lpstr>    Styl: Nadpis 2</vt:lpstr>
      <vt:lpstr>        Styl: Nadpis 3</vt:lpstr>
      <vt:lpstr>        Styl: Nadpis 3</vt:lpstr>
      <vt:lpstr>    Styl: Nadpis 2</vt:lpstr>
      <vt:lpstr>        Styl: Nadpis 3</vt:lpstr>
      <vt:lpstr>    Styl: Nadpis 2</vt:lpstr>
      <vt:lpstr>        Styl: Nadpis 3</vt:lpstr>
    </vt:vector>
  </TitlesOfParts>
  <Manager/>
  <Company>CSU</Company>
  <LinksUpToDate>false</LinksUpToDate>
  <CharactersWithSpaces>21907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cermakova38818</dc:creator>
  <cp:keywords/>
  <dc:description/>
  <cp:lastModifiedBy>cermakova38818</cp:lastModifiedBy>
  <cp:revision>4</cp:revision>
  <cp:lastPrinted>2014-07-17T14:07:00Z</cp:lastPrinted>
  <dcterms:created xsi:type="dcterms:W3CDTF">2021-03-26T11:25:00Z</dcterms:created>
  <dcterms:modified xsi:type="dcterms:W3CDTF">2021-03-26T11:58:00Z</dcterms:modified>
  <cp:category/>
</cp:coreProperties>
</file>