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74" w:rsidRDefault="00745674" w:rsidP="00745674">
      <w:pPr>
        <w:pStyle w:val="Nadpis1"/>
      </w:pPr>
      <w:bookmarkStart w:id="0" w:name="_Toc438111982"/>
      <w:r>
        <w:t xml:space="preserve">5. </w:t>
      </w:r>
      <w:r w:rsidRPr="00363E03">
        <w:t>Žadatelé o azyl v Evropské unii ve 2. čtvrtletí 2015</w:t>
      </w:r>
      <w:bookmarkEnd w:id="0"/>
    </w:p>
    <w:p w:rsidR="00745674" w:rsidRPr="00F27C47" w:rsidRDefault="00745674" w:rsidP="00745674"/>
    <w:p w:rsidR="00745674" w:rsidRPr="0004037F" w:rsidRDefault="00745674" w:rsidP="007456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ab/>
        <w:t xml:space="preserve">Podle údajů </w:t>
      </w:r>
      <w:proofErr w:type="spellStart"/>
      <w:r w:rsidRPr="0004037F">
        <w:rPr>
          <w:rFonts w:ascii="Arial" w:hAnsi="Arial" w:cs="Arial"/>
          <w:sz w:val="20"/>
          <w:szCs w:val="20"/>
        </w:rPr>
        <w:t>Eurostatu</w:t>
      </w:r>
      <w:proofErr w:type="spellEnd"/>
      <w:r w:rsidRPr="0004037F">
        <w:rPr>
          <w:rFonts w:ascii="Arial" w:hAnsi="Arial" w:cs="Arial"/>
          <w:sz w:val="20"/>
          <w:szCs w:val="20"/>
        </w:rPr>
        <w:t xml:space="preserve"> zažádalo v průběhu druhého čtvrtletí (od dubna do června) 2015 v zemích Evropské unie o udělení mezinárodní ochrany (tj. podalo první žádost) celkem 213 200 osob, což bylo o 15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4037F">
        <w:rPr>
          <w:rFonts w:ascii="Arial" w:hAnsi="Arial" w:cs="Arial"/>
          <w:sz w:val="20"/>
          <w:szCs w:val="20"/>
        </w:rPr>
        <w:t>více</w:t>
      </w:r>
      <w:proofErr w:type="gramEnd"/>
      <w:r w:rsidRPr="0004037F">
        <w:rPr>
          <w:rFonts w:ascii="Arial" w:hAnsi="Arial" w:cs="Arial"/>
          <w:sz w:val="20"/>
          <w:szCs w:val="20"/>
        </w:rPr>
        <w:t xml:space="preserve"> než v prvním čtvrtletí 2015 a o 85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 xml:space="preserve">. více ve srovnání s druhým čtvrtletím 2014. Výrazný nárůst se týkal zejména občanů Sýrie a Afghánistánu, kteří dosáhli 44 tis. osob, respektive 27 tis. osob. Oproti tomu počet </w:t>
      </w:r>
      <w:proofErr w:type="spellStart"/>
      <w:r w:rsidRPr="0004037F">
        <w:rPr>
          <w:rFonts w:ascii="Arial" w:hAnsi="Arial" w:cs="Arial"/>
          <w:sz w:val="20"/>
          <w:szCs w:val="20"/>
        </w:rPr>
        <w:t>Kosovanů</w:t>
      </w:r>
      <w:proofErr w:type="spellEnd"/>
      <w:r w:rsidRPr="0004037F">
        <w:rPr>
          <w:rFonts w:ascii="Arial" w:hAnsi="Arial" w:cs="Arial"/>
          <w:sz w:val="20"/>
          <w:szCs w:val="20"/>
        </w:rPr>
        <w:t>, kteří dominovali mezi žadateli o mezinárodní ochranu v prvním čtvrtletí 2015 (50 tis.) se ve druhém čtvrtletí 2015 snížil na 10 tis.</w:t>
      </w:r>
    </w:p>
    <w:p w:rsidR="00745674" w:rsidRPr="0004037F" w:rsidRDefault="00745674" w:rsidP="007456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ab/>
        <w:t>V průběhu sledované období byly nejvyšší počty žadatelů registrovány v Německu (80,9 tis žadatelů neboli 38 % z celkového počtu žadatelů v EU). Dále následo</w:t>
      </w:r>
      <w:r>
        <w:rPr>
          <w:rFonts w:ascii="Arial" w:hAnsi="Arial" w:cs="Arial"/>
          <w:sz w:val="20"/>
          <w:szCs w:val="20"/>
        </w:rPr>
        <w:t>valo Maďarsko (32,7 tis. tzn. 15 </w:t>
      </w:r>
      <w:r w:rsidRPr="0004037F">
        <w:rPr>
          <w:rFonts w:ascii="Arial" w:hAnsi="Arial" w:cs="Arial"/>
          <w:sz w:val="20"/>
          <w:szCs w:val="20"/>
        </w:rPr>
        <w:t>%), Rakousko (17,4 tis.</w:t>
      </w:r>
      <w:r>
        <w:rPr>
          <w:rFonts w:ascii="Arial" w:hAnsi="Arial" w:cs="Arial"/>
          <w:sz w:val="20"/>
          <w:szCs w:val="20"/>
        </w:rPr>
        <w:t xml:space="preserve"> tzn. </w:t>
      </w:r>
      <w:r w:rsidRPr="0004037F">
        <w:rPr>
          <w:rFonts w:ascii="Arial" w:hAnsi="Arial" w:cs="Arial"/>
          <w:sz w:val="20"/>
          <w:szCs w:val="20"/>
        </w:rPr>
        <w:t>8 %), Itálie (14,9 tis.</w:t>
      </w:r>
      <w:r>
        <w:rPr>
          <w:rFonts w:ascii="Arial" w:hAnsi="Arial" w:cs="Arial"/>
          <w:sz w:val="20"/>
          <w:szCs w:val="20"/>
        </w:rPr>
        <w:t xml:space="preserve"> </w:t>
      </w:r>
      <w:r w:rsidRPr="0004037F">
        <w:rPr>
          <w:rFonts w:ascii="Arial" w:hAnsi="Arial" w:cs="Arial"/>
          <w:sz w:val="20"/>
          <w:szCs w:val="20"/>
        </w:rPr>
        <w:t xml:space="preserve">tzn. 7 %), Francie (14,7 tis. tzn. 7 %) a Švédsko (14,3 tis. tzn. 7%). Ve srovnání s předchozím čtvrtletím 2015 vzrostly počty žadatelů výrazně v Nizozemsku (o 159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 xml:space="preserve">.), Litvě (o 123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 xml:space="preserve">.), Rakousku (o 79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 xml:space="preserve">.), Finsku (o 67 </w:t>
      </w:r>
      <w:proofErr w:type="gramStart"/>
      <w:r w:rsidRPr="0004037F">
        <w:rPr>
          <w:rFonts w:ascii="Arial" w:hAnsi="Arial" w:cs="Arial"/>
          <w:sz w:val="20"/>
          <w:szCs w:val="20"/>
        </w:rPr>
        <w:t xml:space="preserve">p. </w:t>
      </w:r>
      <w:proofErr w:type="spellStart"/>
      <w:r>
        <w:rPr>
          <w:rFonts w:ascii="Arial" w:hAnsi="Arial" w:cs="Arial"/>
          <w:sz w:val="20"/>
          <w:szCs w:val="20"/>
        </w:rPr>
        <w:t>b</w:t>
      </w:r>
      <w:proofErr w:type="spellEnd"/>
      <w:r>
        <w:rPr>
          <w:rFonts w:ascii="Arial" w:hAnsi="Arial" w:cs="Arial"/>
          <w:sz w:val="20"/>
          <w:szCs w:val="20"/>
        </w:rPr>
        <w:t>.)</w:t>
      </w:r>
      <w:r w:rsidRPr="0004037F">
        <w:rPr>
          <w:rFonts w:ascii="Arial" w:hAnsi="Arial" w:cs="Arial"/>
          <w:sz w:val="20"/>
          <w:szCs w:val="20"/>
        </w:rPr>
        <w:t xml:space="preserve"> a  </w:t>
      </w:r>
      <w:r>
        <w:rPr>
          <w:rFonts w:ascii="Arial" w:hAnsi="Arial" w:cs="Arial"/>
          <w:sz w:val="20"/>
          <w:szCs w:val="20"/>
        </w:rPr>
        <w:t>Dánsku</w:t>
      </w:r>
      <w:proofErr w:type="gramEnd"/>
      <w:r>
        <w:rPr>
          <w:rFonts w:ascii="Arial" w:hAnsi="Arial" w:cs="Arial"/>
          <w:sz w:val="20"/>
          <w:szCs w:val="20"/>
        </w:rPr>
        <w:t xml:space="preserve"> (o </w:t>
      </w:r>
      <w:r w:rsidRPr="0004037F">
        <w:rPr>
          <w:rFonts w:ascii="Arial" w:hAnsi="Arial" w:cs="Arial"/>
          <w:sz w:val="20"/>
          <w:szCs w:val="20"/>
        </w:rPr>
        <w:t xml:space="preserve">66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>.).</w:t>
      </w:r>
    </w:p>
    <w:p w:rsidR="00745674" w:rsidRPr="0004037F" w:rsidRDefault="00745674" w:rsidP="007456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ab/>
        <w:t>Nejvýznamnější zdrojovou zemí (44 tis. žadatelů neboli 21 % z celkového počtu prvních podaných žádostí v EU) byla ve druhém čtvrtletí 2015 Sýrie. Z celkového počtu 44 tis. Syřanů byly více než tři čtvrtiny žadatelů registrovány ve čtyřech členských zemích EU, a to Německu (16,3 tis.), Maďarsku (8,4 tis.), Rakousku (5,3 tis.) a Švédsku (3,9 tis.). Celkem byli Syřané nejvíce zastoupeným státním občanstvím v deseti členských státech.</w:t>
      </w:r>
    </w:p>
    <w:p w:rsidR="00745674" w:rsidRPr="0004037F" w:rsidRDefault="00745674" w:rsidP="007456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</w:rPr>
        <w:tab/>
      </w:r>
      <w:r w:rsidRPr="0004037F">
        <w:rPr>
          <w:rFonts w:ascii="Arial" w:hAnsi="Arial" w:cs="Arial"/>
          <w:sz w:val="20"/>
          <w:szCs w:val="20"/>
        </w:rPr>
        <w:t>Občané Afghánistánu (27 tis. prvních žádostí o mezinárodní ochranu neboli 13 % z celkového počtu žadatelů) reprezentovali v druhém čtvrtletí 2015 druhé nejpočetnější státní občanství v EU. Více než polovina z jejich celkového počtu (13,6 tis) zažádala o mezinárodní ochranu v Maďarsku.</w:t>
      </w:r>
    </w:p>
    <w:p w:rsidR="00745674" w:rsidRPr="0004037F" w:rsidRDefault="00745674" w:rsidP="007456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</w:rPr>
        <w:tab/>
      </w:r>
      <w:r w:rsidRPr="0004037F">
        <w:rPr>
          <w:rFonts w:ascii="Arial" w:hAnsi="Arial" w:cs="Arial"/>
          <w:sz w:val="20"/>
          <w:szCs w:val="20"/>
        </w:rPr>
        <w:t>Albánci (17,7 tis. žadatelů neboli 8 % z celkového počtu) uzavírali v druhém čtvrtletí 2015 trojici nejpočetnějších státních občanství mezi žadateli o mezinárodní ochranu v zemích EU. Téměř 90 % z těchto žadatelů podalo svoji žádost v Německu (15,4 tis.).</w:t>
      </w:r>
    </w:p>
    <w:p w:rsidR="00745674" w:rsidRPr="0004037F" w:rsidRDefault="00745674" w:rsidP="00745674">
      <w:pPr>
        <w:spacing w:line="360" w:lineRule="auto"/>
        <w:jc w:val="center"/>
        <w:rPr>
          <w:rFonts w:ascii="Arial" w:hAnsi="Arial" w:cs="Arial"/>
        </w:rPr>
      </w:pPr>
    </w:p>
    <w:p w:rsidR="00745674" w:rsidRPr="0004037F" w:rsidRDefault="00745674" w:rsidP="00745674">
      <w:pPr>
        <w:spacing w:line="360" w:lineRule="auto"/>
        <w:jc w:val="center"/>
        <w:rPr>
          <w:rFonts w:ascii="Arial" w:hAnsi="Arial" w:cs="Arial"/>
        </w:rPr>
      </w:pPr>
      <w:r w:rsidRPr="0004037F">
        <w:rPr>
          <w:rFonts w:ascii="Arial" w:hAnsi="Arial" w:cs="Arial"/>
        </w:rPr>
        <w:lastRenderedPageBreak/>
        <w:t xml:space="preserve">  </w:t>
      </w:r>
      <w:r w:rsidRPr="0004037F">
        <w:rPr>
          <w:rFonts w:ascii="Arial" w:hAnsi="Arial" w:cs="Arial"/>
          <w:noProof/>
          <w:lang w:eastAsia="cs-CZ"/>
        </w:rPr>
        <w:drawing>
          <wp:inline distT="0" distB="0" distL="0" distR="0">
            <wp:extent cx="4572000" cy="2819400"/>
            <wp:effectExtent l="19050" t="0" r="0" b="0"/>
            <wp:docPr id="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5674" w:rsidRPr="0004037F" w:rsidRDefault="00745674" w:rsidP="007456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Zdroj:  </w:t>
      </w:r>
      <w:proofErr w:type="spellStart"/>
      <w:r w:rsidRPr="0004037F">
        <w:rPr>
          <w:rFonts w:ascii="Arial" w:hAnsi="Arial" w:cs="Arial"/>
          <w:sz w:val="20"/>
          <w:szCs w:val="20"/>
        </w:rPr>
        <w:t>Eurostat</w:t>
      </w:r>
      <w:proofErr w:type="spellEnd"/>
    </w:p>
    <w:p w:rsidR="00745674" w:rsidRDefault="00745674" w:rsidP="007456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ab/>
        <w:t xml:space="preserve">Koncem června 2015 bylo v procesu řízení o udělení mezinárodní ochrany v zemích EU celkem 592 tisíc žádostí. Ve srovnání s koncem června 2014 (365 tis. žádostí) to představovalo nárůst o 62,2 p. </w:t>
      </w:r>
      <w:proofErr w:type="spellStart"/>
      <w:r w:rsidRPr="0004037F">
        <w:rPr>
          <w:rFonts w:ascii="Arial" w:hAnsi="Arial" w:cs="Arial"/>
          <w:sz w:val="20"/>
          <w:szCs w:val="20"/>
        </w:rPr>
        <w:t>b</w:t>
      </w:r>
      <w:proofErr w:type="spellEnd"/>
      <w:r w:rsidRPr="0004037F">
        <w:rPr>
          <w:rFonts w:ascii="Arial" w:hAnsi="Arial" w:cs="Arial"/>
          <w:sz w:val="20"/>
          <w:szCs w:val="20"/>
        </w:rPr>
        <w:t>. Nejvíce žádostí (52 % z celkového počtu) bylo v řízení v Německu, s odstupem následovalo Švédsko (9 %), Itálie (8 %), Francie (6 %), Spojené království (5 %) a Řecko (5 %).</w:t>
      </w:r>
    </w:p>
    <w:p w:rsidR="00A95688" w:rsidRDefault="00A95688"/>
    <w:sectPr w:rsidR="00A95688" w:rsidSect="00A9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characterSpacingControl w:val="doNotCompress"/>
  <w:compat/>
  <w:rsids>
    <w:rsidRoot w:val="00745674"/>
    <w:rsid w:val="00745674"/>
    <w:rsid w:val="00A9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674"/>
  </w:style>
  <w:style w:type="paragraph" w:styleId="Nadpis1">
    <w:name w:val="heading 1"/>
    <w:basedOn w:val="Normln"/>
    <w:next w:val="Normln"/>
    <w:link w:val="Nadpis1Char"/>
    <w:uiPriority w:val="9"/>
    <w:qFormat/>
    <w:rsid w:val="00745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"/>
  <c:chart>
    <c:title>
      <c:tx>
        <c:rich>
          <a:bodyPr/>
          <a:lstStyle/>
          <a:p>
            <a:pPr>
              <a:defRPr/>
            </a:pPr>
            <a:r>
              <a:rPr lang="cs-CZ" sz="1200">
                <a:latin typeface="Arial" pitchFamily="34" charset="0"/>
                <a:cs typeface="Arial" pitchFamily="34" charset="0"/>
              </a:rPr>
              <a:t>Graf 9: Žadatelé o mezinárodní ochranu </a:t>
            </a:r>
          </a:p>
          <a:p>
            <a:pPr>
              <a:defRPr/>
            </a:pPr>
            <a:r>
              <a:rPr lang="cs-CZ" sz="1200">
                <a:latin typeface="Arial" pitchFamily="34" charset="0"/>
                <a:cs typeface="Arial" pitchFamily="34" charset="0"/>
              </a:rPr>
              <a:t>v zemích EU </a:t>
            </a:r>
          </a:p>
          <a:p>
            <a:pPr>
              <a:defRPr/>
            </a:pPr>
            <a:r>
              <a:rPr lang="cs-CZ" sz="1200">
                <a:latin typeface="Arial" pitchFamily="34" charset="0"/>
                <a:cs typeface="Arial" pitchFamily="34" charset="0"/>
              </a:rPr>
              <a:t>2.</a:t>
            </a:r>
            <a:r>
              <a:rPr lang="cs-CZ" sz="1200" baseline="0">
                <a:latin typeface="Arial" pitchFamily="34" charset="0"/>
                <a:cs typeface="Arial" pitchFamily="34" charset="0"/>
              </a:rPr>
              <a:t> čtvrtletí 2015</a:t>
            </a:r>
            <a:endParaRPr lang="cs-CZ" sz="12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4.8944444444444436E-2"/>
          <c:y val="1.388888888888897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9"/>
              <c:layout>
                <c:manualLayout>
                  <c:x val="3.2517497812773626E-3"/>
                  <c:y val="-3.7980825313502484E-2"/>
                </c:manualLayout>
              </c:layout>
              <c:showVal val="1"/>
            </c:dLbl>
            <c:dLbl>
              <c:idx val="10"/>
              <c:layout>
                <c:manualLayout>
                  <c:x val="1.2113298337707787E-2"/>
                  <c:y val="-9.0538422280548744E-2"/>
                </c:manualLayout>
              </c:layout>
              <c:showVal val="1"/>
            </c:dLbl>
            <c:dLbl>
              <c:idx val="11"/>
              <c:layout>
                <c:manualLayout>
                  <c:x val="1.4788932633420819E-2"/>
                  <c:y val="-9.854257801108269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List1!$B$3:$B$15</c:f>
              <c:strCache>
                <c:ptCount val="13"/>
                <c:pt idx="0">
                  <c:v>Sýrie </c:v>
                </c:pt>
                <c:pt idx="1">
                  <c:v>Afghánistán </c:v>
                </c:pt>
                <c:pt idx="2">
                  <c:v>Albánie</c:v>
                </c:pt>
                <c:pt idx="3">
                  <c:v>Irák</c:v>
                </c:pt>
                <c:pt idx="4">
                  <c:v>Kosovo</c:v>
                </c:pt>
                <c:pt idx="5">
                  <c:v>Eritrea</c:v>
                </c:pt>
                <c:pt idx="6">
                  <c:v>Pákistán</c:v>
                </c:pt>
                <c:pt idx="7">
                  <c:v>Nigérie</c:v>
                </c:pt>
                <c:pt idx="8">
                  <c:v>Ukrajina</c:v>
                </c:pt>
                <c:pt idx="9">
                  <c:v>Somálsko </c:v>
                </c:pt>
                <c:pt idx="10">
                  <c:v>Srbsko</c:v>
                </c:pt>
                <c:pt idx="11">
                  <c:v>Rusko</c:v>
                </c:pt>
                <c:pt idx="12">
                  <c:v>ostatní </c:v>
                </c:pt>
              </c:strCache>
            </c:strRef>
          </c:cat>
          <c:val>
            <c:numRef>
              <c:f>List1!$C$3:$C$15</c:f>
              <c:numCache>
                <c:formatCode>0%</c:formatCode>
                <c:ptCount val="13"/>
                <c:pt idx="0">
                  <c:v>0.21000000000000021</c:v>
                </c:pt>
                <c:pt idx="1">
                  <c:v>0.13</c:v>
                </c:pt>
                <c:pt idx="2">
                  <c:v>8.0000000000000043E-2</c:v>
                </c:pt>
                <c:pt idx="3">
                  <c:v>6.0000000000000032E-2</c:v>
                </c:pt>
                <c:pt idx="4">
                  <c:v>0.05</c:v>
                </c:pt>
                <c:pt idx="5">
                  <c:v>4.0000000000000022E-2</c:v>
                </c:pt>
                <c:pt idx="6">
                  <c:v>4.0000000000000022E-2</c:v>
                </c:pt>
                <c:pt idx="7">
                  <c:v>3.0000000000000002E-2</c:v>
                </c:pt>
                <c:pt idx="8">
                  <c:v>3.0000000000000002E-2</c:v>
                </c:pt>
                <c:pt idx="9">
                  <c:v>2.0000000000000011E-2</c:v>
                </c:pt>
                <c:pt idx="10">
                  <c:v>2.0000000000000011E-2</c:v>
                </c:pt>
                <c:pt idx="11">
                  <c:v>2.0000000000000011E-2</c:v>
                </c:pt>
                <c:pt idx="12">
                  <c:v>0.27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532086614173225"/>
          <c:y val="3.0488116068824917E-2"/>
          <c:w val="0.18801246719160231"/>
          <c:h val="0.88809784193642449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2220</Characters>
  <Application>Microsoft Office Word</Application>
  <DocSecurity>0</DocSecurity>
  <Lines>18</Lines>
  <Paragraphs>5</Paragraphs>
  <ScaleCrop>false</ScaleCrop>
  <Company>ČSÚ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maresova16607</dc:creator>
  <cp:lastModifiedBy>maresova16607</cp:lastModifiedBy>
  <cp:revision>1</cp:revision>
  <dcterms:created xsi:type="dcterms:W3CDTF">2015-12-17T09:47:00Z</dcterms:created>
  <dcterms:modified xsi:type="dcterms:W3CDTF">2015-12-17T09:47:00Z</dcterms:modified>
</cp:coreProperties>
</file>