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560A2" w14:textId="57598CD7" w:rsidR="006B1AFC" w:rsidRPr="00B131B0" w:rsidRDefault="006B1AFC" w:rsidP="009324EF">
      <w:pPr>
        <w:pStyle w:val="Nadpis1"/>
        <w:rPr>
          <w:lang w:val="en-GB"/>
        </w:rPr>
      </w:pPr>
      <w:bookmarkStart w:id="0" w:name="_Toc239947444"/>
      <w:bookmarkStart w:id="1" w:name="_Toc242958682"/>
      <w:bookmarkStart w:id="2" w:name="_Toc169258116"/>
      <w:bookmarkStart w:id="3" w:name="_Toc153531176"/>
      <w:bookmarkStart w:id="4" w:name="_Toc176767107"/>
      <w:bookmarkStart w:id="5" w:name="_Toc161914427"/>
      <w:bookmarkStart w:id="6" w:name="_Toc193366678"/>
      <w:bookmarkStart w:id="7" w:name="_Toc176767109"/>
      <w:bookmarkStart w:id="8" w:name="_Toc224903148"/>
      <w:bookmarkStart w:id="9" w:name="_Toc193366677"/>
      <w:r w:rsidRPr="00B131B0">
        <w:rPr>
          <w:lang w:val="en-GB"/>
        </w:rPr>
        <w:t>2. </w:t>
      </w:r>
      <w:r w:rsidR="006A2410">
        <w:rPr>
          <w:lang w:val="en-GB"/>
        </w:rPr>
        <w:t>Overall Economic Performance</w:t>
      </w:r>
      <w:bookmarkEnd w:id="0"/>
      <w:bookmarkEnd w:id="1"/>
    </w:p>
    <w:tbl>
      <w:tblPr>
        <w:tblW w:w="9639" w:type="dxa"/>
        <w:tblInd w:w="-20" w:type="dxa"/>
        <w:tblLayout w:type="fixed"/>
        <w:tblCellMar>
          <w:left w:w="0" w:type="dxa"/>
          <w:right w:w="0" w:type="dxa"/>
        </w:tblCellMar>
        <w:tblLook w:val="00A0" w:firstRow="1" w:lastRow="0" w:firstColumn="1" w:lastColumn="0" w:noHBand="0" w:noVBand="0"/>
      </w:tblPr>
      <w:tblGrid>
        <w:gridCol w:w="1806"/>
        <w:gridCol w:w="210"/>
        <w:gridCol w:w="7623"/>
      </w:tblGrid>
      <w:tr w:rsidR="006B1AFC" w:rsidRPr="00B131B0" w14:paraId="5AB0F875" w14:textId="77777777" w:rsidTr="003C4A79">
        <w:trPr>
          <w:trHeight w:val="145"/>
        </w:trPr>
        <w:tc>
          <w:tcPr>
            <w:tcW w:w="1806" w:type="dxa"/>
            <w:tcMar>
              <w:left w:w="0" w:type="dxa"/>
            </w:tcMar>
          </w:tcPr>
          <w:p w14:paraId="1BE8FB4C" w14:textId="64E302AB" w:rsidR="006B1AFC" w:rsidRPr="00B131B0" w:rsidRDefault="008F4385" w:rsidP="003C4A79">
            <w:pPr>
              <w:pStyle w:val="Marginlie"/>
            </w:pPr>
            <w:r>
              <w:t>Quarter-on-quarter GDP growth accelerated in Q</w:t>
            </w:r>
            <w:r w:rsidR="006B1AFC" w:rsidRPr="00B131B0">
              <w:t>2.</w:t>
            </w:r>
          </w:p>
        </w:tc>
        <w:tc>
          <w:tcPr>
            <w:tcW w:w="210" w:type="dxa"/>
            <w:tcMar>
              <w:left w:w="0" w:type="dxa"/>
            </w:tcMar>
          </w:tcPr>
          <w:p w14:paraId="53FD6148" w14:textId="77777777" w:rsidR="006B1AFC" w:rsidRPr="00B131B0" w:rsidRDefault="006B1AFC" w:rsidP="003C4A79">
            <w:pPr>
              <w:pStyle w:val="Textpoznpodarou"/>
              <w:jc w:val="both"/>
              <w:rPr>
                <w:spacing w:val="-4"/>
              </w:rPr>
            </w:pPr>
          </w:p>
        </w:tc>
        <w:tc>
          <w:tcPr>
            <w:tcW w:w="7623" w:type="dxa"/>
            <w:tcMar>
              <w:left w:w="0" w:type="dxa"/>
            </w:tcMar>
          </w:tcPr>
          <w:p w14:paraId="3A89FCB8" w14:textId="15BEF2A0" w:rsidR="006B1AFC" w:rsidRPr="00B131B0" w:rsidRDefault="00EB2447" w:rsidP="00E13DC6">
            <w:pPr>
              <w:rPr>
                <w:spacing w:val="-2"/>
              </w:rPr>
            </w:pPr>
            <w:r w:rsidRPr="00EB2447">
              <w:rPr>
                <w:spacing w:val="-2"/>
                <w:lang w:val="en"/>
              </w:rPr>
              <w:t xml:space="preserve">The Czech economy followed up on the significant slowdown in Q1 with a slight strengthening of quarter-on-quarter dynamics in Q2. Quarter-on-quarter growth </w:t>
            </w:r>
            <w:r w:rsidR="0007020E">
              <w:rPr>
                <w:spacing w:val="-2"/>
                <w:lang w:val="en"/>
              </w:rPr>
              <w:t>of</w:t>
            </w:r>
            <w:r w:rsidRPr="00EB2447">
              <w:rPr>
                <w:spacing w:val="-2"/>
                <w:lang w:val="en"/>
              </w:rPr>
              <w:t xml:space="preserve"> gross domestic product (GDP)</w:t>
            </w:r>
            <w:r w:rsidR="0007020E" w:rsidRPr="00B131B0">
              <w:rPr>
                <w:rStyle w:val="Znakapoznpodarou"/>
                <w:rFonts w:cs="Arial"/>
                <w:spacing w:val="-2"/>
              </w:rPr>
              <w:footnoteReference w:id="1"/>
            </w:r>
            <w:r w:rsidR="0007020E" w:rsidRPr="00B131B0">
              <w:rPr>
                <w:spacing w:val="-2"/>
              </w:rPr>
              <w:t xml:space="preserve"> </w:t>
            </w:r>
            <w:r w:rsidRPr="00EB2447">
              <w:rPr>
                <w:spacing w:val="-2"/>
                <w:lang w:val="en"/>
              </w:rPr>
              <w:t xml:space="preserve">accelerated to 0.4% in Q2, </w:t>
            </w:r>
            <w:r w:rsidR="0007020E">
              <w:rPr>
                <w:spacing w:val="-2"/>
                <w:lang w:val="en"/>
              </w:rPr>
              <w:t xml:space="preserve">nevertheless </w:t>
            </w:r>
            <w:r w:rsidR="005C4E7C">
              <w:rPr>
                <w:spacing w:val="-2"/>
                <w:lang w:val="en"/>
              </w:rPr>
              <w:t xml:space="preserve">it </w:t>
            </w:r>
            <w:r w:rsidRPr="00EB2447">
              <w:rPr>
                <w:spacing w:val="-2"/>
                <w:lang w:val="en"/>
              </w:rPr>
              <w:t xml:space="preserve">did not reach last year's levels. This recovery was mainly aided by external demand. Domestic demand has been and remains the key driver of GDP growth in the last two years, but the positive impact of consumption has diminished in the last two quarters, and on the contrary, the rebound </w:t>
            </w:r>
            <w:r w:rsidR="003457D6">
              <w:rPr>
                <w:spacing w:val="-2"/>
                <w:lang w:val="en"/>
              </w:rPr>
              <w:t>of</w:t>
            </w:r>
            <w:r w:rsidRPr="00EB2447">
              <w:rPr>
                <w:spacing w:val="-2"/>
                <w:lang w:val="en"/>
              </w:rPr>
              <w:t xml:space="preserve"> investment activity has taken over the main role in GDP growth. The quarter-on-quarter decline </w:t>
            </w:r>
            <w:r w:rsidR="005D5308">
              <w:rPr>
                <w:spacing w:val="-2"/>
                <w:lang w:val="en"/>
              </w:rPr>
              <w:t>in</w:t>
            </w:r>
            <w:r w:rsidRPr="00EB2447">
              <w:rPr>
                <w:spacing w:val="-2"/>
                <w:lang w:val="en"/>
              </w:rPr>
              <w:t xml:space="preserve"> GDP in Q2 was driven by a change in inventories. Year-on-year GDP growth slowed to 1.9%. Investment supported year-on-year GDP growth the most. However, household consumption also made a more moderate contribution, while government consumption and external demand also made a small contribution. These </w:t>
            </w:r>
            <w:r w:rsidR="005D5308" w:rsidRPr="00EB2447">
              <w:rPr>
                <w:spacing w:val="-2"/>
                <w:lang w:val="en"/>
              </w:rPr>
              <w:t>favorable</w:t>
            </w:r>
            <w:r w:rsidRPr="00EB2447">
              <w:rPr>
                <w:spacing w:val="-2"/>
                <w:lang w:val="en"/>
              </w:rPr>
              <w:t xml:space="preserve"> effects were offset by the negative effects of changes in inventories.</w:t>
            </w:r>
            <w:r w:rsidR="0007020E">
              <w:rPr>
                <w:spacing w:val="-2"/>
                <w:lang w:val="en"/>
              </w:rPr>
              <w:t xml:space="preserve"> </w:t>
            </w:r>
          </w:p>
        </w:tc>
      </w:tr>
      <w:tr w:rsidR="006B1AFC" w:rsidRPr="00B131B0" w14:paraId="205B3877" w14:textId="77777777" w:rsidTr="003C4A79">
        <w:trPr>
          <w:trHeight w:val="170"/>
        </w:trPr>
        <w:tc>
          <w:tcPr>
            <w:tcW w:w="1806" w:type="dxa"/>
            <w:vMerge w:val="restart"/>
            <w:tcMar>
              <w:left w:w="0" w:type="dxa"/>
            </w:tcMar>
          </w:tcPr>
          <w:p w14:paraId="523883A2" w14:textId="77777777" w:rsidR="006B1AFC" w:rsidRPr="00B131B0" w:rsidRDefault="006B1AFC" w:rsidP="003C4A79">
            <w:pPr>
              <w:pStyle w:val="Marginlie"/>
            </w:pPr>
          </w:p>
        </w:tc>
        <w:tc>
          <w:tcPr>
            <w:tcW w:w="210" w:type="dxa"/>
            <w:vMerge w:val="restart"/>
            <w:tcMar>
              <w:left w:w="0" w:type="dxa"/>
            </w:tcMar>
          </w:tcPr>
          <w:p w14:paraId="5D1EC39A" w14:textId="77777777" w:rsidR="006B1AFC" w:rsidRPr="00B131B0" w:rsidRDefault="006B1AFC" w:rsidP="003C4A79">
            <w:pPr>
              <w:pStyle w:val="Textpoznpodarou"/>
              <w:jc w:val="both"/>
              <w:rPr>
                <w:spacing w:val="-4"/>
              </w:rPr>
            </w:pPr>
          </w:p>
        </w:tc>
        <w:tc>
          <w:tcPr>
            <w:tcW w:w="7623" w:type="dxa"/>
            <w:tcMar>
              <w:left w:w="0" w:type="dxa"/>
            </w:tcMar>
          </w:tcPr>
          <w:p w14:paraId="0042DE6A" w14:textId="7F1F8099" w:rsidR="006B1AFC" w:rsidRPr="00B131B0" w:rsidRDefault="00973735" w:rsidP="003C4A79">
            <w:pPr>
              <w:spacing w:after="0"/>
              <w:rPr>
                <w:b/>
                <w:bCs/>
              </w:rPr>
            </w:pPr>
            <w:r>
              <w:rPr>
                <w:b/>
                <w:szCs w:val="20"/>
              </w:rPr>
              <w:t xml:space="preserve">Chart </w:t>
            </w:r>
            <w:r w:rsidR="006B1AFC" w:rsidRPr="00B131B0">
              <w:rPr>
                <w:b/>
                <w:szCs w:val="20"/>
              </w:rPr>
              <w:t xml:space="preserve">1 </w:t>
            </w:r>
            <w:r w:rsidR="00883762" w:rsidRPr="007E103C">
              <w:rPr>
                <w:b/>
                <w:szCs w:val="20"/>
              </w:rPr>
              <w:t xml:space="preserve">Contribution of expenditure items to real GDP change* </w:t>
            </w:r>
            <w:r w:rsidR="00883762" w:rsidRPr="007E103C">
              <w:rPr>
                <w:bCs/>
                <w:szCs w:val="20"/>
              </w:rPr>
              <w:t>(</w:t>
            </w:r>
            <w:r w:rsidR="00883762">
              <w:rPr>
                <w:bCs/>
                <w:szCs w:val="20"/>
              </w:rPr>
              <w:t>quarter-on-quarter grow</w:t>
            </w:r>
            <w:r w:rsidR="00C672E6">
              <w:rPr>
                <w:bCs/>
                <w:szCs w:val="20"/>
              </w:rPr>
              <w:t xml:space="preserve">th, </w:t>
            </w:r>
            <w:r w:rsidR="00883762" w:rsidRPr="007E103C">
              <w:rPr>
                <w:bCs/>
                <w:szCs w:val="20"/>
              </w:rPr>
              <w:t xml:space="preserve">contributions in p.p., GDP in %) </w:t>
            </w:r>
          </w:p>
        </w:tc>
      </w:tr>
      <w:tr w:rsidR="006B1AFC" w:rsidRPr="00B131B0" w14:paraId="5ABA8C18" w14:textId="77777777" w:rsidTr="009E3BDB">
        <w:tblPrEx>
          <w:tblCellMar>
            <w:left w:w="70" w:type="dxa"/>
            <w:right w:w="70" w:type="dxa"/>
          </w:tblCellMar>
        </w:tblPrEx>
        <w:trPr>
          <w:trHeight w:val="170"/>
        </w:trPr>
        <w:tc>
          <w:tcPr>
            <w:tcW w:w="1806" w:type="dxa"/>
            <w:vMerge/>
          </w:tcPr>
          <w:p w14:paraId="6691EA4C" w14:textId="77777777" w:rsidR="006B1AFC" w:rsidRPr="00B131B0" w:rsidRDefault="006B1AFC" w:rsidP="003C4A79">
            <w:pPr>
              <w:pStyle w:val="Marginlie"/>
            </w:pPr>
          </w:p>
        </w:tc>
        <w:tc>
          <w:tcPr>
            <w:tcW w:w="210" w:type="dxa"/>
            <w:vMerge/>
          </w:tcPr>
          <w:p w14:paraId="06D64F43" w14:textId="77777777" w:rsidR="006B1AFC" w:rsidRPr="00B131B0" w:rsidRDefault="006B1AFC" w:rsidP="003C4A79">
            <w:pPr>
              <w:pStyle w:val="Textpoznpodarou"/>
              <w:jc w:val="both"/>
              <w:rPr>
                <w:spacing w:val="-4"/>
              </w:rPr>
            </w:pPr>
          </w:p>
        </w:tc>
        <w:tc>
          <w:tcPr>
            <w:tcW w:w="7623" w:type="dxa"/>
          </w:tcPr>
          <w:p w14:paraId="66AB7529" w14:textId="49249E9E" w:rsidR="006B1AFC" w:rsidRPr="00B131B0" w:rsidRDefault="009E3BDB" w:rsidP="003C4A79">
            <w:pPr>
              <w:spacing w:after="0"/>
            </w:pPr>
            <w:r>
              <w:rPr>
                <w:noProof/>
              </w:rPr>
              <w:drawing>
                <wp:inline distT="0" distB="0" distL="0" distR="0" wp14:anchorId="1CE5F64E" wp14:editId="5CB00F25">
                  <wp:extent cx="4743950" cy="3457950"/>
                  <wp:effectExtent l="0" t="0" r="0" b="0"/>
                  <wp:docPr id="1608539927" name="Graf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6B1AFC" w:rsidRPr="00B131B0" w14:paraId="0983659E" w14:textId="77777777" w:rsidTr="003C4A79">
        <w:trPr>
          <w:trHeight w:val="170"/>
        </w:trPr>
        <w:tc>
          <w:tcPr>
            <w:tcW w:w="1806" w:type="dxa"/>
            <w:vMerge/>
            <w:tcMar>
              <w:left w:w="0" w:type="dxa"/>
            </w:tcMar>
          </w:tcPr>
          <w:p w14:paraId="419D6BA1" w14:textId="77777777" w:rsidR="006B1AFC" w:rsidRPr="00B131B0" w:rsidRDefault="006B1AFC" w:rsidP="003C4A79">
            <w:pPr>
              <w:pStyle w:val="Marginlie"/>
            </w:pPr>
          </w:p>
        </w:tc>
        <w:tc>
          <w:tcPr>
            <w:tcW w:w="210" w:type="dxa"/>
            <w:vMerge/>
            <w:tcMar>
              <w:left w:w="0" w:type="dxa"/>
            </w:tcMar>
          </w:tcPr>
          <w:p w14:paraId="4F36E371" w14:textId="77777777" w:rsidR="006B1AFC" w:rsidRPr="00B131B0" w:rsidRDefault="006B1AFC" w:rsidP="003C4A79">
            <w:pPr>
              <w:pStyle w:val="Textpoznpodarou"/>
              <w:jc w:val="both"/>
              <w:rPr>
                <w:spacing w:val="-4"/>
              </w:rPr>
            </w:pPr>
          </w:p>
        </w:tc>
        <w:tc>
          <w:tcPr>
            <w:tcW w:w="7623" w:type="dxa"/>
            <w:tcMar>
              <w:left w:w="0" w:type="dxa"/>
            </w:tcMar>
          </w:tcPr>
          <w:p w14:paraId="07C04BBB" w14:textId="4A4A3FF8" w:rsidR="006B1AFC" w:rsidRPr="00B131B0" w:rsidRDefault="00B93515" w:rsidP="003C4A79">
            <w:pPr>
              <w:spacing w:after="0"/>
              <w:rPr>
                <w:sz w:val="16"/>
                <w:szCs w:val="16"/>
              </w:rPr>
            </w:pPr>
            <w:r>
              <w:rPr>
                <w:sz w:val="16"/>
                <w:szCs w:val="16"/>
              </w:rPr>
              <w:t>Source</w:t>
            </w:r>
            <w:r w:rsidR="006B1AFC" w:rsidRPr="00B131B0">
              <w:rPr>
                <w:sz w:val="16"/>
                <w:szCs w:val="16"/>
              </w:rPr>
              <w:t xml:space="preserve">: </w:t>
            </w:r>
            <w:r>
              <w:rPr>
                <w:sz w:val="16"/>
                <w:szCs w:val="16"/>
              </w:rPr>
              <w:t>CZSO</w:t>
            </w:r>
          </w:p>
          <w:p w14:paraId="77260B10" w14:textId="49F85A52" w:rsidR="00A31FD4" w:rsidRPr="00973735" w:rsidRDefault="006B1AFC" w:rsidP="009E3BDB">
            <w:pPr>
              <w:spacing w:after="220"/>
              <w:rPr>
                <w:b/>
                <w:bCs/>
                <w:sz w:val="16"/>
                <w:szCs w:val="16"/>
              </w:rPr>
            </w:pPr>
            <w:r w:rsidRPr="00B131B0">
              <w:rPr>
                <w:sz w:val="16"/>
                <w:szCs w:val="16"/>
              </w:rPr>
              <w:t>*</w:t>
            </w:r>
            <w:r w:rsidR="00973735" w:rsidRPr="00973735">
              <w:rPr>
                <w:sz w:val="16"/>
                <w:szCs w:val="16"/>
              </w:rPr>
              <w:t xml:space="preserve">after exclusion of </w:t>
            </w:r>
            <w:r w:rsidR="00973735">
              <w:rPr>
                <w:sz w:val="16"/>
                <w:szCs w:val="16"/>
              </w:rPr>
              <w:t xml:space="preserve">imports </w:t>
            </w:r>
            <w:r w:rsidR="00973735" w:rsidRPr="00973735">
              <w:rPr>
                <w:sz w:val="16"/>
                <w:szCs w:val="16"/>
              </w:rPr>
              <w:t>for final use</w:t>
            </w:r>
          </w:p>
        </w:tc>
      </w:tr>
      <w:tr w:rsidR="006B1AFC" w:rsidRPr="00B131B0" w14:paraId="7D116E1D" w14:textId="77777777" w:rsidTr="003C4A79">
        <w:trPr>
          <w:trHeight w:val="145"/>
        </w:trPr>
        <w:tc>
          <w:tcPr>
            <w:tcW w:w="1806" w:type="dxa"/>
            <w:tcMar>
              <w:left w:w="0" w:type="dxa"/>
            </w:tcMar>
          </w:tcPr>
          <w:p w14:paraId="10DE1B2B" w14:textId="03E56227" w:rsidR="006B1AFC" w:rsidRPr="00B131B0" w:rsidRDefault="000F5227" w:rsidP="003C4A79">
            <w:pPr>
              <w:pStyle w:val="Marginlie"/>
            </w:pPr>
            <w:r>
              <w:t xml:space="preserve">Dynamics of the EU economy also strengthened. </w:t>
            </w:r>
          </w:p>
        </w:tc>
        <w:tc>
          <w:tcPr>
            <w:tcW w:w="210" w:type="dxa"/>
            <w:tcMar>
              <w:left w:w="0" w:type="dxa"/>
            </w:tcMar>
          </w:tcPr>
          <w:p w14:paraId="33C50003" w14:textId="77777777" w:rsidR="006B1AFC" w:rsidRPr="00B131B0" w:rsidRDefault="006B1AFC" w:rsidP="003C4A79">
            <w:pPr>
              <w:pStyle w:val="Textpoznpodarou"/>
              <w:jc w:val="both"/>
              <w:rPr>
                <w:spacing w:val="-4"/>
              </w:rPr>
            </w:pPr>
          </w:p>
        </w:tc>
        <w:tc>
          <w:tcPr>
            <w:tcW w:w="7623" w:type="dxa"/>
            <w:tcMar>
              <w:left w:w="0" w:type="dxa"/>
            </w:tcMar>
          </w:tcPr>
          <w:p w14:paraId="279E4031" w14:textId="17EDBE8D" w:rsidR="006B1AFC" w:rsidRPr="00B131B0" w:rsidRDefault="00A118C8" w:rsidP="00E67C58">
            <w:r>
              <w:t>Q</w:t>
            </w:r>
            <w:r w:rsidR="00E67C58" w:rsidRPr="00E67C58">
              <w:t xml:space="preserve">uarter-on-quarter GDP growth </w:t>
            </w:r>
            <w:r>
              <w:t xml:space="preserve">also </w:t>
            </w:r>
            <w:r w:rsidR="00E67C58" w:rsidRPr="00E67C58">
              <w:t>strengthened</w:t>
            </w:r>
            <w:r>
              <w:t xml:space="preserve"> in the European Union after a weak start to the year</w:t>
            </w:r>
            <w:r w:rsidR="00E67C58" w:rsidRPr="00E67C58">
              <w:t xml:space="preserve"> and reached 0.7%</w:t>
            </w:r>
            <w:r w:rsidRPr="00B131B0">
              <w:rPr>
                <w:rStyle w:val="Znakapoznpodarou"/>
              </w:rPr>
              <w:footnoteReference w:id="2"/>
            </w:r>
            <w:r w:rsidR="00E67C58" w:rsidRPr="00E67C58">
              <w:t xml:space="preserve"> in Q2. </w:t>
            </w:r>
            <w:r>
              <w:t>Year-on-year G</w:t>
            </w:r>
            <w:r w:rsidR="00E67C58" w:rsidRPr="00E67C58">
              <w:t xml:space="preserve">DP growth in the EU accelerated to 1.4%. The recovery </w:t>
            </w:r>
            <w:r w:rsidR="00E6289D">
              <w:t>of</w:t>
            </w:r>
            <w:r w:rsidR="00E67C58" w:rsidRPr="00E67C58">
              <w:t xml:space="preserve"> quarter-on-quarter growth in the EU was positively influenced mainly by the external trade balance. Consumption and investment in the EU grew moderately, while a change in inventories had a significantly negative effect. The strengthening of quarter-on-quarter GDP growth was broad-based, with only Austria declining by 0.1% and GDP stagnating in Romania, Belgium and France in Q2. </w:t>
            </w:r>
            <w:r w:rsidR="002D3F57">
              <w:t xml:space="preserve">Among </w:t>
            </w:r>
            <w:r w:rsidR="00E67C58" w:rsidRPr="00E67C58">
              <w:t>the large EU economies, Spain grew the most</w:t>
            </w:r>
            <w:r w:rsidR="002D3F57">
              <w:t>,</w:t>
            </w:r>
            <w:r w:rsidR="00E67C58" w:rsidRPr="00E67C58">
              <w:t xml:space="preserve"> quarter-on-quarter (0.7%). The German economy maintained a slight increase (0.3%) for the third quarter in a row</w:t>
            </w:r>
            <w:r w:rsidR="00693CA2">
              <w:t>. G</w:t>
            </w:r>
            <w:r w:rsidR="00E67C58" w:rsidRPr="00E67C58">
              <w:t>rowth was almost exclusively driven by external demand</w:t>
            </w:r>
            <w:r w:rsidR="00693CA2">
              <w:t xml:space="preserve"> in Q2</w:t>
            </w:r>
            <w:r w:rsidR="00E67C58" w:rsidRPr="00E67C58">
              <w:t xml:space="preserve">. GDP growth in Italy was slightly above the stagnation line (0.2%). Within the Central European area, Poland </w:t>
            </w:r>
            <w:r w:rsidR="00E67C58" w:rsidRPr="00E67C58">
              <w:lastRenderedPageBreak/>
              <w:t xml:space="preserve">grew the most (1.0%), where investment grew strongly, but consumption also </w:t>
            </w:r>
            <w:r w:rsidR="00693CA2">
              <w:t>thrived</w:t>
            </w:r>
            <w:r w:rsidR="00E67C58" w:rsidRPr="00E67C58">
              <w:t xml:space="preserve">. It was followed by Hungary (0.5%) and the Czech Republic. </w:t>
            </w:r>
            <w:r w:rsidR="00693CA2">
              <w:t>S</w:t>
            </w:r>
            <w:r w:rsidR="00E67C58" w:rsidRPr="00E67C58">
              <w:t>ubdued GDP growth continued (0.2%)</w:t>
            </w:r>
            <w:r w:rsidR="00693CA2">
              <w:t xml:space="preserve"> in Slovakia</w:t>
            </w:r>
            <w:r w:rsidR="00E67C58" w:rsidRPr="00E67C58">
              <w:t>.</w:t>
            </w:r>
          </w:p>
        </w:tc>
      </w:tr>
      <w:tr w:rsidR="006B1AFC" w:rsidRPr="00335A1E" w14:paraId="5D89F123" w14:textId="77777777" w:rsidTr="003C4A79">
        <w:trPr>
          <w:trHeight w:val="170"/>
        </w:trPr>
        <w:tc>
          <w:tcPr>
            <w:tcW w:w="1806" w:type="dxa"/>
            <w:vMerge w:val="restart"/>
            <w:tcMar>
              <w:left w:w="0" w:type="dxa"/>
            </w:tcMar>
          </w:tcPr>
          <w:p w14:paraId="20BA5855" w14:textId="77777777" w:rsidR="006B1AFC" w:rsidRPr="00B131B0" w:rsidRDefault="006B1AFC" w:rsidP="003C4A79">
            <w:pPr>
              <w:pStyle w:val="Marginlie"/>
            </w:pPr>
          </w:p>
        </w:tc>
        <w:tc>
          <w:tcPr>
            <w:tcW w:w="210" w:type="dxa"/>
            <w:vMerge w:val="restart"/>
            <w:tcMar>
              <w:left w:w="0" w:type="dxa"/>
            </w:tcMar>
          </w:tcPr>
          <w:p w14:paraId="27DB69DB" w14:textId="77777777" w:rsidR="006B1AFC" w:rsidRPr="00B131B0" w:rsidRDefault="006B1AFC" w:rsidP="003C4A79">
            <w:pPr>
              <w:pStyle w:val="Textpoznpodarou"/>
              <w:jc w:val="both"/>
              <w:rPr>
                <w:spacing w:val="-4"/>
              </w:rPr>
            </w:pPr>
          </w:p>
        </w:tc>
        <w:tc>
          <w:tcPr>
            <w:tcW w:w="7623" w:type="dxa"/>
            <w:tcMar>
              <w:left w:w="0" w:type="dxa"/>
            </w:tcMar>
          </w:tcPr>
          <w:p w14:paraId="2778BA25" w14:textId="0D7AB3F8" w:rsidR="006B1AFC" w:rsidRPr="00335A1E" w:rsidRDefault="002D3F57" w:rsidP="003C4A79">
            <w:pPr>
              <w:spacing w:after="0"/>
              <w:rPr>
                <w:b/>
                <w:bCs/>
                <w:lang w:val="en-US"/>
              </w:rPr>
            </w:pPr>
            <w:r w:rsidRPr="00335A1E">
              <w:rPr>
                <w:b/>
                <w:bCs/>
                <w:lang w:val="en-US"/>
              </w:rPr>
              <w:t>Char</w:t>
            </w:r>
            <w:r w:rsidR="00693CA2" w:rsidRPr="00335A1E">
              <w:rPr>
                <w:b/>
                <w:bCs/>
                <w:lang w:val="en-US"/>
              </w:rPr>
              <w:t xml:space="preserve">t </w:t>
            </w:r>
            <w:r w:rsidR="006B1AFC" w:rsidRPr="00335A1E">
              <w:rPr>
                <w:b/>
                <w:bCs/>
                <w:lang w:val="en-US"/>
              </w:rPr>
              <w:t xml:space="preserve">2 </w:t>
            </w:r>
            <w:r w:rsidR="00693CA2" w:rsidRPr="00335A1E">
              <w:rPr>
                <w:b/>
                <w:bCs/>
                <w:lang w:val="en-US"/>
              </w:rPr>
              <w:t>GDP development in EU countries in Q</w:t>
            </w:r>
            <w:r w:rsidR="00335A1E" w:rsidRPr="00335A1E">
              <w:rPr>
                <w:b/>
                <w:bCs/>
                <w:lang w:val="en-US"/>
              </w:rPr>
              <w:t xml:space="preserve">2 </w:t>
            </w:r>
            <w:r w:rsidR="006B1AFC" w:rsidRPr="00335A1E">
              <w:rPr>
                <w:b/>
                <w:bCs/>
                <w:lang w:val="en-US"/>
              </w:rPr>
              <w:t xml:space="preserve">2026 </w:t>
            </w:r>
            <w:r w:rsidR="006B1AFC" w:rsidRPr="00335A1E">
              <w:rPr>
                <w:lang w:val="en-US"/>
              </w:rPr>
              <w:t>(</w:t>
            </w:r>
            <w:r w:rsidR="00335A1E" w:rsidRPr="00335A1E">
              <w:rPr>
                <w:lang w:val="en-US"/>
              </w:rPr>
              <w:t>in</w:t>
            </w:r>
            <w:r w:rsidR="006B1AFC" w:rsidRPr="00335A1E">
              <w:rPr>
                <w:lang w:val="en-US"/>
              </w:rPr>
              <w:t xml:space="preserve"> %)</w:t>
            </w:r>
          </w:p>
        </w:tc>
      </w:tr>
      <w:tr w:rsidR="006B1AFC" w:rsidRPr="00B131B0" w14:paraId="2DF02C39" w14:textId="77777777" w:rsidTr="006943B9">
        <w:tblPrEx>
          <w:tblCellMar>
            <w:left w:w="70" w:type="dxa"/>
            <w:right w:w="70" w:type="dxa"/>
          </w:tblCellMar>
        </w:tblPrEx>
        <w:trPr>
          <w:trHeight w:val="170"/>
        </w:trPr>
        <w:tc>
          <w:tcPr>
            <w:tcW w:w="1806" w:type="dxa"/>
            <w:vMerge/>
          </w:tcPr>
          <w:p w14:paraId="0FF4A170" w14:textId="77777777" w:rsidR="006B1AFC" w:rsidRPr="00335A1E" w:rsidRDefault="006B1AFC" w:rsidP="003C4A79">
            <w:pPr>
              <w:pStyle w:val="Marginlie"/>
              <w:rPr>
                <w:lang w:val="en-US"/>
              </w:rPr>
            </w:pPr>
          </w:p>
        </w:tc>
        <w:tc>
          <w:tcPr>
            <w:tcW w:w="210" w:type="dxa"/>
            <w:vMerge/>
          </w:tcPr>
          <w:p w14:paraId="36E1F15F" w14:textId="77777777" w:rsidR="006B1AFC" w:rsidRPr="00335A1E" w:rsidRDefault="006B1AFC" w:rsidP="003C4A79">
            <w:pPr>
              <w:pStyle w:val="Textpoznpodarou"/>
              <w:jc w:val="both"/>
              <w:rPr>
                <w:spacing w:val="-4"/>
                <w:lang w:val="en-US"/>
              </w:rPr>
            </w:pPr>
          </w:p>
        </w:tc>
        <w:tc>
          <w:tcPr>
            <w:tcW w:w="7623" w:type="dxa"/>
          </w:tcPr>
          <w:p w14:paraId="14F59F62" w14:textId="237E87DA" w:rsidR="006B1AFC" w:rsidRPr="00B131B0" w:rsidRDefault="006943B9" w:rsidP="003C4A79">
            <w:pPr>
              <w:spacing w:after="0"/>
            </w:pPr>
            <w:r>
              <w:rPr>
                <w:noProof/>
              </w:rPr>
              <w:drawing>
                <wp:inline distT="0" distB="0" distL="0" distR="0" wp14:anchorId="482E6D44" wp14:editId="3822B6F3">
                  <wp:extent cx="4737600" cy="3348000"/>
                  <wp:effectExtent l="0" t="0" r="6350" b="5080"/>
                  <wp:docPr id="586765942" name="Graf 1">
                    <a:extLst xmlns:a="http://schemas.openxmlformats.org/drawingml/2006/main">
                      <a:ext uri="{FF2B5EF4-FFF2-40B4-BE49-F238E27FC236}">
                        <a16:creationId xmlns:a16="http://schemas.microsoft.com/office/drawing/2014/main" id="{50A3AA32-83D3-4CFF-AFD5-9DC08DF7D9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6B1AFC" w:rsidRPr="00B131B0" w14:paraId="0CBD4D28" w14:textId="77777777" w:rsidTr="003C4A79">
        <w:trPr>
          <w:trHeight w:val="170"/>
        </w:trPr>
        <w:tc>
          <w:tcPr>
            <w:tcW w:w="1806" w:type="dxa"/>
            <w:vMerge/>
            <w:tcMar>
              <w:left w:w="0" w:type="dxa"/>
            </w:tcMar>
          </w:tcPr>
          <w:p w14:paraId="71DD5454" w14:textId="77777777" w:rsidR="006B1AFC" w:rsidRPr="00B131B0" w:rsidRDefault="006B1AFC" w:rsidP="003C4A79">
            <w:pPr>
              <w:pStyle w:val="Marginlie"/>
            </w:pPr>
          </w:p>
        </w:tc>
        <w:tc>
          <w:tcPr>
            <w:tcW w:w="210" w:type="dxa"/>
            <w:vMerge/>
            <w:tcMar>
              <w:left w:w="0" w:type="dxa"/>
            </w:tcMar>
          </w:tcPr>
          <w:p w14:paraId="52F9219C" w14:textId="77777777" w:rsidR="006B1AFC" w:rsidRPr="00B131B0" w:rsidRDefault="006B1AFC" w:rsidP="003C4A79">
            <w:pPr>
              <w:pStyle w:val="Textpoznpodarou"/>
              <w:jc w:val="both"/>
              <w:rPr>
                <w:spacing w:val="-4"/>
              </w:rPr>
            </w:pPr>
          </w:p>
        </w:tc>
        <w:tc>
          <w:tcPr>
            <w:tcW w:w="7623" w:type="dxa"/>
            <w:tcMar>
              <w:left w:w="0" w:type="dxa"/>
            </w:tcMar>
          </w:tcPr>
          <w:p w14:paraId="3A8B4AB1" w14:textId="3A476FF5" w:rsidR="00335A1E" w:rsidRPr="00592603" w:rsidRDefault="00335A1E" w:rsidP="003C4A79">
            <w:pPr>
              <w:rPr>
                <w:sz w:val="16"/>
                <w:szCs w:val="16"/>
              </w:rPr>
            </w:pPr>
            <w:r>
              <w:rPr>
                <w:sz w:val="16"/>
                <w:szCs w:val="16"/>
              </w:rPr>
              <w:t>Source</w:t>
            </w:r>
            <w:r w:rsidR="006B1AFC" w:rsidRPr="00B131B0">
              <w:rPr>
                <w:sz w:val="16"/>
                <w:szCs w:val="16"/>
              </w:rPr>
              <w:t xml:space="preserve">: </w:t>
            </w:r>
            <w:r>
              <w:rPr>
                <w:sz w:val="16"/>
                <w:szCs w:val="16"/>
              </w:rPr>
              <w:t>CZS</w:t>
            </w:r>
            <w:r w:rsidR="00592603">
              <w:rPr>
                <w:sz w:val="16"/>
                <w:szCs w:val="16"/>
              </w:rPr>
              <w:t>O</w:t>
            </w:r>
          </w:p>
        </w:tc>
      </w:tr>
      <w:tr w:rsidR="006B1AFC" w:rsidRPr="00B131B0" w14:paraId="314F7568" w14:textId="77777777" w:rsidTr="003C4A79">
        <w:trPr>
          <w:trHeight w:val="145"/>
        </w:trPr>
        <w:tc>
          <w:tcPr>
            <w:tcW w:w="1806" w:type="dxa"/>
            <w:tcMar>
              <w:left w:w="0" w:type="dxa"/>
            </w:tcMar>
          </w:tcPr>
          <w:p w14:paraId="5545BDBD" w14:textId="776D70E3" w:rsidR="006B1AFC" w:rsidRPr="00B131B0" w:rsidRDefault="009B4BAF" w:rsidP="003C4A79">
            <w:pPr>
              <w:pStyle w:val="Marginlie"/>
            </w:pPr>
            <w:r>
              <w:t xml:space="preserve">Household consumption strengthened. </w:t>
            </w:r>
          </w:p>
        </w:tc>
        <w:tc>
          <w:tcPr>
            <w:tcW w:w="210" w:type="dxa"/>
            <w:tcMar>
              <w:left w:w="0" w:type="dxa"/>
            </w:tcMar>
          </w:tcPr>
          <w:p w14:paraId="6F8CDD10" w14:textId="77777777" w:rsidR="006B1AFC" w:rsidRPr="00B131B0" w:rsidRDefault="006B1AFC" w:rsidP="003C4A79">
            <w:pPr>
              <w:pStyle w:val="Textpoznpodarou"/>
              <w:jc w:val="both"/>
              <w:rPr>
                <w:spacing w:val="-4"/>
              </w:rPr>
            </w:pPr>
          </w:p>
        </w:tc>
        <w:tc>
          <w:tcPr>
            <w:tcW w:w="7623" w:type="dxa"/>
            <w:tcMar>
              <w:left w:w="0" w:type="dxa"/>
            </w:tcMar>
          </w:tcPr>
          <w:p w14:paraId="0A09B41D" w14:textId="490F094C" w:rsidR="006B1AFC" w:rsidRPr="00B131B0" w:rsidRDefault="009B4BAF" w:rsidP="009B4BAF">
            <w:pPr>
              <w:rPr>
                <w:spacing w:val="-2"/>
              </w:rPr>
            </w:pPr>
            <w:r w:rsidRPr="009B4BAF">
              <w:rPr>
                <w:spacing w:val="-2"/>
              </w:rPr>
              <w:t xml:space="preserve">Quarter-on-quarter growth </w:t>
            </w:r>
            <w:r>
              <w:rPr>
                <w:spacing w:val="-2"/>
              </w:rPr>
              <w:t>of</w:t>
            </w:r>
            <w:r w:rsidRPr="009B4BAF">
              <w:rPr>
                <w:spacing w:val="-2"/>
              </w:rPr>
              <w:t xml:space="preserve"> final consumption expenditure accelerated to 0.5% in Q2. This was mainly due to household consumption (0.5%), while the increase remained on the verge of stagnation (0.1%)</w:t>
            </w:r>
            <w:r>
              <w:rPr>
                <w:spacing w:val="-2"/>
              </w:rPr>
              <w:t xml:space="preserve"> for the general government</w:t>
            </w:r>
            <w:r w:rsidRPr="009B4BAF">
              <w:rPr>
                <w:spacing w:val="-2"/>
              </w:rPr>
              <w:t xml:space="preserve">. In contrast to the previous quarter, the strengthening </w:t>
            </w:r>
            <w:r>
              <w:rPr>
                <w:spacing w:val="-2"/>
              </w:rPr>
              <w:t>of</w:t>
            </w:r>
            <w:r w:rsidRPr="009B4BAF">
              <w:rPr>
                <w:spacing w:val="-2"/>
              </w:rPr>
              <w:t xml:space="preserve"> household consumption growth was not saturated with imports and thus fully contributed to the </w:t>
            </w:r>
            <w:r>
              <w:rPr>
                <w:spacing w:val="-2"/>
              </w:rPr>
              <w:t xml:space="preserve">total </w:t>
            </w:r>
            <w:r w:rsidRPr="009B4BAF">
              <w:rPr>
                <w:spacing w:val="-2"/>
              </w:rPr>
              <w:t xml:space="preserve">increase </w:t>
            </w:r>
            <w:r>
              <w:rPr>
                <w:spacing w:val="-2"/>
              </w:rPr>
              <w:t>of</w:t>
            </w:r>
            <w:r w:rsidRPr="009B4BAF">
              <w:rPr>
                <w:spacing w:val="-2"/>
              </w:rPr>
              <w:t xml:space="preserve"> GDP. The </w:t>
            </w:r>
            <w:r>
              <w:rPr>
                <w:spacing w:val="-2"/>
              </w:rPr>
              <w:t>year-on-year g</w:t>
            </w:r>
            <w:r w:rsidRPr="009B4BAF">
              <w:rPr>
                <w:spacing w:val="-2"/>
              </w:rPr>
              <w:t xml:space="preserve">rowth rate of consumption slowed to 2.2%. Consumption </w:t>
            </w:r>
            <w:r>
              <w:rPr>
                <w:spacing w:val="-2"/>
              </w:rPr>
              <w:t>of both</w:t>
            </w:r>
            <w:r w:rsidRPr="009B4BAF">
              <w:rPr>
                <w:spacing w:val="-2"/>
              </w:rPr>
              <w:t xml:space="preserve"> households (2.7%) and general government (1.0%) increased less. The development of consumption expenditure in terms of durability</w:t>
            </w:r>
            <w:r w:rsidRPr="00B131B0">
              <w:rPr>
                <w:rStyle w:val="Znakapoznpodarou"/>
              </w:rPr>
              <w:footnoteReference w:id="3"/>
            </w:r>
            <w:r w:rsidRPr="009B4BAF">
              <w:rPr>
                <w:spacing w:val="-2"/>
              </w:rPr>
              <w:t xml:space="preserve"> showed an acceleration </w:t>
            </w:r>
            <w:r>
              <w:rPr>
                <w:spacing w:val="-2"/>
              </w:rPr>
              <w:t>of</w:t>
            </w:r>
            <w:r w:rsidRPr="009B4BAF">
              <w:rPr>
                <w:spacing w:val="-2"/>
              </w:rPr>
              <w:t xml:space="preserve"> durable consumption (quarter-on-quarter growth of 3.3% and year-on-year 6.8%) and a solid increase </w:t>
            </w:r>
            <w:r>
              <w:rPr>
                <w:spacing w:val="-2"/>
              </w:rPr>
              <w:t>of</w:t>
            </w:r>
            <w:r w:rsidRPr="009B4BAF">
              <w:rPr>
                <w:spacing w:val="-2"/>
              </w:rPr>
              <w:t xml:space="preserve"> consumption</w:t>
            </w:r>
            <w:r w:rsidR="00045433">
              <w:rPr>
                <w:spacing w:val="-2"/>
              </w:rPr>
              <w:t xml:space="preserve"> of semi-durable</w:t>
            </w:r>
            <w:r w:rsidR="001E7360">
              <w:rPr>
                <w:spacing w:val="-2"/>
              </w:rPr>
              <w:t xml:space="preserve"> goods</w:t>
            </w:r>
            <w:r w:rsidRPr="009B4BAF">
              <w:rPr>
                <w:spacing w:val="-2"/>
              </w:rPr>
              <w:t xml:space="preserve"> (by 1.3%</w:t>
            </w:r>
            <w:r>
              <w:rPr>
                <w:spacing w:val="-2"/>
              </w:rPr>
              <w:t>,</w:t>
            </w:r>
            <w:r w:rsidRPr="009B4BAF">
              <w:rPr>
                <w:spacing w:val="-2"/>
              </w:rPr>
              <w:t xml:space="preserve"> quarter-on-quarter, 5.8%</w:t>
            </w:r>
            <w:r w:rsidR="0009134C">
              <w:rPr>
                <w:spacing w:val="-2"/>
              </w:rPr>
              <w:t>,</w:t>
            </w:r>
            <w:r w:rsidRPr="009B4BAF">
              <w:rPr>
                <w:spacing w:val="-2"/>
              </w:rPr>
              <w:t xml:space="preserve"> year-on-year). </w:t>
            </w:r>
            <w:r w:rsidR="00BA5C1D">
              <w:rPr>
                <w:spacing w:val="-2"/>
              </w:rPr>
              <w:t>Expenditures on services followed t</w:t>
            </w:r>
            <w:r w:rsidRPr="009B4BAF">
              <w:rPr>
                <w:spacing w:val="-2"/>
              </w:rPr>
              <w:t>he decline in Q1 by a quarter-on-quarter increase of 0.8% and an acceleration of the year-on-year increase to 1.9%. By contrast, short-term consumption increased by only 0.2%</w:t>
            </w:r>
            <w:r w:rsidR="00BA5C1D">
              <w:rPr>
                <w:spacing w:val="-2"/>
              </w:rPr>
              <w:t>,</w:t>
            </w:r>
            <w:r w:rsidRPr="009B4BAF">
              <w:rPr>
                <w:spacing w:val="-2"/>
              </w:rPr>
              <w:t xml:space="preserve"> quarter-on-quarter</w:t>
            </w:r>
            <w:r w:rsidR="00BA5C1D">
              <w:rPr>
                <w:spacing w:val="-2"/>
              </w:rPr>
              <w:t>,</w:t>
            </w:r>
            <w:r w:rsidRPr="009B4BAF">
              <w:rPr>
                <w:spacing w:val="-2"/>
              </w:rPr>
              <w:t xml:space="preserve"> and the year-on-year increase weakened to 2.0%</w:t>
            </w:r>
            <w:r w:rsidR="00BA5C1D">
              <w:rPr>
                <w:spacing w:val="-2"/>
              </w:rPr>
              <w:t xml:space="preserve"> here</w:t>
            </w:r>
            <w:r w:rsidRPr="009B4BAF">
              <w:rPr>
                <w:spacing w:val="-2"/>
              </w:rPr>
              <w:t>.</w:t>
            </w:r>
            <w:r w:rsidR="00BA5C1D">
              <w:rPr>
                <w:spacing w:val="-2"/>
              </w:rPr>
              <w:t xml:space="preserve"> </w:t>
            </w:r>
          </w:p>
        </w:tc>
      </w:tr>
      <w:tr w:rsidR="006B1AFC" w:rsidRPr="00B131B0" w14:paraId="7F5C88B6" w14:textId="77777777" w:rsidTr="003C4A79">
        <w:trPr>
          <w:trHeight w:val="145"/>
        </w:trPr>
        <w:tc>
          <w:tcPr>
            <w:tcW w:w="1806" w:type="dxa"/>
            <w:tcMar>
              <w:left w:w="0" w:type="dxa"/>
            </w:tcMar>
          </w:tcPr>
          <w:p w14:paraId="5057EB73" w14:textId="01E965C8" w:rsidR="006B1AFC" w:rsidRPr="00B131B0" w:rsidRDefault="00BA5C1D" w:rsidP="003C4A79">
            <w:pPr>
              <w:pStyle w:val="Marginlie"/>
            </w:pPr>
            <w:r>
              <w:t xml:space="preserve">Growth of investment activity gained pace. </w:t>
            </w:r>
          </w:p>
        </w:tc>
        <w:tc>
          <w:tcPr>
            <w:tcW w:w="210" w:type="dxa"/>
            <w:tcMar>
              <w:left w:w="0" w:type="dxa"/>
            </w:tcMar>
          </w:tcPr>
          <w:p w14:paraId="57F07E5B" w14:textId="77777777" w:rsidR="006B1AFC" w:rsidRPr="00B131B0" w:rsidRDefault="006B1AFC" w:rsidP="003C4A79">
            <w:pPr>
              <w:pStyle w:val="Textpoznpodarou"/>
              <w:jc w:val="both"/>
              <w:rPr>
                <w:spacing w:val="-4"/>
              </w:rPr>
            </w:pPr>
          </w:p>
        </w:tc>
        <w:tc>
          <w:tcPr>
            <w:tcW w:w="7623" w:type="dxa"/>
            <w:tcMar>
              <w:left w:w="0" w:type="dxa"/>
            </w:tcMar>
          </w:tcPr>
          <w:p w14:paraId="402C5242" w14:textId="2DC90183" w:rsidR="006B1AFC" w:rsidRPr="00B131B0" w:rsidRDefault="00BA5C1D" w:rsidP="00BA5C1D">
            <w:r>
              <w:rPr>
                <w:spacing w:val="-2"/>
              </w:rPr>
              <w:t>E</w:t>
            </w:r>
            <w:r w:rsidRPr="00BA5C1D">
              <w:rPr>
                <w:spacing w:val="-2"/>
              </w:rPr>
              <w:t>xpenditure on gross capital formation declined by 2.1%</w:t>
            </w:r>
            <w:r>
              <w:rPr>
                <w:spacing w:val="-2"/>
              </w:rPr>
              <w:t>,</w:t>
            </w:r>
            <w:r w:rsidRPr="00BA5C1D">
              <w:rPr>
                <w:spacing w:val="-2"/>
              </w:rPr>
              <w:t xml:space="preserve"> quarter-on-quarter</w:t>
            </w:r>
            <w:r>
              <w:rPr>
                <w:spacing w:val="-2"/>
              </w:rPr>
              <w:t>,</w:t>
            </w:r>
            <w:r w:rsidRPr="00BA5C1D">
              <w:rPr>
                <w:spacing w:val="-2"/>
              </w:rPr>
              <w:t xml:space="preserve"> in real terms in Q2 and its year-on-year increase slowed to 2.0%. This </w:t>
            </w:r>
            <w:r w:rsidR="0021031A">
              <w:rPr>
                <w:spacing w:val="-2"/>
              </w:rPr>
              <w:t xml:space="preserve">represented </w:t>
            </w:r>
            <w:r w:rsidRPr="00BA5C1D">
              <w:rPr>
                <w:spacing w:val="-2"/>
              </w:rPr>
              <w:t>the first quarter-on-quarter decline since the beginning of 2024 and was entirely due to inventory</w:t>
            </w:r>
            <w:r w:rsidR="0021031A" w:rsidRPr="00B131B0">
              <w:rPr>
                <w:rStyle w:val="Znakapoznpodarou"/>
              </w:rPr>
              <w:footnoteReference w:id="4"/>
            </w:r>
            <w:r w:rsidR="0021031A" w:rsidRPr="00B131B0">
              <w:rPr>
                <w:spacing w:val="-2"/>
              </w:rPr>
              <w:t>.</w:t>
            </w:r>
            <w:r w:rsidRPr="00BA5C1D">
              <w:rPr>
                <w:spacing w:val="-2"/>
              </w:rPr>
              <w:t xml:space="preserve"> On the </w:t>
            </w:r>
            <w:r w:rsidR="0021031A">
              <w:rPr>
                <w:spacing w:val="-2"/>
              </w:rPr>
              <w:t>contrary</w:t>
            </w:r>
            <w:r w:rsidRPr="00BA5C1D">
              <w:rPr>
                <w:spacing w:val="-2"/>
              </w:rPr>
              <w:t>, expenditure on gross fixed capital formation (investment activity) increased by 1.5%</w:t>
            </w:r>
            <w:r w:rsidR="0021031A">
              <w:rPr>
                <w:spacing w:val="-2"/>
              </w:rPr>
              <w:t>,</w:t>
            </w:r>
            <w:r w:rsidRPr="00BA5C1D">
              <w:rPr>
                <w:spacing w:val="-2"/>
              </w:rPr>
              <w:t xml:space="preserve"> quarter-on-quarter, thus extending </w:t>
            </w:r>
            <w:r w:rsidR="0021031A">
              <w:rPr>
                <w:spacing w:val="-2"/>
              </w:rPr>
              <w:t xml:space="preserve">more than a year lasting </w:t>
            </w:r>
            <w:r w:rsidRPr="00BA5C1D">
              <w:rPr>
                <w:spacing w:val="-2"/>
              </w:rPr>
              <w:t xml:space="preserve">series of significant quarter-on-quarter increases </w:t>
            </w:r>
            <w:r w:rsidR="0021031A">
              <w:rPr>
                <w:spacing w:val="-2"/>
              </w:rPr>
              <w:t>of</w:t>
            </w:r>
            <w:r w:rsidRPr="00BA5C1D">
              <w:rPr>
                <w:spacing w:val="-2"/>
              </w:rPr>
              <w:t xml:space="preserve"> investment</w:t>
            </w:r>
            <w:r w:rsidR="0021031A">
              <w:rPr>
                <w:spacing w:val="-2"/>
              </w:rPr>
              <w:t xml:space="preserve">. </w:t>
            </w:r>
            <w:r w:rsidRPr="00BA5C1D">
              <w:rPr>
                <w:spacing w:val="-2"/>
              </w:rPr>
              <w:t xml:space="preserve">The year-on-year increase </w:t>
            </w:r>
            <w:r w:rsidR="0021031A">
              <w:rPr>
                <w:spacing w:val="-2"/>
              </w:rPr>
              <w:t>of</w:t>
            </w:r>
            <w:r w:rsidRPr="00BA5C1D">
              <w:rPr>
                <w:spacing w:val="-2"/>
              </w:rPr>
              <w:t xml:space="preserve"> investment strengthened to 7.1% in Q2. The quarter-on-quarter growth </w:t>
            </w:r>
            <w:r w:rsidR="0021031A">
              <w:rPr>
                <w:spacing w:val="-2"/>
              </w:rPr>
              <w:t>of</w:t>
            </w:r>
            <w:r w:rsidRPr="00BA5C1D">
              <w:rPr>
                <w:spacing w:val="-2"/>
              </w:rPr>
              <w:t xml:space="preserve"> investment activity was mostly supported by expenditure on buildings and structures. After a weak Q1, investment in dwellings (9.2%) and other buildings and structures (4.5%) increased significantly</w:t>
            </w:r>
            <w:r w:rsidR="0021031A">
              <w:rPr>
                <w:spacing w:val="-2"/>
              </w:rPr>
              <w:t>,</w:t>
            </w:r>
            <w:r w:rsidRPr="00BA5C1D">
              <w:rPr>
                <w:spacing w:val="-2"/>
              </w:rPr>
              <w:t xml:space="preserve"> </w:t>
            </w:r>
            <w:r w:rsidRPr="00BA5C1D">
              <w:rPr>
                <w:spacing w:val="-2"/>
              </w:rPr>
              <w:lastRenderedPageBreak/>
              <w:t xml:space="preserve">quarter-on-quarter. Quarter-on-quarter growth </w:t>
            </w:r>
            <w:r w:rsidR="0021031A">
              <w:rPr>
                <w:spacing w:val="-2"/>
              </w:rPr>
              <w:t>of</w:t>
            </w:r>
            <w:r w:rsidRPr="00BA5C1D">
              <w:rPr>
                <w:spacing w:val="-2"/>
              </w:rPr>
              <w:t xml:space="preserve"> investment was also influenced by intellectual property products (3.5%) and the otherwise marginal category of cultivated biological resources (61.7%). On the </w:t>
            </w:r>
            <w:r w:rsidR="0021031A">
              <w:rPr>
                <w:spacing w:val="-2"/>
              </w:rPr>
              <w:t>contrary</w:t>
            </w:r>
            <w:r w:rsidRPr="00BA5C1D">
              <w:rPr>
                <w:spacing w:val="-2"/>
              </w:rPr>
              <w:t xml:space="preserve">, expenditure on transport equipment (−4.3%) and ICT and other machinery and equipment (−7.8%) did not follow up on the strong quarter-on-quarter dynamics from Q1. The largest year-on-year increase </w:t>
            </w:r>
            <w:r w:rsidR="0021031A">
              <w:rPr>
                <w:spacing w:val="-2"/>
              </w:rPr>
              <w:t>of</w:t>
            </w:r>
            <w:r w:rsidRPr="00BA5C1D">
              <w:rPr>
                <w:spacing w:val="-2"/>
              </w:rPr>
              <w:t xml:space="preserve"> expenditure was recorded in the above-mentioned cultivated biological resources (53.4%), transport equipment (16.9%), other buildings and structures (13.5%) and dwellings (11.6%). Expenditure on intellectual property products also increased slightly year-on-year (1.6%). The only category where investment declined</w:t>
            </w:r>
            <w:r w:rsidR="0021031A">
              <w:rPr>
                <w:spacing w:val="-2"/>
              </w:rPr>
              <w:t>,</w:t>
            </w:r>
            <w:r w:rsidRPr="00BA5C1D">
              <w:rPr>
                <w:spacing w:val="-2"/>
              </w:rPr>
              <w:t xml:space="preserve"> year-on-year</w:t>
            </w:r>
            <w:r w:rsidR="0021031A">
              <w:rPr>
                <w:spacing w:val="-2"/>
              </w:rPr>
              <w:t>,</w:t>
            </w:r>
            <w:r w:rsidRPr="00BA5C1D">
              <w:rPr>
                <w:spacing w:val="-2"/>
              </w:rPr>
              <w:t xml:space="preserve"> was expenditure on ICT and other machinery and equipment (−3.5%).</w:t>
            </w:r>
            <w:r w:rsidR="0021031A">
              <w:rPr>
                <w:spacing w:val="-2"/>
              </w:rPr>
              <w:t xml:space="preserve">   </w:t>
            </w:r>
            <w:r w:rsidR="006B1AFC" w:rsidRPr="00B131B0">
              <w:rPr>
                <w:spacing w:val="-2"/>
              </w:rPr>
              <w:t xml:space="preserve"> </w:t>
            </w:r>
          </w:p>
        </w:tc>
      </w:tr>
      <w:tr w:rsidR="006B1AFC" w:rsidRPr="00B131B0" w14:paraId="7C3B3388" w14:textId="77777777" w:rsidTr="003C4A79">
        <w:trPr>
          <w:trHeight w:val="154"/>
        </w:trPr>
        <w:tc>
          <w:tcPr>
            <w:tcW w:w="1806" w:type="dxa"/>
            <w:vMerge w:val="restart"/>
            <w:tcMar>
              <w:left w:w="0" w:type="dxa"/>
            </w:tcMar>
          </w:tcPr>
          <w:p w14:paraId="1BF5AD0C" w14:textId="77777777" w:rsidR="006B1AFC" w:rsidRPr="00B131B0" w:rsidRDefault="006B1AFC" w:rsidP="003C4A79">
            <w:pPr>
              <w:pStyle w:val="Marginlie"/>
            </w:pPr>
          </w:p>
        </w:tc>
        <w:tc>
          <w:tcPr>
            <w:tcW w:w="210" w:type="dxa"/>
            <w:vMerge w:val="restart"/>
            <w:tcMar>
              <w:left w:w="0" w:type="dxa"/>
            </w:tcMar>
          </w:tcPr>
          <w:p w14:paraId="3AFC73CF" w14:textId="77777777" w:rsidR="006B1AFC" w:rsidRPr="00B131B0" w:rsidRDefault="006B1AFC" w:rsidP="003C4A79">
            <w:pPr>
              <w:pStyle w:val="Textpoznpodarou"/>
              <w:jc w:val="both"/>
              <w:rPr>
                <w:spacing w:val="-4"/>
              </w:rPr>
            </w:pPr>
          </w:p>
        </w:tc>
        <w:tc>
          <w:tcPr>
            <w:tcW w:w="7623" w:type="dxa"/>
            <w:tcMar>
              <w:left w:w="0" w:type="dxa"/>
            </w:tcMar>
          </w:tcPr>
          <w:p w14:paraId="01F3ACDC" w14:textId="5BD576EC" w:rsidR="006B1AFC" w:rsidRPr="00B131B0" w:rsidRDefault="00BA5C1D" w:rsidP="000E3B90">
            <w:pPr>
              <w:spacing w:after="0"/>
              <w:rPr>
                <w:rStyle w:val="Znakapoznpodarou"/>
              </w:rPr>
            </w:pPr>
            <w:r>
              <w:rPr>
                <w:b/>
                <w:bCs/>
              </w:rPr>
              <w:t xml:space="preserve">Chart </w:t>
            </w:r>
            <w:r w:rsidR="006B1AFC" w:rsidRPr="00B131B0">
              <w:rPr>
                <w:b/>
                <w:bCs/>
              </w:rPr>
              <w:t>3</w:t>
            </w:r>
            <w:r w:rsidR="000E3B90" w:rsidRPr="000E3B90">
              <w:rPr>
                <w:rFonts w:ascii="Segoe UI" w:hAnsi="Segoe UI" w:cs="Segoe UI"/>
                <w:color w:val="000000"/>
                <w:sz w:val="21"/>
                <w:szCs w:val="21"/>
              </w:rPr>
              <w:t xml:space="preserve"> </w:t>
            </w:r>
            <w:r w:rsidR="000E3B90" w:rsidRPr="000E3B90">
              <w:rPr>
                <w:b/>
                <w:bCs/>
              </w:rPr>
              <w:t xml:space="preserve">Structure of quarter-on-quarter growth </w:t>
            </w:r>
            <w:r w:rsidR="000E3B90">
              <w:rPr>
                <w:b/>
                <w:bCs/>
              </w:rPr>
              <w:t>of</w:t>
            </w:r>
            <w:r w:rsidR="000E3B90" w:rsidRPr="000E3B90">
              <w:rPr>
                <w:b/>
                <w:bCs/>
              </w:rPr>
              <w:t xml:space="preserve"> gross fixed capital formation expenditure</w:t>
            </w:r>
            <w:r w:rsidR="000E3B90">
              <w:rPr>
                <w:b/>
                <w:bCs/>
              </w:rPr>
              <w:t xml:space="preserve"> </w:t>
            </w:r>
            <w:r w:rsidR="006B1AFC" w:rsidRPr="00B131B0">
              <w:t>(</w:t>
            </w:r>
            <w:r w:rsidR="00457047">
              <w:t xml:space="preserve">GFCF growth in </w:t>
            </w:r>
            <w:r w:rsidR="006B1AFC" w:rsidRPr="00B131B0">
              <w:t xml:space="preserve">%, </w:t>
            </w:r>
            <w:r w:rsidR="00457047">
              <w:t>contributions in p.p.</w:t>
            </w:r>
            <w:r w:rsidR="006B1AFC" w:rsidRPr="00B131B0">
              <w:t>)</w:t>
            </w:r>
          </w:p>
        </w:tc>
      </w:tr>
      <w:tr w:rsidR="006B1AFC" w:rsidRPr="00B131B0" w14:paraId="67B93312" w14:textId="77777777" w:rsidTr="00331CDB">
        <w:tblPrEx>
          <w:tblCellMar>
            <w:left w:w="70" w:type="dxa"/>
            <w:right w:w="70" w:type="dxa"/>
          </w:tblCellMar>
        </w:tblPrEx>
        <w:trPr>
          <w:trHeight w:val="154"/>
        </w:trPr>
        <w:tc>
          <w:tcPr>
            <w:tcW w:w="1806" w:type="dxa"/>
            <w:vMerge/>
          </w:tcPr>
          <w:p w14:paraId="0634F0C8" w14:textId="77777777" w:rsidR="006B1AFC" w:rsidRPr="00B131B0" w:rsidRDefault="006B1AFC" w:rsidP="003C4A79">
            <w:pPr>
              <w:pStyle w:val="Marginlie"/>
            </w:pPr>
          </w:p>
        </w:tc>
        <w:tc>
          <w:tcPr>
            <w:tcW w:w="210" w:type="dxa"/>
            <w:vMerge/>
          </w:tcPr>
          <w:p w14:paraId="3805E353" w14:textId="77777777" w:rsidR="006B1AFC" w:rsidRPr="00B131B0" w:rsidRDefault="006B1AFC" w:rsidP="003C4A79">
            <w:pPr>
              <w:pStyle w:val="Textpoznpodarou"/>
              <w:jc w:val="both"/>
              <w:rPr>
                <w:spacing w:val="-4"/>
              </w:rPr>
            </w:pPr>
          </w:p>
        </w:tc>
        <w:tc>
          <w:tcPr>
            <w:tcW w:w="7623" w:type="dxa"/>
          </w:tcPr>
          <w:p w14:paraId="54EEC99B" w14:textId="43658926" w:rsidR="006B1AFC" w:rsidRPr="00B131B0" w:rsidRDefault="00331CDB" w:rsidP="003C4A79">
            <w:pPr>
              <w:spacing w:after="0"/>
              <w:rPr>
                <w:rStyle w:val="Znakapoznpodarou"/>
              </w:rPr>
            </w:pPr>
            <w:r>
              <w:rPr>
                <w:noProof/>
              </w:rPr>
              <w:drawing>
                <wp:inline distT="0" distB="0" distL="0" distR="0" wp14:anchorId="294B4F4C" wp14:editId="492DDDF1">
                  <wp:extent cx="4737600" cy="3553200"/>
                  <wp:effectExtent l="0" t="0" r="6350" b="0"/>
                  <wp:docPr id="1713575063" name="Graf 1">
                    <a:extLst xmlns:a="http://schemas.openxmlformats.org/drawingml/2006/main">
                      <a:ext uri="{FF2B5EF4-FFF2-40B4-BE49-F238E27FC236}">
                        <a16:creationId xmlns:a16="http://schemas.microsoft.com/office/drawing/2014/main" id="{69F496AB-27B3-4C7E-8F02-37CDDE3E76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6B1AFC" w:rsidRPr="00B131B0" w14:paraId="04B3368C" w14:textId="77777777" w:rsidTr="003C4A79">
        <w:trPr>
          <w:trHeight w:val="154"/>
        </w:trPr>
        <w:tc>
          <w:tcPr>
            <w:tcW w:w="1806" w:type="dxa"/>
            <w:vMerge/>
            <w:tcMar>
              <w:left w:w="0" w:type="dxa"/>
            </w:tcMar>
          </w:tcPr>
          <w:p w14:paraId="46E92BBB" w14:textId="77777777" w:rsidR="006B1AFC" w:rsidRPr="00B131B0" w:rsidRDefault="006B1AFC" w:rsidP="003C4A79">
            <w:pPr>
              <w:pStyle w:val="Marginlie"/>
            </w:pPr>
          </w:p>
        </w:tc>
        <w:tc>
          <w:tcPr>
            <w:tcW w:w="210" w:type="dxa"/>
            <w:vMerge/>
            <w:tcMar>
              <w:left w:w="0" w:type="dxa"/>
            </w:tcMar>
          </w:tcPr>
          <w:p w14:paraId="7A3F77E0" w14:textId="77777777" w:rsidR="006B1AFC" w:rsidRPr="00B131B0" w:rsidRDefault="006B1AFC" w:rsidP="003C4A79">
            <w:pPr>
              <w:pStyle w:val="Textpoznpodarou"/>
              <w:jc w:val="both"/>
              <w:rPr>
                <w:spacing w:val="-4"/>
              </w:rPr>
            </w:pPr>
          </w:p>
        </w:tc>
        <w:tc>
          <w:tcPr>
            <w:tcW w:w="7623" w:type="dxa"/>
            <w:tcMar>
              <w:left w:w="0" w:type="dxa"/>
            </w:tcMar>
          </w:tcPr>
          <w:p w14:paraId="6FE6CF7F" w14:textId="1CAB0D12" w:rsidR="000E3B90" w:rsidRPr="000E3B90" w:rsidRDefault="000E3B90" w:rsidP="00331CDB">
            <w:pPr>
              <w:rPr>
                <w:rStyle w:val="Znakapoznpodarou"/>
                <w:b/>
                <w:bCs/>
                <w:sz w:val="18"/>
                <w:szCs w:val="18"/>
              </w:rPr>
            </w:pPr>
            <w:r>
              <w:rPr>
                <w:sz w:val="16"/>
                <w:szCs w:val="16"/>
              </w:rPr>
              <w:t>Source</w:t>
            </w:r>
            <w:r w:rsidR="006B1AFC" w:rsidRPr="00B131B0">
              <w:rPr>
                <w:sz w:val="16"/>
                <w:szCs w:val="16"/>
              </w:rPr>
              <w:t xml:space="preserve">: </w:t>
            </w:r>
            <w:r>
              <w:rPr>
                <w:sz w:val="16"/>
                <w:szCs w:val="16"/>
              </w:rPr>
              <w:t>CZSO</w:t>
            </w:r>
          </w:p>
        </w:tc>
      </w:tr>
      <w:tr w:rsidR="00F3443C" w:rsidRPr="00B131B0" w14:paraId="2CFE3A50" w14:textId="77777777" w:rsidTr="003C4A79">
        <w:trPr>
          <w:trHeight w:val="145"/>
        </w:trPr>
        <w:tc>
          <w:tcPr>
            <w:tcW w:w="1806" w:type="dxa"/>
            <w:tcMar>
              <w:left w:w="0" w:type="dxa"/>
            </w:tcMar>
          </w:tcPr>
          <w:p w14:paraId="6A4052A0" w14:textId="4FDA201F" w:rsidR="00F3443C" w:rsidRPr="00B131B0" w:rsidRDefault="00457047" w:rsidP="00457047">
            <w:pPr>
              <w:pStyle w:val="Marginlie"/>
            </w:pPr>
            <w:r w:rsidRPr="00457047">
              <w:t xml:space="preserve">The </w:t>
            </w:r>
            <w:r w:rsidR="008E4A1C">
              <w:t xml:space="preserve">international </w:t>
            </w:r>
            <w:r w:rsidRPr="00457047">
              <w:t>trade balance at current prices deteriorated</w:t>
            </w:r>
            <w:r w:rsidR="008E4A1C">
              <w:t>,</w:t>
            </w:r>
            <w:r w:rsidRPr="00457047">
              <w:t xml:space="preserve"> year-on-</w:t>
            </w:r>
            <w:r w:rsidR="00FE59C6">
              <w:t>y</w:t>
            </w:r>
            <w:r w:rsidRPr="00457047">
              <w:t>ear</w:t>
            </w:r>
            <w:r w:rsidR="008E4A1C">
              <w:t>,</w:t>
            </w:r>
            <w:r w:rsidRPr="00457047">
              <w:t xml:space="preserve"> and quarter-on-quarter.</w:t>
            </w:r>
          </w:p>
        </w:tc>
        <w:tc>
          <w:tcPr>
            <w:tcW w:w="210" w:type="dxa"/>
            <w:tcMar>
              <w:left w:w="0" w:type="dxa"/>
            </w:tcMar>
          </w:tcPr>
          <w:p w14:paraId="40AEC60D" w14:textId="77777777" w:rsidR="00F3443C" w:rsidRPr="00B131B0" w:rsidRDefault="00F3443C" w:rsidP="00F3443C">
            <w:pPr>
              <w:pStyle w:val="Textpoznpodarou"/>
              <w:jc w:val="both"/>
              <w:rPr>
                <w:spacing w:val="-4"/>
              </w:rPr>
            </w:pPr>
          </w:p>
        </w:tc>
        <w:tc>
          <w:tcPr>
            <w:tcW w:w="7623" w:type="dxa"/>
            <w:tcMar>
              <w:left w:w="0" w:type="dxa"/>
            </w:tcMar>
          </w:tcPr>
          <w:p w14:paraId="0BF0B937" w14:textId="6A622571" w:rsidR="00F47341" w:rsidRPr="00B131B0" w:rsidRDefault="00457047" w:rsidP="00AF104F">
            <w:r w:rsidRPr="00457047">
              <w:t xml:space="preserve">The strongly positive effect of external demand on quarter-on-quarter GDP growth in Q2 was due to the strengthening of quarter-on-quarter growth </w:t>
            </w:r>
            <w:r w:rsidR="00BF46DD">
              <w:t>of</w:t>
            </w:r>
            <w:r w:rsidRPr="00457047">
              <w:t xml:space="preserve"> exports of goods and services</w:t>
            </w:r>
            <w:r w:rsidR="00BF46DD" w:rsidRPr="00B131B0">
              <w:rPr>
                <w:rStyle w:val="Znakapoznpodarou"/>
              </w:rPr>
              <w:footnoteReference w:id="5"/>
            </w:r>
            <w:r w:rsidR="00BF46DD" w:rsidRPr="00B131B0">
              <w:t xml:space="preserve"> </w:t>
            </w:r>
            <w:r w:rsidRPr="00457047">
              <w:t>to 0.9%, while imports stagnated. The recovery was mainly related to exports of goods (1.1%</w:t>
            </w:r>
            <w:r w:rsidR="003E40FE">
              <w:t>,</w:t>
            </w:r>
            <w:r w:rsidRPr="00457047">
              <w:t xml:space="preserve"> quarter-on-quarter), while exports </w:t>
            </w:r>
            <w:r w:rsidR="00666348">
              <w:t xml:space="preserve">of services </w:t>
            </w:r>
            <w:r w:rsidRPr="00457047">
              <w:t xml:space="preserve">remained unchanged in real terms. On the </w:t>
            </w:r>
            <w:r w:rsidR="00E16F6F">
              <w:t>contrary</w:t>
            </w:r>
            <w:r w:rsidRPr="00457047">
              <w:t xml:space="preserve">, quarter-on-quarter growth </w:t>
            </w:r>
            <w:r w:rsidR="007F24F4">
              <w:t>of</w:t>
            </w:r>
            <w:r w:rsidRPr="00457047">
              <w:t xml:space="preserve"> imports of goods moderated to 0.2% and for services there was a decrease by 0.9%. Year-on-year growth </w:t>
            </w:r>
            <w:r w:rsidR="007F24F4">
              <w:t>of</w:t>
            </w:r>
            <w:r w:rsidRPr="00457047">
              <w:t xml:space="preserve"> exports of goods and services accelerated to 3.3%. Despite the weakening of import growth to 3.7%, however, the year-on-year growth rate of exports lagged behind imports for the seventh quarter in a row. The balance of </w:t>
            </w:r>
            <w:r w:rsidR="00FF735D">
              <w:t xml:space="preserve">international </w:t>
            </w:r>
            <w:r w:rsidRPr="00457047">
              <w:t xml:space="preserve">trade </w:t>
            </w:r>
            <w:r w:rsidR="00FF735D">
              <w:t>of</w:t>
            </w:r>
            <w:r w:rsidRPr="00457047">
              <w:t xml:space="preserve"> goods and services reached a surplus of 99.0 b</w:t>
            </w:r>
            <w:r w:rsidR="00566404">
              <w:t xml:space="preserve">n CZK </w:t>
            </w:r>
            <w:r w:rsidRPr="00457047">
              <w:t xml:space="preserve">in </w:t>
            </w:r>
            <w:r w:rsidR="00566404">
              <w:t>Q</w:t>
            </w:r>
            <w:r w:rsidRPr="00457047">
              <w:t>2. The positive balance deteriorated by 20.5 b</w:t>
            </w:r>
            <w:r w:rsidR="00F01B67">
              <w:t xml:space="preserve">n CZK, </w:t>
            </w:r>
            <w:r w:rsidRPr="00457047">
              <w:t>year-on-year, solely due to a worse result</w:t>
            </w:r>
            <w:r w:rsidR="00DF66E4">
              <w:t xml:space="preserve"> of the international </w:t>
            </w:r>
            <w:r w:rsidRPr="00457047">
              <w:t xml:space="preserve">trade </w:t>
            </w:r>
            <w:r w:rsidR="00DF66E4">
              <w:t xml:space="preserve">with </w:t>
            </w:r>
            <w:r w:rsidRPr="00457047">
              <w:t>goods (−23.5 b</w:t>
            </w:r>
            <w:r w:rsidR="00DF66E4">
              <w:t>n</w:t>
            </w:r>
            <w:r w:rsidRPr="00457047">
              <w:t>). Quarter-on-quarter, the balance surplus decreased by 9.6 b</w:t>
            </w:r>
            <w:r w:rsidR="00EB4258">
              <w:t>n CZK</w:t>
            </w:r>
            <w:r w:rsidRPr="00457047">
              <w:t xml:space="preserve">, again solely due to trade </w:t>
            </w:r>
            <w:r w:rsidR="00EB4258">
              <w:t xml:space="preserve">with </w:t>
            </w:r>
            <w:r w:rsidRPr="00457047">
              <w:t>(−10.1 b</w:t>
            </w:r>
            <w:r w:rsidR="00EB4258">
              <w:t>n</w:t>
            </w:r>
            <w:r w:rsidRPr="00457047">
              <w:t>).</w:t>
            </w:r>
            <w:r w:rsidR="00566404">
              <w:t xml:space="preserve"> </w:t>
            </w:r>
          </w:p>
        </w:tc>
      </w:tr>
      <w:tr w:rsidR="006045F0" w:rsidRPr="00B131B0" w14:paraId="6A04BB7E" w14:textId="77777777" w:rsidTr="003C4A79">
        <w:trPr>
          <w:trHeight w:val="145"/>
        </w:trPr>
        <w:tc>
          <w:tcPr>
            <w:tcW w:w="1806" w:type="dxa"/>
            <w:tcMar>
              <w:left w:w="0" w:type="dxa"/>
            </w:tcMar>
          </w:tcPr>
          <w:p w14:paraId="51C2CC96" w14:textId="77777777" w:rsidR="00B402A2" w:rsidRDefault="00B402A2" w:rsidP="006045F0">
            <w:pPr>
              <w:pStyle w:val="Marginlie"/>
            </w:pPr>
          </w:p>
          <w:p w14:paraId="2B1985C8" w14:textId="6C27E681" w:rsidR="006045F0" w:rsidRDefault="006045F0" w:rsidP="006045F0">
            <w:pPr>
              <w:pStyle w:val="Marginlie"/>
            </w:pPr>
            <w:r w:rsidRPr="00A434DE">
              <w:lastRenderedPageBreak/>
              <w:t xml:space="preserve">The growth </w:t>
            </w:r>
            <w:r>
              <w:t xml:space="preserve">of </w:t>
            </w:r>
            <w:r w:rsidRPr="00A434DE">
              <w:t xml:space="preserve">the </w:t>
            </w:r>
            <w:r>
              <w:t xml:space="preserve">total </w:t>
            </w:r>
            <w:r w:rsidRPr="00A434DE">
              <w:t xml:space="preserve">price level strengthened in </w:t>
            </w:r>
            <w:r>
              <w:t>Q</w:t>
            </w:r>
            <w:r w:rsidRPr="00A434DE">
              <w:t>2.</w:t>
            </w:r>
          </w:p>
        </w:tc>
        <w:tc>
          <w:tcPr>
            <w:tcW w:w="210" w:type="dxa"/>
            <w:tcMar>
              <w:left w:w="0" w:type="dxa"/>
            </w:tcMar>
          </w:tcPr>
          <w:p w14:paraId="0D2E035B" w14:textId="77777777" w:rsidR="006045F0" w:rsidRPr="00B131B0" w:rsidRDefault="006045F0" w:rsidP="006045F0">
            <w:pPr>
              <w:pStyle w:val="Textpoznpodarou"/>
              <w:jc w:val="both"/>
              <w:rPr>
                <w:spacing w:val="-4"/>
              </w:rPr>
            </w:pPr>
          </w:p>
        </w:tc>
        <w:tc>
          <w:tcPr>
            <w:tcW w:w="7623" w:type="dxa"/>
            <w:tcMar>
              <w:left w:w="0" w:type="dxa"/>
            </w:tcMar>
          </w:tcPr>
          <w:p w14:paraId="3943684A" w14:textId="1FC7078E" w:rsidR="006045F0" w:rsidRPr="00325F8D" w:rsidRDefault="006045F0" w:rsidP="006045F0">
            <w:pPr>
              <w:rPr>
                <w:lang w:val="en"/>
              </w:rPr>
            </w:pPr>
            <w:r w:rsidRPr="00D16D70">
              <w:t>The total price level</w:t>
            </w:r>
            <w:r>
              <w:t xml:space="preserve"> gauged </w:t>
            </w:r>
            <w:r w:rsidRPr="00D16D70">
              <w:t xml:space="preserve">by the GDP deflator, increased by 1.0%, quarter on quarter, in Q2. The significant </w:t>
            </w:r>
            <w:r>
              <w:t xml:space="preserve">rise of </w:t>
            </w:r>
            <w:r w:rsidRPr="00D16D70">
              <w:t xml:space="preserve">the consumption price level (1.7%) was mainly influenced </w:t>
            </w:r>
            <w:r w:rsidRPr="00D16D70">
              <w:lastRenderedPageBreak/>
              <w:t>by the general government sector (4.0%), while the increase in the price level of household consumption was only moderate (0.8%). Capital expenditure prices were 3.4% higher</w:t>
            </w:r>
            <w:r>
              <w:t>,</w:t>
            </w:r>
            <w:r w:rsidRPr="00D16D70">
              <w:t xml:space="preserve"> quarter-on-quarter, of which the investment price level increased by 1.4%. In Q2, quarter-on-quarter growth </w:t>
            </w:r>
            <w:r>
              <w:t>of</w:t>
            </w:r>
            <w:r w:rsidRPr="00D16D70">
              <w:t xml:space="preserve"> export prices of goods and services (2.2%) lagged </w:t>
            </w:r>
            <w:r>
              <w:t xml:space="preserve">considerably </w:t>
            </w:r>
            <w:r w:rsidRPr="00D16D70">
              <w:t xml:space="preserve">behind import price growth (4.2%) and the terms of trade were thus negative (98.1%). The year-on-year increase </w:t>
            </w:r>
            <w:r>
              <w:t>of</w:t>
            </w:r>
            <w:r w:rsidRPr="00D16D70">
              <w:t xml:space="preserve"> the price level slowed to 2.6%. Growth </w:t>
            </w:r>
            <w:r>
              <w:t>of</w:t>
            </w:r>
            <w:r w:rsidRPr="00D16D70">
              <w:t xml:space="preserve"> consumer prices (3.4%, </w:t>
            </w:r>
            <w:r>
              <w:t xml:space="preserve">in that </w:t>
            </w:r>
            <w:r w:rsidRPr="00D16D70">
              <w:t>household consumption prices grew steadily by 2.4%) a</w:t>
            </w:r>
            <w:r>
              <w:t xml:space="preserve">s well as </w:t>
            </w:r>
            <w:r w:rsidRPr="00D16D70">
              <w:t xml:space="preserve">capital expenditure (4.5%, </w:t>
            </w:r>
            <w:r>
              <w:t xml:space="preserve">in that </w:t>
            </w:r>
            <w:r w:rsidRPr="00D16D70">
              <w:t>investment slowed</w:t>
            </w:r>
            <w:r>
              <w:t xml:space="preserve"> the price growth</w:t>
            </w:r>
            <w:r w:rsidRPr="00D16D70">
              <w:t xml:space="preserve"> down to 3.1%) w</w:t>
            </w:r>
            <w:r>
              <w:t>as</w:t>
            </w:r>
            <w:r w:rsidRPr="00D16D70">
              <w:t xml:space="preserve"> higher. Year-on-year terms of </w:t>
            </w:r>
            <w:r>
              <w:t>international t</w:t>
            </w:r>
            <w:r w:rsidRPr="00D16D70">
              <w:t xml:space="preserve">rade </w:t>
            </w:r>
            <w:r>
              <w:t xml:space="preserve">of </w:t>
            </w:r>
            <w:r w:rsidRPr="00D16D70">
              <w:t>goods and services reached 98.6%.</w:t>
            </w:r>
            <w:r>
              <w:t xml:space="preserve"> </w:t>
            </w:r>
          </w:p>
        </w:tc>
      </w:tr>
      <w:tr w:rsidR="00B554E0" w:rsidRPr="00B131B0" w14:paraId="1A42D869" w14:textId="77777777" w:rsidTr="00B554E0">
        <w:trPr>
          <w:trHeight w:val="170"/>
        </w:trPr>
        <w:tc>
          <w:tcPr>
            <w:tcW w:w="1806" w:type="dxa"/>
            <w:vMerge w:val="restart"/>
            <w:tcMar>
              <w:left w:w="0" w:type="dxa"/>
            </w:tcMar>
          </w:tcPr>
          <w:p w14:paraId="318D5FC6" w14:textId="77777777" w:rsidR="00B554E0" w:rsidRDefault="00B554E0" w:rsidP="00B554E0">
            <w:pPr>
              <w:pStyle w:val="Marginlie"/>
            </w:pPr>
          </w:p>
        </w:tc>
        <w:tc>
          <w:tcPr>
            <w:tcW w:w="210" w:type="dxa"/>
            <w:vMerge w:val="restart"/>
            <w:tcMar>
              <w:left w:w="0" w:type="dxa"/>
            </w:tcMar>
          </w:tcPr>
          <w:p w14:paraId="17A0077F" w14:textId="77777777" w:rsidR="00B554E0" w:rsidRPr="00B131B0" w:rsidRDefault="00B554E0" w:rsidP="00B554E0">
            <w:pPr>
              <w:pStyle w:val="Textpoznpodarou"/>
              <w:jc w:val="both"/>
              <w:rPr>
                <w:spacing w:val="-4"/>
              </w:rPr>
            </w:pPr>
          </w:p>
        </w:tc>
        <w:tc>
          <w:tcPr>
            <w:tcW w:w="7623" w:type="dxa"/>
            <w:tcMar>
              <w:left w:w="0" w:type="dxa"/>
            </w:tcMar>
          </w:tcPr>
          <w:p w14:paraId="714C616F" w14:textId="4D8CDEDF" w:rsidR="00B554E0" w:rsidRPr="00325F8D" w:rsidRDefault="00B554E0" w:rsidP="00B554E0">
            <w:pPr>
              <w:spacing w:after="0"/>
              <w:rPr>
                <w:lang w:val="en"/>
              </w:rPr>
            </w:pPr>
            <w:r>
              <w:rPr>
                <w:b/>
                <w:szCs w:val="20"/>
              </w:rPr>
              <w:t xml:space="preserve">Chart </w:t>
            </w:r>
            <w:r w:rsidRPr="00B131B0">
              <w:rPr>
                <w:b/>
                <w:szCs w:val="20"/>
              </w:rPr>
              <w:t xml:space="preserve">4 </w:t>
            </w:r>
            <w:r w:rsidRPr="001A0A01">
              <w:rPr>
                <w:b/>
                <w:szCs w:val="20"/>
              </w:rPr>
              <w:t xml:space="preserve">Contributions of branches to real change in </w:t>
            </w:r>
            <w:r>
              <w:rPr>
                <w:b/>
                <w:szCs w:val="20"/>
              </w:rPr>
              <w:t xml:space="preserve">gross value added </w:t>
            </w:r>
            <w:r w:rsidRPr="001A0A01">
              <w:rPr>
                <w:bCs/>
                <w:szCs w:val="20"/>
              </w:rPr>
              <w:t>(</w:t>
            </w:r>
            <w:r>
              <w:rPr>
                <w:bCs/>
                <w:szCs w:val="20"/>
              </w:rPr>
              <w:t>quarter-on-quarter growth</w:t>
            </w:r>
            <w:r w:rsidRPr="001A0A01">
              <w:rPr>
                <w:bCs/>
                <w:szCs w:val="20"/>
              </w:rPr>
              <w:t>, year-on-year contributions in p.</w:t>
            </w:r>
            <w:r>
              <w:rPr>
                <w:bCs/>
                <w:szCs w:val="20"/>
              </w:rPr>
              <w:t xml:space="preserve"> </w:t>
            </w:r>
            <w:r w:rsidRPr="001A0A01">
              <w:rPr>
                <w:bCs/>
                <w:szCs w:val="20"/>
              </w:rPr>
              <w:t xml:space="preserve">p., GVA in %) </w:t>
            </w:r>
          </w:p>
        </w:tc>
      </w:tr>
      <w:tr w:rsidR="00B554E0" w:rsidRPr="00B131B0" w14:paraId="2C1600C9" w14:textId="77777777" w:rsidTr="00B554E0">
        <w:trPr>
          <w:trHeight w:val="170"/>
        </w:trPr>
        <w:tc>
          <w:tcPr>
            <w:tcW w:w="1806" w:type="dxa"/>
            <w:vMerge/>
            <w:tcMar>
              <w:left w:w="0" w:type="dxa"/>
            </w:tcMar>
          </w:tcPr>
          <w:p w14:paraId="5F8C30DB" w14:textId="77777777" w:rsidR="00B554E0" w:rsidRDefault="00B554E0" w:rsidP="00B554E0">
            <w:pPr>
              <w:pStyle w:val="Marginlie"/>
            </w:pPr>
          </w:p>
        </w:tc>
        <w:tc>
          <w:tcPr>
            <w:tcW w:w="210" w:type="dxa"/>
            <w:vMerge/>
            <w:tcMar>
              <w:left w:w="0" w:type="dxa"/>
            </w:tcMar>
          </w:tcPr>
          <w:p w14:paraId="203B34E0" w14:textId="77777777" w:rsidR="00B554E0" w:rsidRPr="00B131B0" w:rsidRDefault="00B554E0" w:rsidP="00B554E0">
            <w:pPr>
              <w:pStyle w:val="Textpoznpodarou"/>
              <w:jc w:val="both"/>
              <w:rPr>
                <w:spacing w:val="-4"/>
              </w:rPr>
            </w:pPr>
          </w:p>
        </w:tc>
        <w:tc>
          <w:tcPr>
            <w:tcW w:w="7623" w:type="dxa"/>
            <w:tcMar>
              <w:left w:w="0" w:type="dxa"/>
            </w:tcMar>
          </w:tcPr>
          <w:p w14:paraId="1A683DC2" w14:textId="304EE60E" w:rsidR="00B554E0" w:rsidRPr="00325F8D" w:rsidRDefault="00B554E0" w:rsidP="00B554E0">
            <w:pPr>
              <w:spacing w:after="0"/>
              <w:rPr>
                <w:lang w:val="en"/>
              </w:rPr>
            </w:pPr>
            <w:r>
              <w:rPr>
                <w:noProof/>
              </w:rPr>
              <w:drawing>
                <wp:inline distT="0" distB="0" distL="0" distR="0" wp14:anchorId="5DDC8724" wp14:editId="70396B08">
                  <wp:extent cx="4734425" cy="3486525"/>
                  <wp:effectExtent l="0" t="0" r="0" b="0"/>
                  <wp:docPr id="2118072033" name="Graf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B554E0" w:rsidRPr="00B131B0" w14:paraId="5368C9B9" w14:textId="77777777" w:rsidTr="00B554E0">
        <w:trPr>
          <w:trHeight w:val="170"/>
        </w:trPr>
        <w:tc>
          <w:tcPr>
            <w:tcW w:w="1806" w:type="dxa"/>
            <w:vMerge/>
            <w:tcMar>
              <w:left w:w="0" w:type="dxa"/>
            </w:tcMar>
          </w:tcPr>
          <w:p w14:paraId="6328F988" w14:textId="77777777" w:rsidR="00B554E0" w:rsidRDefault="00B554E0" w:rsidP="00B554E0">
            <w:pPr>
              <w:pStyle w:val="Marginlie"/>
            </w:pPr>
          </w:p>
        </w:tc>
        <w:tc>
          <w:tcPr>
            <w:tcW w:w="210" w:type="dxa"/>
            <w:vMerge/>
            <w:tcMar>
              <w:left w:w="0" w:type="dxa"/>
            </w:tcMar>
          </w:tcPr>
          <w:p w14:paraId="35F9C06E" w14:textId="77777777" w:rsidR="00B554E0" w:rsidRPr="00B131B0" w:rsidRDefault="00B554E0" w:rsidP="00B554E0">
            <w:pPr>
              <w:pStyle w:val="Textpoznpodarou"/>
              <w:jc w:val="both"/>
              <w:rPr>
                <w:spacing w:val="-4"/>
              </w:rPr>
            </w:pPr>
          </w:p>
        </w:tc>
        <w:tc>
          <w:tcPr>
            <w:tcW w:w="7623" w:type="dxa"/>
            <w:tcMar>
              <w:left w:w="0" w:type="dxa"/>
            </w:tcMar>
          </w:tcPr>
          <w:p w14:paraId="495816A0" w14:textId="65CC14E1" w:rsidR="00B554E0" w:rsidRPr="00325F8D" w:rsidRDefault="00B554E0" w:rsidP="00B554E0">
            <w:pPr>
              <w:rPr>
                <w:lang w:val="en"/>
              </w:rPr>
            </w:pPr>
            <w:r>
              <w:rPr>
                <w:sz w:val="16"/>
                <w:szCs w:val="16"/>
              </w:rPr>
              <w:t>Source</w:t>
            </w:r>
            <w:r w:rsidRPr="00B131B0">
              <w:rPr>
                <w:sz w:val="16"/>
                <w:szCs w:val="16"/>
              </w:rPr>
              <w:t xml:space="preserve">: </w:t>
            </w:r>
            <w:r>
              <w:rPr>
                <w:sz w:val="16"/>
                <w:szCs w:val="16"/>
              </w:rPr>
              <w:t>CZSO</w:t>
            </w:r>
          </w:p>
        </w:tc>
      </w:tr>
      <w:tr w:rsidR="00B554E0" w:rsidRPr="00B131B0" w14:paraId="7AE9B813" w14:textId="77777777" w:rsidTr="003C4A79">
        <w:trPr>
          <w:trHeight w:val="145"/>
        </w:trPr>
        <w:tc>
          <w:tcPr>
            <w:tcW w:w="1806" w:type="dxa"/>
            <w:tcMar>
              <w:left w:w="0" w:type="dxa"/>
            </w:tcMar>
          </w:tcPr>
          <w:p w14:paraId="300FE5E8" w14:textId="7445B845" w:rsidR="00B554E0" w:rsidRPr="00B131B0" w:rsidRDefault="00B554E0" w:rsidP="00B554E0">
            <w:pPr>
              <w:pStyle w:val="Marginlie"/>
            </w:pPr>
            <w:r>
              <w:t>Both i</w:t>
            </w:r>
            <w:r w:rsidRPr="00A8051D">
              <w:t>ndustry and services contributed to the growth of the supply side of the economy.</w:t>
            </w:r>
            <w:r>
              <w:t xml:space="preserve"> </w:t>
            </w:r>
          </w:p>
        </w:tc>
        <w:tc>
          <w:tcPr>
            <w:tcW w:w="210" w:type="dxa"/>
            <w:tcMar>
              <w:left w:w="0" w:type="dxa"/>
            </w:tcMar>
          </w:tcPr>
          <w:p w14:paraId="6CF3BCC3" w14:textId="77777777" w:rsidR="00B554E0" w:rsidRPr="00B131B0" w:rsidRDefault="00B554E0" w:rsidP="00B554E0">
            <w:pPr>
              <w:pStyle w:val="Textpoznpodarou"/>
              <w:jc w:val="both"/>
              <w:rPr>
                <w:spacing w:val="-4"/>
              </w:rPr>
            </w:pPr>
          </w:p>
        </w:tc>
        <w:tc>
          <w:tcPr>
            <w:tcW w:w="7623" w:type="dxa"/>
            <w:tcMar>
              <w:left w:w="0" w:type="dxa"/>
            </w:tcMar>
          </w:tcPr>
          <w:p w14:paraId="5D9D699E" w14:textId="7D6DF84A" w:rsidR="00B554E0" w:rsidRPr="00B131B0" w:rsidRDefault="00B554E0" w:rsidP="00B554E0">
            <w:r w:rsidRPr="00325F8D">
              <w:rPr>
                <w:lang w:val="en"/>
              </w:rPr>
              <w:t>Even in the case of gross value added (GVA), the quarter-on-quarter increase accelerated after the slowdown at the beginning of the year and reached 0.4% in</w:t>
            </w:r>
            <w:r>
              <w:rPr>
                <w:lang w:val="en"/>
              </w:rPr>
              <w:t xml:space="preserve"> Q</w:t>
            </w:r>
            <w:r w:rsidRPr="00325F8D">
              <w:rPr>
                <w:lang w:val="en"/>
              </w:rPr>
              <w:t xml:space="preserve">2. The recovery </w:t>
            </w:r>
            <w:r>
              <w:rPr>
                <w:lang w:val="en"/>
              </w:rPr>
              <w:t>of</w:t>
            </w:r>
            <w:r w:rsidRPr="00325F8D">
              <w:rPr>
                <w:lang w:val="en"/>
              </w:rPr>
              <w:t xml:space="preserve"> GVA growth was mainly </w:t>
            </w:r>
            <w:r>
              <w:rPr>
                <w:lang w:val="en"/>
              </w:rPr>
              <w:t xml:space="preserve">the result of </w:t>
            </w:r>
            <w:r w:rsidRPr="00325F8D">
              <w:rPr>
                <w:lang w:val="en"/>
              </w:rPr>
              <w:t xml:space="preserve">developments in industry, where the section followed the decline at the beginning of the year with a significant increase (see Table 1). </w:t>
            </w:r>
            <w:r>
              <w:rPr>
                <w:lang w:val="en"/>
              </w:rPr>
              <w:t>T</w:t>
            </w:r>
            <w:r w:rsidRPr="00325F8D">
              <w:rPr>
                <w:lang w:val="en"/>
              </w:rPr>
              <w:t>he recovery was milder</w:t>
            </w:r>
            <w:r>
              <w:rPr>
                <w:lang w:val="en"/>
              </w:rPr>
              <w:t xml:space="preserve"> in manufacturing itself</w:t>
            </w:r>
            <w:r w:rsidRPr="00325F8D">
              <w:rPr>
                <w:lang w:val="en"/>
              </w:rPr>
              <w:t xml:space="preserve">, and non-manufacturing </w:t>
            </w:r>
            <w:r>
              <w:rPr>
                <w:lang w:val="en"/>
              </w:rPr>
              <w:t xml:space="preserve">branches </w:t>
            </w:r>
            <w:r w:rsidRPr="00325F8D">
              <w:rPr>
                <w:lang w:val="en"/>
              </w:rPr>
              <w:t xml:space="preserve">contributed more to </w:t>
            </w:r>
            <w:r>
              <w:rPr>
                <w:lang w:val="en"/>
              </w:rPr>
              <w:t xml:space="preserve">total </w:t>
            </w:r>
            <w:r w:rsidRPr="00325F8D">
              <w:rPr>
                <w:lang w:val="en"/>
              </w:rPr>
              <w:t xml:space="preserve">GVA growth, quite uncharacteristically. </w:t>
            </w:r>
            <w:r>
              <w:rPr>
                <w:lang w:val="en"/>
              </w:rPr>
              <w:t>Services continued to be t</w:t>
            </w:r>
            <w:r w:rsidRPr="00325F8D">
              <w:rPr>
                <w:lang w:val="en"/>
              </w:rPr>
              <w:t>he main driver of quarter-on-quarter GVA growth</w:t>
            </w:r>
            <w:r>
              <w:rPr>
                <w:lang w:val="en"/>
              </w:rPr>
              <w:t xml:space="preserve">, holding </w:t>
            </w:r>
            <w:r w:rsidRPr="00325F8D">
              <w:rPr>
                <w:lang w:val="en"/>
              </w:rPr>
              <w:t xml:space="preserve">this role for more than two years. </w:t>
            </w:r>
            <w:r>
              <w:rPr>
                <w:lang w:val="en"/>
              </w:rPr>
              <w:t>In Q2, t</w:t>
            </w:r>
            <w:r w:rsidRPr="00325F8D">
              <w:rPr>
                <w:lang w:val="en"/>
              </w:rPr>
              <w:t xml:space="preserve">he quarter-on-quarter growth of GVA was supported mainly by the financial and insurance </w:t>
            </w:r>
            <w:r>
              <w:rPr>
                <w:lang w:val="en"/>
              </w:rPr>
              <w:t>activities</w:t>
            </w:r>
            <w:r w:rsidRPr="00325F8D">
              <w:rPr>
                <w:lang w:val="en"/>
              </w:rPr>
              <w:t xml:space="preserve">, where GVA increased the most </w:t>
            </w:r>
            <w:r>
              <w:rPr>
                <w:lang w:val="en"/>
              </w:rPr>
              <w:t xml:space="preserve">among </w:t>
            </w:r>
            <w:r w:rsidRPr="00325F8D">
              <w:rPr>
                <w:lang w:val="en"/>
              </w:rPr>
              <w:t xml:space="preserve">all the monitored </w:t>
            </w:r>
            <w:r>
              <w:rPr>
                <w:lang w:val="en"/>
              </w:rPr>
              <w:t>branches</w:t>
            </w:r>
            <w:r w:rsidRPr="00325F8D">
              <w:rPr>
                <w:lang w:val="en"/>
              </w:rPr>
              <w:t>, followed by real estate activities and also by the slightly growing but weight-important grouping of trade, transport, accommodation and food service</w:t>
            </w:r>
            <w:r>
              <w:rPr>
                <w:lang w:val="en"/>
              </w:rPr>
              <w:t xml:space="preserve"> activities</w:t>
            </w:r>
            <w:r w:rsidRPr="00325F8D">
              <w:rPr>
                <w:lang w:val="en"/>
              </w:rPr>
              <w:t xml:space="preserve">. A quarter-on-quarter decrease was recorded in agriculture, forestry and fishing, other activities and information and communication. The year-on-year increase </w:t>
            </w:r>
            <w:r>
              <w:rPr>
                <w:lang w:val="en"/>
              </w:rPr>
              <w:t>of</w:t>
            </w:r>
            <w:r w:rsidRPr="00325F8D">
              <w:rPr>
                <w:lang w:val="en"/>
              </w:rPr>
              <w:t xml:space="preserve"> GVA moderated to 1.8% in </w:t>
            </w:r>
            <w:r>
              <w:rPr>
                <w:lang w:val="en"/>
              </w:rPr>
              <w:t>Q</w:t>
            </w:r>
            <w:r w:rsidRPr="00325F8D">
              <w:rPr>
                <w:lang w:val="en"/>
              </w:rPr>
              <w:t xml:space="preserve">2. With the exception of agriculture, forestry and fishing, all </w:t>
            </w:r>
            <w:r>
              <w:rPr>
                <w:lang w:val="en"/>
              </w:rPr>
              <w:t xml:space="preserve">branches </w:t>
            </w:r>
            <w:r w:rsidRPr="00325F8D">
              <w:rPr>
                <w:lang w:val="en"/>
              </w:rPr>
              <w:t xml:space="preserve">exceeded the level of last year. Industry contributed the most to the </w:t>
            </w:r>
            <w:r>
              <w:rPr>
                <w:lang w:val="en"/>
              </w:rPr>
              <w:t xml:space="preserve">total </w:t>
            </w:r>
            <w:r w:rsidRPr="00325F8D">
              <w:rPr>
                <w:lang w:val="en"/>
              </w:rPr>
              <w:t>GVA growth, followed by trade, transport, accommodation and food service</w:t>
            </w:r>
            <w:r>
              <w:rPr>
                <w:lang w:val="en"/>
              </w:rPr>
              <w:t xml:space="preserve"> activitie</w:t>
            </w:r>
            <w:r w:rsidRPr="00325F8D">
              <w:rPr>
                <w:lang w:val="en"/>
              </w:rPr>
              <w:t xml:space="preserve">s. The largest year-on-year increase </w:t>
            </w:r>
            <w:r>
              <w:rPr>
                <w:lang w:val="en"/>
              </w:rPr>
              <w:t>of</w:t>
            </w:r>
            <w:r w:rsidRPr="00325F8D">
              <w:rPr>
                <w:lang w:val="en"/>
              </w:rPr>
              <w:t xml:space="preserve"> GVA </w:t>
            </w:r>
            <w:r>
              <w:rPr>
                <w:lang w:val="en"/>
              </w:rPr>
              <w:t>occurred i</w:t>
            </w:r>
            <w:r w:rsidRPr="00325F8D">
              <w:rPr>
                <w:lang w:val="en"/>
              </w:rPr>
              <w:t>n financ</w:t>
            </w:r>
            <w:r>
              <w:rPr>
                <w:lang w:val="en"/>
              </w:rPr>
              <w:t xml:space="preserve">ial </w:t>
            </w:r>
            <w:r w:rsidRPr="00325F8D">
              <w:rPr>
                <w:lang w:val="en"/>
              </w:rPr>
              <w:t>and insurance</w:t>
            </w:r>
            <w:r>
              <w:rPr>
                <w:lang w:val="en"/>
              </w:rPr>
              <w:t xml:space="preserve"> activities</w:t>
            </w:r>
            <w:r w:rsidRPr="00325F8D">
              <w:rPr>
                <w:lang w:val="en"/>
              </w:rPr>
              <w:t xml:space="preserve">. Information and communication followed, but the dynamics of the </w:t>
            </w:r>
            <w:r>
              <w:rPr>
                <w:lang w:val="en"/>
              </w:rPr>
              <w:t xml:space="preserve">branch </w:t>
            </w:r>
            <w:r>
              <w:rPr>
                <w:lang w:val="en"/>
              </w:rPr>
              <w:lastRenderedPageBreak/>
              <w:t xml:space="preserve">have </w:t>
            </w:r>
            <w:r w:rsidRPr="00325F8D">
              <w:rPr>
                <w:lang w:val="en"/>
              </w:rPr>
              <w:t>slowed down since the beginning of this year. Similarly, year-on-year dynamics have slowed down in other activities</w:t>
            </w:r>
            <w:r>
              <w:rPr>
                <w:lang w:val="en"/>
              </w:rPr>
              <w:t xml:space="preserve">. </w:t>
            </w:r>
          </w:p>
        </w:tc>
      </w:tr>
      <w:tr w:rsidR="00B554E0" w:rsidRPr="00B131B0" w14:paraId="25EC93FF" w14:textId="77777777" w:rsidTr="003C4A79">
        <w:trPr>
          <w:trHeight w:val="154"/>
        </w:trPr>
        <w:tc>
          <w:tcPr>
            <w:tcW w:w="9639" w:type="dxa"/>
            <w:gridSpan w:val="3"/>
            <w:tcMar>
              <w:left w:w="0" w:type="dxa"/>
            </w:tcMar>
          </w:tcPr>
          <w:p w14:paraId="226C0AF1" w14:textId="53C7AC57" w:rsidR="00B554E0" w:rsidRPr="00B131B0" w:rsidRDefault="00B554E0" w:rsidP="00B554E0">
            <w:pPr>
              <w:spacing w:after="0"/>
              <w:rPr>
                <w:b/>
                <w:bCs/>
              </w:rPr>
            </w:pPr>
            <w:r w:rsidRPr="00B131B0">
              <w:rPr>
                <w:b/>
                <w:bCs/>
              </w:rPr>
              <w:lastRenderedPageBreak/>
              <w:t>Tab</w:t>
            </w:r>
            <w:r>
              <w:rPr>
                <w:b/>
                <w:bCs/>
              </w:rPr>
              <w:t xml:space="preserve">le </w:t>
            </w:r>
            <w:r w:rsidRPr="00B131B0">
              <w:rPr>
                <w:b/>
                <w:bCs/>
              </w:rPr>
              <w:t xml:space="preserve">1 </w:t>
            </w:r>
            <w:r>
              <w:rPr>
                <w:b/>
                <w:bCs/>
              </w:rPr>
              <w:t xml:space="preserve">Gross value added dynamics </w:t>
            </w:r>
            <w:r w:rsidRPr="00B131B0">
              <w:t>(</w:t>
            </w:r>
            <w:r>
              <w:t>in</w:t>
            </w:r>
            <w:r w:rsidRPr="00B131B0">
              <w:t xml:space="preserve"> %)</w:t>
            </w:r>
          </w:p>
        </w:tc>
      </w:tr>
      <w:tr w:rsidR="00B554E0" w:rsidRPr="00B131B0" w14:paraId="53FC810D" w14:textId="77777777" w:rsidTr="003C4A79">
        <w:trPr>
          <w:trHeight w:val="154"/>
        </w:trPr>
        <w:tc>
          <w:tcPr>
            <w:tcW w:w="9639" w:type="dxa"/>
            <w:gridSpan w:val="3"/>
            <w:tcMar>
              <w:left w:w="0" w:type="dxa"/>
            </w:tcMar>
          </w:tcPr>
          <w:tbl>
            <w:tblPr>
              <w:tblW w:w="9658" w:type="dxa"/>
              <w:tblLayout w:type="fixed"/>
              <w:tblCellMar>
                <w:left w:w="70" w:type="dxa"/>
                <w:right w:w="70" w:type="dxa"/>
              </w:tblCellMar>
              <w:tblLook w:val="04A0" w:firstRow="1" w:lastRow="0" w:firstColumn="1" w:lastColumn="0" w:noHBand="0" w:noVBand="1"/>
            </w:tblPr>
            <w:tblGrid>
              <w:gridCol w:w="4466"/>
              <w:gridCol w:w="649"/>
              <w:gridCol w:w="649"/>
              <w:gridCol w:w="649"/>
              <w:gridCol w:w="649"/>
              <w:gridCol w:w="684"/>
              <w:gridCol w:w="684"/>
              <w:gridCol w:w="614"/>
              <w:gridCol w:w="614"/>
            </w:tblGrid>
            <w:tr w:rsidR="00B554E0" w:rsidRPr="00B131B0" w14:paraId="297B12A5" w14:textId="77777777" w:rsidTr="003C4A79">
              <w:trPr>
                <w:trHeight w:val="255"/>
              </w:trPr>
              <w:tc>
                <w:tcPr>
                  <w:tcW w:w="4466" w:type="dxa"/>
                  <w:tcBorders>
                    <w:top w:val="nil"/>
                    <w:left w:val="nil"/>
                    <w:bottom w:val="nil"/>
                    <w:right w:val="nil"/>
                  </w:tcBorders>
                  <w:noWrap/>
                  <w:vAlign w:val="bottom"/>
                  <w:hideMark/>
                </w:tcPr>
                <w:p w14:paraId="7FF66C4F" w14:textId="77777777" w:rsidR="00B554E0" w:rsidRPr="00B131B0" w:rsidRDefault="00B554E0" w:rsidP="00B554E0">
                  <w:pPr>
                    <w:spacing w:after="0" w:line="240" w:lineRule="auto"/>
                    <w:jc w:val="left"/>
                    <w:rPr>
                      <w:rFonts w:ascii="Times New Roman" w:hAnsi="Times New Roman"/>
                      <w:sz w:val="24"/>
                      <w:szCs w:val="20"/>
                      <w:lang w:eastAsia="ko-KR"/>
                    </w:rPr>
                  </w:pPr>
                </w:p>
              </w:tc>
              <w:tc>
                <w:tcPr>
                  <w:tcW w:w="2596" w:type="dxa"/>
                  <w:gridSpan w:val="4"/>
                  <w:tcBorders>
                    <w:top w:val="nil"/>
                    <w:left w:val="nil"/>
                    <w:bottom w:val="nil"/>
                    <w:right w:val="nil"/>
                  </w:tcBorders>
                  <w:noWrap/>
                  <w:vAlign w:val="bottom"/>
                  <w:hideMark/>
                </w:tcPr>
                <w:p w14:paraId="2BA60843" w14:textId="01B2420C"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Quarter-on-quarter</w:t>
                  </w:r>
                  <w:r w:rsidRPr="00B131B0">
                    <w:rPr>
                      <w:rFonts w:cs="Arial"/>
                      <w:color w:val="000000"/>
                      <w:sz w:val="16"/>
                      <w:szCs w:val="16"/>
                      <w:lang w:eastAsia="ko-KR"/>
                    </w:rPr>
                    <w:t xml:space="preserve"> </w:t>
                  </w:r>
                </w:p>
              </w:tc>
              <w:tc>
                <w:tcPr>
                  <w:tcW w:w="2596" w:type="dxa"/>
                  <w:gridSpan w:val="4"/>
                  <w:tcBorders>
                    <w:top w:val="nil"/>
                    <w:left w:val="nil"/>
                    <w:bottom w:val="nil"/>
                    <w:right w:val="nil"/>
                  </w:tcBorders>
                  <w:noWrap/>
                  <w:vAlign w:val="bottom"/>
                  <w:hideMark/>
                </w:tcPr>
                <w:p w14:paraId="1B97CC08" w14:textId="6541681F"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Year-on-year</w:t>
                  </w:r>
                  <w:r w:rsidRPr="00B131B0">
                    <w:rPr>
                      <w:rFonts w:cs="Arial"/>
                      <w:color w:val="000000"/>
                      <w:sz w:val="16"/>
                      <w:szCs w:val="16"/>
                      <w:lang w:eastAsia="ko-KR"/>
                    </w:rPr>
                    <w:t xml:space="preserve"> </w:t>
                  </w:r>
                </w:p>
              </w:tc>
            </w:tr>
            <w:tr w:rsidR="00B554E0" w:rsidRPr="00B131B0" w14:paraId="6C301735" w14:textId="77777777" w:rsidTr="003C4A79">
              <w:trPr>
                <w:trHeight w:val="255"/>
              </w:trPr>
              <w:tc>
                <w:tcPr>
                  <w:tcW w:w="4466" w:type="dxa"/>
                  <w:tcBorders>
                    <w:top w:val="nil"/>
                    <w:left w:val="nil"/>
                    <w:bottom w:val="nil"/>
                    <w:right w:val="nil"/>
                  </w:tcBorders>
                  <w:noWrap/>
                  <w:vAlign w:val="bottom"/>
                  <w:hideMark/>
                </w:tcPr>
                <w:p w14:paraId="7186FF35" w14:textId="77777777" w:rsidR="00B554E0" w:rsidRPr="00B131B0" w:rsidRDefault="00B554E0" w:rsidP="00B554E0">
                  <w:pPr>
                    <w:spacing w:after="0" w:line="240" w:lineRule="auto"/>
                    <w:jc w:val="center"/>
                    <w:rPr>
                      <w:rFonts w:cs="Arial"/>
                      <w:color w:val="000000"/>
                      <w:sz w:val="16"/>
                      <w:szCs w:val="16"/>
                      <w:lang w:eastAsia="ko-KR"/>
                    </w:rPr>
                  </w:pPr>
                </w:p>
              </w:tc>
              <w:tc>
                <w:tcPr>
                  <w:tcW w:w="649" w:type="dxa"/>
                  <w:tcBorders>
                    <w:top w:val="nil"/>
                    <w:left w:val="nil"/>
                    <w:bottom w:val="nil"/>
                    <w:right w:val="nil"/>
                  </w:tcBorders>
                  <w:noWrap/>
                  <w:vAlign w:val="bottom"/>
                  <w:hideMark/>
                </w:tcPr>
                <w:p w14:paraId="62F98817"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Q3 25</w:t>
                  </w:r>
                </w:p>
              </w:tc>
              <w:tc>
                <w:tcPr>
                  <w:tcW w:w="649" w:type="dxa"/>
                  <w:tcBorders>
                    <w:top w:val="nil"/>
                    <w:left w:val="nil"/>
                    <w:bottom w:val="nil"/>
                    <w:right w:val="nil"/>
                  </w:tcBorders>
                  <w:noWrap/>
                  <w:vAlign w:val="bottom"/>
                  <w:hideMark/>
                </w:tcPr>
                <w:p w14:paraId="19E6D3AB"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Q4 25</w:t>
                  </w:r>
                </w:p>
              </w:tc>
              <w:tc>
                <w:tcPr>
                  <w:tcW w:w="649" w:type="dxa"/>
                  <w:tcBorders>
                    <w:top w:val="nil"/>
                    <w:left w:val="nil"/>
                    <w:bottom w:val="nil"/>
                    <w:right w:val="nil"/>
                  </w:tcBorders>
                  <w:noWrap/>
                  <w:vAlign w:val="bottom"/>
                  <w:hideMark/>
                </w:tcPr>
                <w:p w14:paraId="4752FD85"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Q1 26</w:t>
                  </w:r>
                </w:p>
              </w:tc>
              <w:tc>
                <w:tcPr>
                  <w:tcW w:w="649" w:type="dxa"/>
                  <w:tcBorders>
                    <w:top w:val="nil"/>
                    <w:left w:val="nil"/>
                    <w:bottom w:val="nil"/>
                    <w:right w:val="nil"/>
                  </w:tcBorders>
                  <w:noWrap/>
                  <w:vAlign w:val="bottom"/>
                  <w:hideMark/>
                </w:tcPr>
                <w:p w14:paraId="55D4AC36"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Q2 26</w:t>
                  </w:r>
                </w:p>
              </w:tc>
              <w:tc>
                <w:tcPr>
                  <w:tcW w:w="684" w:type="dxa"/>
                  <w:tcBorders>
                    <w:top w:val="nil"/>
                    <w:left w:val="nil"/>
                    <w:bottom w:val="nil"/>
                    <w:right w:val="nil"/>
                  </w:tcBorders>
                  <w:noWrap/>
                  <w:vAlign w:val="bottom"/>
                  <w:hideMark/>
                </w:tcPr>
                <w:p w14:paraId="5ADF65BD"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Q3 25</w:t>
                  </w:r>
                </w:p>
              </w:tc>
              <w:tc>
                <w:tcPr>
                  <w:tcW w:w="684" w:type="dxa"/>
                  <w:tcBorders>
                    <w:top w:val="nil"/>
                    <w:left w:val="nil"/>
                    <w:bottom w:val="nil"/>
                    <w:right w:val="nil"/>
                  </w:tcBorders>
                  <w:noWrap/>
                  <w:vAlign w:val="bottom"/>
                  <w:hideMark/>
                </w:tcPr>
                <w:p w14:paraId="474EE07F"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Q4 25</w:t>
                  </w:r>
                </w:p>
              </w:tc>
              <w:tc>
                <w:tcPr>
                  <w:tcW w:w="614" w:type="dxa"/>
                  <w:tcBorders>
                    <w:top w:val="nil"/>
                    <w:left w:val="nil"/>
                    <w:bottom w:val="nil"/>
                    <w:right w:val="nil"/>
                  </w:tcBorders>
                  <w:noWrap/>
                  <w:vAlign w:val="bottom"/>
                  <w:hideMark/>
                </w:tcPr>
                <w:p w14:paraId="38074400"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Q1 26</w:t>
                  </w:r>
                </w:p>
              </w:tc>
              <w:tc>
                <w:tcPr>
                  <w:tcW w:w="614" w:type="dxa"/>
                  <w:tcBorders>
                    <w:top w:val="nil"/>
                    <w:left w:val="nil"/>
                    <w:bottom w:val="nil"/>
                    <w:right w:val="nil"/>
                  </w:tcBorders>
                  <w:noWrap/>
                  <w:vAlign w:val="bottom"/>
                  <w:hideMark/>
                </w:tcPr>
                <w:p w14:paraId="09C88201" w14:textId="777777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Q2 26</w:t>
                  </w:r>
                </w:p>
              </w:tc>
            </w:tr>
            <w:tr w:rsidR="00B554E0" w:rsidRPr="00B131B0" w14:paraId="543C0E18" w14:textId="77777777" w:rsidTr="003C4A79">
              <w:trPr>
                <w:trHeight w:val="255"/>
              </w:trPr>
              <w:tc>
                <w:tcPr>
                  <w:tcW w:w="4466" w:type="dxa"/>
                  <w:tcBorders>
                    <w:top w:val="single" w:sz="4" w:space="0" w:color="auto"/>
                    <w:left w:val="nil"/>
                    <w:bottom w:val="nil"/>
                    <w:right w:val="nil"/>
                  </w:tcBorders>
                  <w:vAlign w:val="bottom"/>
                  <w:hideMark/>
                </w:tcPr>
                <w:p w14:paraId="0BF74AF6" w14:textId="26DA5951" w:rsidR="00B554E0" w:rsidRPr="00B131B0" w:rsidRDefault="00B554E0" w:rsidP="00B554E0">
                  <w:pPr>
                    <w:spacing w:after="0" w:line="240" w:lineRule="auto"/>
                    <w:jc w:val="left"/>
                    <w:rPr>
                      <w:rFonts w:cs="Arial"/>
                      <w:color w:val="000000"/>
                      <w:sz w:val="16"/>
                      <w:szCs w:val="16"/>
                      <w:lang w:eastAsia="ko-KR"/>
                    </w:rPr>
                  </w:pPr>
                  <w:r>
                    <w:rPr>
                      <w:rFonts w:cs="Arial"/>
                      <w:color w:val="000000"/>
                      <w:sz w:val="16"/>
                      <w:szCs w:val="16"/>
                      <w:lang w:eastAsia="ko-KR"/>
                    </w:rPr>
                    <w:t>Total</w:t>
                  </w:r>
                </w:p>
              </w:tc>
              <w:tc>
                <w:tcPr>
                  <w:tcW w:w="649" w:type="dxa"/>
                  <w:tcBorders>
                    <w:top w:val="single" w:sz="4" w:space="0" w:color="auto"/>
                    <w:left w:val="nil"/>
                    <w:bottom w:val="nil"/>
                    <w:right w:val="nil"/>
                  </w:tcBorders>
                  <w:noWrap/>
                  <w:vAlign w:val="bottom"/>
                  <w:hideMark/>
                </w:tcPr>
                <w:p w14:paraId="290378D7" w14:textId="06AFA16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single" w:sz="4" w:space="0" w:color="auto"/>
                    <w:left w:val="nil"/>
                    <w:bottom w:val="nil"/>
                    <w:right w:val="nil"/>
                  </w:tcBorders>
                  <w:noWrap/>
                  <w:vAlign w:val="bottom"/>
                  <w:hideMark/>
                </w:tcPr>
                <w:p w14:paraId="053F8FCC" w14:textId="70D594B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49" w:type="dxa"/>
                  <w:tcBorders>
                    <w:top w:val="single" w:sz="4" w:space="0" w:color="auto"/>
                    <w:left w:val="nil"/>
                    <w:bottom w:val="nil"/>
                    <w:right w:val="nil"/>
                  </w:tcBorders>
                  <w:noWrap/>
                  <w:vAlign w:val="bottom"/>
                  <w:hideMark/>
                </w:tcPr>
                <w:p w14:paraId="727C47B8" w14:textId="72102C8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single" w:sz="4" w:space="0" w:color="auto"/>
                    <w:left w:val="nil"/>
                    <w:bottom w:val="nil"/>
                    <w:right w:val="nil"/>
                  </w:tcBorders>
                  <w:noWrap/>
                  <w:vAlign w:val="bottom"/>
                  <w:hideMark/>
                </w:tcPr>
                <w:p w14:paraId="24D84A0B" w14:textId="4C6CC09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84" w:type="dxa"/>
                  <w:tcBorders>
                    <w:top w:val="single" w:sz="4" w:space="0" w:color="auto"/>
                    <w:left w:val="nil"/>
                    <w:bottom w:val="nil"/>
                    <w:right w:val="nil"/>
                  </w:tcBorders>
                  <w:noWrap/>
                  <w:vAlign w:val="bottom"/>
                  <w:hideMark/>
                </w:tcPr>
                <w:p w14:paraId="189D4690" w14:textId="26C96C7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684" w:type="dxa"/>
                  <w:tcBorders>
                    <w:top w:val="single" w:sz="4" w:space="0" w:color="auto"/>
                    <w:left w:val="nil"/>
                    <w:bottom w:val="nil"/>
                    <w:right w:val="nil"/>
                  </w:tcBorders>
                  <w:noWrap/>
                  <w:vAlign w:val="bottom"/>
                  <w:hideMark/>
                </w:tcPr>
                <w:p w14:paraId="64A8CF7D" w14:textId="6833441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614" w:type="dxa"/>
                  <w:tcBorders>
                    <w:top w:val="single" w:sz="4" w:space="0" w:color="auto"/>
                    <w:left w:val="nil"/>
                    <w:bottom w:val="nil"/>
                    <w:right w:val="nil"/>
                  </w:tcBorders>
                  <w:noWrap/>
                  <w:vAlign w:val="bottom"/>
                  <w:hideMark/>
                </w:tcPr>
                <w:p w14:paraId="3B2CCBB2" w14:textId="081F961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c>
                <w:tcPr>
                  <w:tcW w:w="614" w:type="dxa"/>
                  <w:tcBorders>
                    <w:top w:val="single" w:sz="4" w:space="0" w:color="auto"/>
                    <w:left w:val="nil"/>
                    <w:bottom w:val="nil"/>
                    <w:right w:val="nil"/>
                  </w:tcBorders>
                  <w:noWrap/>
                  <w:vAlign w:val="bottom"/>
                  <w:hideMark/>
                </w:tcPr>
                <w:p w14:paraId="408F4AF9" w14:textId="581C14A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8</w:t>
                  </w:r>
                </w:p>
              </w:tc>
            </w:tr>
            <w:tr w:rsidR="00B554E0" w:rsidRPr="00B131B0" w14:paraId="442280E5" w14:textId="77777777" w:rsidTr="003C4A79">
              <w:trPr>
                <w:trHeight w:val="255"/>
              </w:trPr>
              <w:tc>
                <w:tcPr>
                  <w:tcW w:w="4466" w:type="dxa"/>
                  <w:tcBorders>
                    <w:top w:val="nil"/>
                    <w:left w:val="nil"/>
                    <w:bottom w:val="nil"/>
                    <w:right w:val="nil"/>
                  </w:tcBorders>
                  <w:vAlign w:val="bottom"/>
                  <w:hideMark/>
                </w:tcPr>
                <w:p w14:paraId="1EF58E2E" w14:textId="54AEBC43"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Agriculture, forestry and fishing</w:t>
                  </w:r>
                </w:p>
              </w:tc>
              <w:tc>
                <w:tcPr>
                  <w:tcW w:w="649" w:type="dxa"/>
                  <w:tcBorders>
                    <w:top w:val="nil"/>
                    <w:left w:val="nil"/>
                    <w:bottom w:val="nil"/>
                    <w:right w:val="nil"/>
                  </w:tcBorders>
                  <w:noWrap/>
                  <w:vAlign w:val="bottom"/>
                  <w:hideMark/>
                </w:tcPr>
                <w:p w14:paraId="4D5C3DEC" w14:textId="4A9DB0A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nil"/>
                    <w:left w:val="nil"/>
                    <w:bottom w:val="nil"/>
                    <w:right w:val="nil"/>
                  </w:tcBorders>
                  <w:noWrap/>
                  <w:vAlign w:val="bottom"/>
                  <w:hideMark/>
                </w:tcPr>
                <w:p w14:paraId="66C05DF3" w14:textId="57FCCA1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49" w:type="dxa"/>
                  <w:tcBorders>
                    <w:top w:val="nil"/>
                    <w:left w:val="nil"/>
                    <w:bottom w:val="nil"/>
                    <w:right w:val="nil"/>
                  </w:tcBorders>
                  <w:noWrap/>
                  <w:vAlign w:val="bottom"/>
                  <w:hideMark/>
                </w:tcPr>
                <w:p w14:paraId="7CE11D99" w14:textId="5AD9CD7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49" w:type="dxa"/>
                  <w:tcBorders>
                    <w:top w:val="nil"/>
                    <w:left w:val="nil"/>
                    <w:bottom w:val="nil"/>
                    <w:right w:val="nil"/>
                  </w:tcBorders>
                  <w:noWrap/>
                  <w:vAlign w:val="bottom"/>
                  <w:hideMark/>
                </w:tcPr>
                <w:p w14:paraId="63396D1E" w14:textId="3806F49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684" w:type="dxa"/>
                  <w:tcBorders>
                    <w:top w:val="nil"/>
                    <w:left w:val="nil"/>
                    <w:bottom w:val="nil"/>
                    <w:right w:val="nil"/>
                  </w:tcBorders>
                  <w:noWrap/>
                  <w:vAlign w:val="bottom"/>
                  <w:hideMark/>
                </w:tcPr>
                <w:p w14:paraId="2D1BFF87" w14:textId="14B0B6C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8</w:t>
                  </w:r>
                </w:p>
              </w:tc>
              <w:tc>
                <w:tcPr>
                  <w:tcW w:w="684" w:type="dxa"/>
                  <w:tcBorders>
                    <w:top w:val="nil"/>
                    <w:left w:val="nil"/>
                    <w:bottom w:val="nil"/>
                    <w:right w:val="nil"/>
                  </w:tcBorders>
                  <w:noWrap/>
                  <w:vAlign w:val="bottom"/>
                  <w:hideMark/>
                </w:tcPr>
                <w:p w14:paraId="2626998A" w14:textId="4CEE036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614" w:type="dxa"/>
                  <w:tcBorders>
                    <w:top w:val="nil"/>
                    <w:left w:val="nil"/>
                    <w:bottom w:val="nil"/>
                    <w:right w:val="nil"/>
                  </w:tcBorders>
                  <w:noWrap/>
                  <w:vAlign w:val="bottom"/>
                  <w:hideMark/>
                </w:tcPr>
                <w:p w14:paraId="31DCFF27" w14:textId="60C27B7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1</w:t>
                  </w:r>
                </w:p>
              </w:tc>
              <w:tc>
                <w:tcPr>
                  <w:tcW w:w="614" w:type="dxa"/>
                  <w:tcBorders>
                    <w:top w:val="nil"/>
                    <w:left w:val="nil"/>
                    <w:bottom w:val="nil"/>
                    <w:right w:val="nil"/>
                  </w:tcBorders>
                  <w:noWrap/>
                  <w:vAlign w:val="bottom"/>
                  <w:hideMark/>
                </w:tcPr>
                <w:p w14:paraId="0635419B" w14:textId="6C04581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r>
            <w:tr w:rsidR="00B554E0" w:rsidRPr="00B131B0" w14:paraId="3E8D8A8C" w14:textId="77777777" w:rsidTr="003C4A79">
              <w:trPr>
                <w:trHeight w:val="255"/>
              </w:trPr>
              <w:tc>
                <w:tcPr>
                  <w:tcW w:w="4466" w:type="dxa"/>
                  <w:tcBorders>
                    <w:top w:val="nil"/>
                    <w:left w:val="nil"/>
                    <w:bottom w:val="nil"/>
                    <w:right w:val="nil"/>
                  </w:tcBorders>
                  <w:vAlign w:val="bottom"/>
                  <w:hideMark/>
                </w:tcPr>
                <w:p w14:paraId="7AB7A3C2" w14:textId="1C86CD20"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Industry</w:t>
                  </w:r>
                </w:p>
              </w:tc>
              <w:tc>
                <w:tcPr>
                  <w:tcW w:w="649" w:type="dxa"/>
                  <w:tcBorders>
                    <w:top w:val="nil"/>
                    <w:left w:val="nil"/>
                    <w:bottom w:val="nil"/>
                    <w:right w:val="nil"/>
                  </w:tcBorders>
                  <w:noWrap/>
                  <w:vAlign w:val="bottom"/>
                  <w:hideMark/>
                </w:tcPr>
                <w:p w14:paraId="7212501F" w14:textId="45356C4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49" w:type="dxa"/>
                  <w:tcBorders>
                    <w:top w:val="nil"/>
                    <w:left w:val="nil"/>
                    <w:bottom w:val="nil"/>
                    <w:right w:val="nil"/>
                  </w:tcBorders>
                  <w:noWrap/>
                  <w:vAlign w:val="bottom"/>
                  <w:hideMark/>
                </w:tcPr>
                <w:p w14:paraId="43989ED6" w14:textId="576BF2F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51124F08" w14:textId="7A1EDF0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466ED733" w14:textId="57E2A69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84" w:type="dxa"/>
                  <w:tcBorders>
                    <w:top w:val="nil"/>
                    <w:left w:val="nil"/>
                    <w:bottom w:val="nil"/>
                    <w:right w:val="nil"/>
                  </w:tcBorders>
                  <w:noWrap/>
                  <w:vAlign w:val="bottom"/>
                  <w:hideMark/>
                </w:tcPr>
                <w:p w14:paraId="25428B95" w14:textId="6AB9A3A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8</w:t>
                  </w:r>
                </w:p>
              </w:tc>
              <w:tc>
                <w:tcPr>
                  <w:tcW w:w="684" w:type="dxa"/>
                  <w:tcBorders>
                    <w:top w:val="nil"/>
                    <w:left w:val="nil"/>
                    <w:bottom w:val="nil"/>
                    <w:right w:val="nil"/>
                  </w:tcBorders>
                  <w:noWrap/>
                  <w:vAlign w:val="bottom"/>
                  <w:hideMark/>
                </w:tcPr>
                <w:p w14:paraId="04F1949F" w14:textId="6E2E88C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614" w:type="dxa"/>
                  <w:tcBorders>
                    <w:top w:val="nil"/>
                    <w:left w:val="nil"/>
                    <w:bottom w:val="nil"/>
                    <w:right w:val="nil"/>
                  </w:tcBorders>
                  <w:noWrap/>
                  <w:vAlign w:val="bottom"/>
                  <w:hideMark/>
                </w:tcPr>
                <w:p w14:paraId="42DF41CC" w14:textId="5F13BE1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14" w:type="dxa"/>
                  <w:tcBorders>
                    <w:top w:val="nil"/>
                    <w:left w:val="nil"/>
                    <w:bottom w:val="nil"/>
                    <w:right w:val="nil"/>
                  </w:tcBorders>
                  <w:noWrap/>
                  <w:vAlign w:val="bottom"/>
                  <w:hideMark/>
                </w:tcPr>
                <w:p w14:paraId="09EC0521" w14:textId="6C79DD1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8</w:t>
                  </w:r>
                </w:p>
              </w:tc>
            </w:tr>
            <w:tr w:rsidR="00B554E0" w:rsidRPr="00B131B0" w14:paraId="3D851B4B" w14:textId="77777777" w:rsidTr="003C4A79">
              <w:trPr>
                <w:trHeight w:val="255"/>
              </w:trPr>
              <w:tc>
                <w:tcPr>
                  <w:tcW w:w="4466" w:type="dxa"/>
                  <w:tcBorders>
                    <w:top w:val="nil"/>
                    <w:left w:val="nil"/>
                    <w:bottom w:val="nil"/>
                    <w:right w:val="nil"/>
                  </w:tcBorders>
                  <w:vAlign w:val="bottom"/>
                  <w:hideMark/>
                </w:tcPr>
                <w:p w14:paraId="5708E23E" w14:textId="55EAC6A0" w:rsidR="00B554E0" w:rsidRPr="00B131B0" w:rsidRDefault="00B554E0" w:rsidP="00B554E0">
                  <w:pPr>
                    <w:spacing w:after="0" w:line="240" w:lineRule="auto"/>
                    <w:ind w:left="88" w:firstLine="142"/>
                    <w:jc w:val="left"/>
                    <w:rPr>
                      <w:rFonts w:cs="Arial"/>
                      <w:color w:val="000000"/>
                      <w:sz w:val="16"/>
                      <w:szCs w:val="16"/>
                      <w:lang w:eastAsia="ko-KR"/>
                    </w:rPr>
                  </w:pPr>
                  <w:r>
                    <w:rPr>
                      <w:rFonts w:cs="Arial"/>
                      <w:color w:val="000000"/>
                      <w:sz w:val="16"/>
                      <w:szCs w:val="16"/>
                      <w:lang w:eastAsia="ko-KR"/>
                    </w:rPr>
                    <w:t>In that</w:t>
                  </w:r>
                  <w:r w:rsidRPr="00B131B0">
                    <w:rPr>
                      <w:rFonts w:cs="Arial"/>
                      <w:color w:val="000000"/>
                      <w:sz w:val="16"/>
                      <w:szCs w:val="16"/>
                      <w:lang w:eastAsia="ko-KR"/>
                    </w:rPr>
                    <w:t xml:space="preserve">: </w:t>
                  </w:r>
                  <w:r>
                    <w:rPr>
                      <w:rFonts w:cs="Arial"/>
                      <w:color w:val="000000"/>
                      <w:sz w:val="16"/>
                      <w:szCs w:val="16"/>
                      <w:lang w:eastAsia="ko-KR"/>
                    </w:rPr>
                    <w:t>Manufacturing</w:t>
                  </w:r>
                </w:p>
              </w:tc>
              <w:tc>
                <w:tcPr>
                  <w:tcW w:w="649" w:type="dxa"/>
                  <w:tcBorders>
                    <w:top w:val="nil"/>
                    <w:left w:val="nil"/>
                    <w:bottom w:val="nil"/>
                    <w:right w:val="nil"/>
                  </w:tcBorders>
                  <w:noWrap/>
                  <w:vAlign w:val="bottom"/>
                  <w:hideMark/>
                </w:tcPr>
                <w:p w14:paraId="0ADC4602" w14:textId="688428B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49" w:type="dxa"/>
                  <w:tcBorders>
                    <w:top w:val="nil"/>
                    <w:left w:val="nil"/>
                    <w:bottom w:val="nil"/>
                    <w:right w:val="nil"/>
                  </w:tcBorders>
                  <w:noWrap/>
                  <w:vAlign w:val="bottom"/>
                  <w:hideMark/>
                </w:tcPr>
                <w:p w14:paraId="3F767A44" w14:textId="5A27FB0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nil"/>
                    <w:left w:val="nil"/>
                    <w:bottom w:val="nil"/>
                    <w:right w:val="nil"/>
                  </w:tcBorders>
                  <w:noWrap/>
                  <w:vAlign w:val="bottom"/>
                  <w:hideMark/>
                </w:tcPr>
                <w:p w14:paraId="3F3D5DBE" w14:textId="26AF008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49" w:type="dxa"/>
                  <w:tcBorders>
                    <w:top w:val="nil"/>
                    <w:left w:val="nil"/>
                    <w:bottom w:val="nil"/>
                    <w:right w:val="nil"/>
                  </w:tcBorders>
                  <w:noWrap/>
                  <w:vAlign w:val="bottom"/>
                  <w:hideMark/>
                </w:tcPr>
                <w:p w14:paraId="3042101A" w14:textId="480DF4E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84" w:type="dxa"/>
                  <w:tcBorders>
                    <w:top w:val="nil"/>
                    <w:left w:val="nil"/>
                    <w:bottom w:val="nil"/>
                    <w:right w:val="nil"/>
                  </w:tcBorders>
                  <w:noWrap/>
                  <w:vAlign w:val="bottom"/>
                  <w:hideMark/>
                </w:tcPr>
                <w:p w14:paraId="71707342" w14:textId="1FE1311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c>
                <w:tcPr>
                  <w:tcW w:w="684" w:type="dxa"/>
                  <w:tcBorders>
                    <w:top w:val="nil"/>
                    <w:left w:val="nil"/>
                    <w:bottom w:val="nil"/>
                    <w:right w:val="nil"/>
                  </w:tcBorders>
                  <w:noWrap/>
                  <w:vAlign w:val="bottom"/>
                  <w:hideMark/>
                </w:tcPr>
                <w:p w14:paraId="0202A590" w14:textId="2974AFC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614" w:type="dxa"/>
                  <w:tcBorders>
                    <w:top w:val="nil"/>
                    <w:left w:val="nil"/>
                    <w:bottom w:val="nil"/>
                    <w:right w:val="nil"/>
                  </w:tcBorders>
                  <w:noWrap/>
                  <w:vAlign w:val="bottom"/>
                  <w:hideMark/>
                </w:tcPr>
                <w:p w14:paraId="3A963F15" w14:textId="5DDC0B7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1</w:t>
                  </w:r>
                </w:p>
              </w:tc>
              <w:tc>
                <w:tcPr>
                  <w:tcW w:w="614" w:type="dxa"/>
                  <w:tcBorders>
                    <w:top w:val="nil"/>
                    <w:left w:val="nil"/>
                    <w:bottom w:val="nil"/>
                    <w:right w:val="nil"/>
                  </w:tcBorders>
                  <w:noWrap/>
                  <w:vAlign w:val="bottom"/>
                  <w:hideMark/>
                </w:tcPr>
                <w:p w14:paraId="30FEE432" w14:textId="590CD96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r>
            <w:tr w:rsidR="00B554E0" w:rsidRPr="00B131B0" w14:paraId="32E4C1E1" w14:textId="77777777" w:rsidTr="003C4A79">
              <w:trPr>
                <w:trHeight w:val="255"/>
              </w:trPr>
              <w:tc>
                <w:tcPr>
                  <w:tcW w:w="4466" w:type="dxa"/>
                  <w:tcBorders>
                    <w:top w:val="nil"/>
                    <w:left w:val="nil"/>
                    <w:bottom w:val="nil"/>
                    <w:right w:val="nil"/>
                  </w:tcBorders>
                  <w:vAlign w:val="bottom"/>
                  <w:hideMark/>
                </w:tcPr>
                <w:p w14:paraId="3674F0E0" w14:textId="008917EF"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Construction</w:t>
                  </w:r>
                </w:p>
              </w:tc>
              <w:tc>
                <w:tcPr>
                  <w:tcW w:w="649" w:type="dxa"/>
                  <w:tcBorders>
                    <w:top w:val="nil"/>
                    <w:left w:val="nil"/>
                    <w:bottom w:val="nil"/>
                    <w:right w:val="nil"/>
                  </w:tcBorders>
                  <w:noWrap/>
                  <w:vAlign w:val="bottom"/>
                  <w:hideMark/>
                </w:tcPr>
                <w:p w14:paraId="3F49990B" w14:textId="6C27D46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49" w:type="dxa"/>
                  <w:tcBorders>
                    <w:top w:val="nil"/>
                    <w:left w:val="nil"/>
                    <w:bottom w:val="nil"/>
                    <w:right w:val="nil"/>
                  </w:tcBorders>
                  <w:noWrap/>
                  <w:vAlign w:val="bottom"/>
                  <w:hideMark/>
                </w:tcPr>
                <w:p w14:paraId="05810268" w14:textId="6DA664E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49" w:type="dxa"/>
                  <w:tcBorders>
                    <w:top w:val="nil"/>
                    <w:left w:val="nil"/>
                    <w:bottom w:val="nil"/>
                    <w:right w:val="nil"/>
                  </w:tcBorders>
                  <w:noWrap/>
                  <w:vAlign w:val="bottom"/>
                  <w:hideMark/>
                </w:tcPr>
                <w:p w14:paraId="4146073A" w14:textId="66B0911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369025CC" w14:textId="0A85A62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84" w:type="dxa"/>
                  <w:tcBorders>
                    <w:top w:val="nil"/>
                    <w:left w:val="nil"/>
                    <w:bottom w:val="nil"/>
                    <w:right w:val="nil"/>
                  </w:tcBorders>
                  <w:noWrap/>
                  <w:vAlign w:val="bottom"/>
                  <w:hideMark/>
                </w:tcPr>
                <w:p w14:paraId="5306C1E6" w14:textId="30C081CE"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1</w:t>
                  </w:r>
                </w:p>
              </w:tc>
              <w:tc>
                <w:tcPr>
                  <w:tcW w:w="684" w:type="dxa"/>
                  <w:tcBorders>
                    <w:top w:val="nil"/>
                    <w:left w:val="nil"/>
                    <w:bottom w:val="nil"/>
                    <w:right w:val="nil"/>
                  </w:tcBorders>
                  <w:noWrap/>
                  <w:vAlign w:val="bottom"/>
                  <w:hideMark/>
                </w:tcPr>
                <w:p w14:paraId="454976A3" w14:textId="7D2D9BE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c>
                <w:tcPr>
                  <w:tcW w:w="614" w:type="dxa"/>
                  <w:tcBorders>
                    <w:top w:val="nil"/>
                    <w:left w:val="nil"/>
                    <w:bottom w:val="nil"/>
                    <w:right w:val="nil"/>
                  </w:tcBorders>
                  <w:noWrap/>
                  <w:vAlign w:val="bottom"/>
                  <w:hideMark/>
                </w:tcPr>
                <w:p w14:paraId="2E591C24" w14:textId="5D71C17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14" w:type="dxa"/>
                  <w:tcBorders>
                    <w:top w:val="nil"/>
                    <w:left w:val="nil"/>
                    <w:bottom w:val="nil"/>
                    <w:right w:val="nil"/>
                  </w:tcBorders>
                  <w:noWrap/>
                  <w:vAlign w:val="bottom"/>
                  <w:hideMark/>
                </w:tcPr>
                <w:p w14:paraId="2B994B26" w14:textId="7B0D7BA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r>
            <w:tr w:rsidR="00B554E0" w:rsidRPr="00B131B0" w14:paraId="435559CB" w14:textId="77777777" w:rsidTr="003C4A79">
              <w:trPr>
                <w:trHeight w:val="255"/>
              </w:trPr>
              <w:tc>
                <w:tcPr>
                  <w:tcW w:w="4466" w:type="dxa"/>
                  <w:tcBorders>
                    <w:top w:val="nil"/>
                    <w:left w:val="nil"/>
                    <w:bottom w:val="nil"/>
                    <w:right w:val="nil"/>
                  </w:tcBorders>
                  <w:vAlign w:val="bottom"/>
                  <w:hideMark/>
                </w:tcPr>
                <w:p w14:paraId="0CEE9CBF" w14:textId="3B5C22B1"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Trade, transport, accommodation and food service</w:t>
                  </w:r>
                  <w:r w:rsidRPr="00B131B0">
                    <w:rPr>
                      <w:rFonts w:cs="Arial"/>
                      <w:color w:val="000000"/>
                      <w:sz w:val="16"/>
                      <w:szCs w:val="16"/>
                      <w:lang w:eastAsia="ko-KR"/>
                    </w:rPr>
                    <w:t xml:space="preserve"> </w:t>
                  </w:r>
                </w:p>
              </w:tc>
              <w:tc>
                <w:tcPr>
                  <w:tcW w:w="649" w:type="dxa"/>
                  <w:tcBorders>
                    <w:top w:val="nil"/>
                    <w:left w:val="nil"/>
                    <w:bottom w:val="nil"/>
                    <w:right w:val="nil"/>
                  </w:tcBorders>
                  <w:noWrap/>
                  <w:vAlign w:val="bottom"/>
                  <w:hideMark/>
                </w:tcPr>
                <w:p w14:paraId="39001438" w14:textId="569E1EB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49" w:type="dxa"/>
                  <w:tcBorders>
                    <w:top w:val="nil"/>
                    <w:left w:val="nil"/>
                    <w:bottom w:val="nil"/>
                    <w:right w:val="nil"/>
                  </w:tcBorders>
                  <w:noWrap/>
                  <w:vAlign w:val="bottom"/>
                  <w:hideMark/>
                </w:tcPr>
                <w:p w14:paraId="53147119" w14:textId="10E4162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49" w:type="dxa"/>
                  <w:tcBorders>
                    <w:top w:val="nil"/>
                    <w:left w:val="nil"/>
                    <w:bottom w:val="nil"/>
                    <w:right w:val="nil"/>
                  </w:tcBorders>
                  <w:noWrap/>
                  <w:vAlign w:val="bottom"/>
                  <w:hideMark/>
                </w:tcPr>
                <w:p w14:paraId="5243B43B" w14:textId="066C9F8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0A6627B5" w14:textId="7D2BFC2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684" w:type="dxa"/>
                  <w:tcBorders>
                    <w:top w:val="nil"/>
                    <w:left w:val="nil"/>
                    <w:bottom w:val="nil"/>
                    <w:right w:val="nil"/>
                  </w:tcBorders>
                  <w:noWrap/>
                  <w:vAlign w:val="bottom"/>
                  <w:hideMark/>
                </w:tcPr>
                <w:p w14:paraId="0C0E104A" w14:textId="1D059C2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c>
                <w:tcPr>
                  <w:tcW w:w="684" w:type="dxa"/>
                  <w:tcBorders>
                    <w:top w:val="nil"/>
                    <w:left w:val="nil"/>
                    <w:bottom w:val="nil"/>
                    <w:right w:val="nil"/>
                  </w:tcBorders>
                  <w:noWrap/>
                  <w:vAlign w:val="bottom"/>
                  <w:hideMark/>
                </w:tcPr>
                <w:p w14:paraId="1293AFF1" w14:textId="0B9B40B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0</w:t>
                  </w:r>
                </w:p>
              </w:tc>
              <w:tc>
                <w:tcPr>
                  <w:tcW w:w="614" w:type="dxa"/>
                  <w:tcBorders>
                    <w:top w:val="nil"/>
                    <w:left w:val="nil"/>
                    <w:bottom w:val="nil"/>
                    <w:right w:val="nil"/>
                  </w:tcBorders>
                  <w:noWrap/>
                  <w:vAlign w:val="bottom"/>
                  <w:hideMark/>
                </w:tcPr>
                <w:p w14:paraId="46D167D9" w14:textId="4AC3269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4</w:t>
                  </w:r>
                </w:p>
              </w:tc>
              <w:tc>
                <w:tcPr>
                  <w:tcW w:w="614" w:type="dxa"/>
                  <w:tcBorders>
                    <w:top w:val="nil"/>
                    <w:left w:val="nil"/>
                    <w:bottom w:val="nil"/>
                    <w:right w:val="nil"/>
                  </w:tcBorders>
                  <w:noWrap/>
                  <w:vAlign w:val="bottom"/>
                  <w:hideMark/>
                </w:tcPr>
                <w:p w14:paraId="6A89CB9E" w14:textId="4FB7774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4</w:t>
                  </w:r>
                </w:p>
              </w:tc>
            </w:tr>
            <w:tr w:rsidR="00B554E0" w:rsidRPr="00B131B0" w14:paraId="32DABF76" w14:textId="77777777" w:rsidTr="003C4A79">
              <w:trPr>
                <w:trHeight w:val="255"/>
              </w:trPr>
              <w:tc>
                <w:tcPr>
                  <w:tcW w:w="4466" w:type="dxa"/>
                  <w:tcBorders>
                    <w:top w:val="nil"/>
                    <w:left w:val="nil"/>
                    <w:bottom w:val="nil"/>
                    <w:right w:val="nil"/>
                  </w:tcBorders>
                  <w:vAlign w:val="bottom"/>
                  <w:hideMark/>
                </w:tcPr>
                <w:p w14:paraId="3C62A214" w14:textId="02D782EC" w:rsidR="00B554E0" w:rsidRPr="00B131B0" w:rsidRDefault="00B554E0" w:rsidP="00B554E0">
                  <w:pPr>
                    <w:spacing w:after="0" w:line="240" w:lineRule="auto"/>
                    <w:ind w:left="88"/>
                    <w:jc w:val="left"/>
                    <w:rPr>
                      <w:rFonts w:cs="Arial"/>
                      <w:color w:val="000000"/>
                      <w:sz w:val="16"/>
                      <w:szCs w:val="16"/>
                      <w:lang w:eastAsia="ko-KR"/>
                    </w:rPr>
                  </w:pPr>
                  <w:r w:rsidRPr="00B131B0">
                    <w:rPr>
                      <w:rFonts w:cs="Arial"/>
                      <w:color w:val="000000"/>
                      <w:sz w:val="16"/>
                      <w:szCs w:val="16"/>
                      <w:lang w:eastAsia="ko-KR"/>
                    </w:rPr>
                    <w:t>Informa</w:t>
                  </w:r>
                  <w:r>
                    <w:rPr>
                      <w:rFonts w:cs="Arial"/>
                      <w:color w:val="000000"/>
                      <w:sz w:val="16"/>
                      <w:szCs w:val="16"/>
                      <w:lang w:eastAsia="ko-KR"/>
                    </w:rPr>
                    <w:t>tion and communication</w:t>
                  </w:r>
                </w:p>
              </w:tc>
              <w:tc>
                <w:tcPr>
                  <w:tcW w:w="649" w:type="dxa"/>
                  <w:tcBorders>
                    <w:top w:val="nil"/>
                    <w:left w:val="nil"/>
                    <w:bottom w:val="nil"/>
                    <w:right w:val="nil"/>
                  </w:tcBorders>
                  <w:noWrap/>
                  <w:vAlign w:val="bottom"/>
                  <w:hideMark/>
                </w:tcPr>
                <w:p w14:paraId="2EF0B13C" w14:textId="6BC9FFD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62CC07B6" w14:textId="52D1B89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nil"/>
                    <w:left w:val="nil"/>
                    <w:bottom w:val="nil"/>
                    <w:right w:val="nil"/>
                  </w:tcBorders>
                  <w:noWrap/>
                  <w:vAlign w:val="bottom"/>
                  <w:hideMark/>
                </w:tcPr>
                <w:p w14:paraId="4850C4CE" w14:textId="45F201E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49" w:type="dxa"/>
                  <w:tcBorders>
                    <w:top w:val="nil"/>
                    <w:left w:val="nil"/>
                    <w:bottom w:val="nil"/>
                    <w:right w:val="nil"/>
                  </w:tcBorders>
                  <w:noWrap/>
                  <w:vAlign w:val="bottom"/>
                  <w:hideMark/>
                </w:tcPr>
                <w:p w14:paraId="5D9AFE0F" w14:textId="6E98BD1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84" w:type="dxa"/>
                  <w:tcBorders>
                    <w:top w:val="nil"/>
                    <w:left w:val="nil"/>
                    <w:bottom w:val="nil"/>
                    <w:right w:val="nil"/>
                  </w:tcBorders>
                  <w:noWrap/>
                  <w:vAlign w:val="bottom"/>
                  <w:hideMark/>
                </w:tcPr>
                <w:p w14:paraId="1E115C85" w14:textId="0FB6754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3</w:t>
                  </w:r>
                </w:p>
              </w:tc>
              <w:tc>
                <w:tcPr>
                  <w:tcW w:w="684" w:type="dxa"/>
                  <w:tcBorders>
                    <w:top w:val="nil"/>
                    <w:left w:val="nil"/>
                    <w:bottom w:val="nil"/>
                    <w:right w:val="nil"/>
                  </w:tcBorders>
                  <w:noWrap/>
                  <w:vAlign w:val="bottom"/>
                  <w:hideMark/>
                </w:tcPr>
                <w:p w14:paraId="1B171058" w14:textId="58BD616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4</w:t>
                  </w:r>
                </w:p>
              </w:tc>
              <w:tc>
                <w:tcPr>
                  <w:tcW w:w="614" w:type="dxa"/>
                  <w:tcBorders>
                    <w:top w:val="nil"/>
                    <w:left w:val="nil"/>
                    <w:bottom w:val="nil"/>
                    <w:right w:val="nil"/>
                  </w:tcBorders>
                  <w:noWrap/>
                  <w:vAlign w:val="bottom"/>
                  <w:hideMark/>
                </w:tcPr>
                <w:p w14:paraId="5EDAB205" w14:textId="659FB0E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2</w:t>
                  </w:r>
                </w:p>
              </w:tc>
              <w:tc>
                <w:tcPr>
                  <w:tcW w:w="614" w:type="dxa"/>
                  <w:tcBorders>
                    <w:top w:val="nil"/>
                    <w:left w:val="nil"/>
                    <w:bottom w:val="nil"/>
                    <w:right w:val="nil"/>
                  </w:tcBorders>
                  <w:noWrap/>
                  <w:vAlign w:val="bottom"/>
                  <w:hideMark/>
                </w:tcPr>
                <w:p w14:paraId="06EC508C" w14:textId="2680CECC"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1</w:t>
                  </w:r>
                </w:p>
              </w:tc>
            </w:tr>
            <w:tr w:rsidR="00B554E0" w:rsidRPr="00B131B0" w14:paraId="125F9F3F" w14:textId="77777777" w:rsidTr="003C4A79">
              <w:trPr>
                <w:trHeight w:val="255"/>
              </w:trPr>
              <w:tc>
                <w:tcPr>
                  <w:tcW w:w="4466" w:type="dxa"/>
                  <w:tcBorders>
                    <w:top w:val="nil"/>
                    <w:left w:val="nil"/>
                    <w:bottom w:val="nil"/>
                    <w:right w:val="nil"/>
                  </w:tcBorders>
                  <w:vAlign w:val="bottom"/>
                  <w:hideMark/>
                </w:tcPr>
                <w:p w14:paraId="0CEFD8FA" w14:textId="6D902C49"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Financial and insurance activities</w:t>
                  </w:r>
                </w:p>
              </w:tc>
              <w:tc>
                <w:tcPr>
                  <w:tcW w:w="649" w:type="dxa"/>
                  <w:tcBorders>
                    <w:top w:val="nil"/>
                    <w:left w:val="nil"/>
                    <w:bottom w:val="nil"/>
                    <w:right w:val="nil"/>
                  </w:tcBorders>
                  <w:noWrap/>
                  <w:vAlign w:val="bottom"/>
                  <w:hideMark/>
                </w:tcPr>
                <w:p w14:paraId="6863B0C1" w14:textId="40A78DA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5380D652" w14:textId="53E3A45C"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7</w:t>
                  </w:r>
                </w:p>
              </w:tc>
              <w:tc>
                <w:tcPr>
                  <w:tcW w:w="649" w:type="dxa"/>
                  <w:tcBorders>
                    <w:top w:val="nil"/>
                    <w:left w:val="nil"/>
                    <w:bottom w:val="nil"/>
                    <w:right w:val="nil"/>
                  </w:tcBorders>
                  <w:noWrap/>
                  <w:vAlign w:val="bottom"/>
                  <w:hideMark/>
                </w:tcPr>
                <w:p w14:paraId="10AAEB72" w14:textId="49D2177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9</w:t>
                  </w:r>
                </w:p>
              </w:tc>
              <w:tc>
                <w:tcPr>
                  <w:tcW w:w="649" w:type="dxa"/>
                  <w:tcBorders>
                    <w:top w:val="nil"/>
                    <w:left w:val="nil"/>
                    <w:bottom w:val="nil"/>
                    <w:right w:val="nil"/>
                  </w:tcBorders>
                  <w:noWrap/>
                  <w:vAlign w:val="bottom"/>
                  <w:hideMark/>
                </w:tcPr>
                <w:p w14:paraId="08173E39" w14:textId="6613BC6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7</w:t>
                  </w:r>
                </w:p>
              </w:tc>
              <w:tc>
                <w:tcPr>
                  <w:tcW w:w="684" w:type="dxa"/>
                  <w:tcBorders>
                    <w:top w:val="nil"/>
                    <w:left w:val="nil"/>
                    <w:bottom w:val="nil"/>
                    <w:right w:val="nil"/>
                  </w:tcBorders>
                  <w:noWrap/>
                  <w:vAlign w:val="bottom"/>
                  <w:hideMark/>
                </w:tcPr>
                <w:p w14:paraId="7EBAC0F5" w14:textId="1E101D7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9</w:t>
                  </w:r>
                </w:p>
              </w:tc>
              <w:tc>
                <w:tcPr>
                  <w:tcW w:w="684" w:type="dxa"/>
                  <w:tcBorders>
                    <w:top w:val="nil"/>
                    <w:left w:val="nil"/>
                    <w:bottom w:val="nil"/>
                    <w:right w:val="nil"/>
                  </w:tcBorders>
                  <w:noWrap/>
                  <w:vAlign w:val="bottom"/>
                  <w:hideMark/>
                </w:tcPr>
                <w:p w14:paraId="5D89764E" w14:textId="6087567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3</w:t>
                  </w:r>
                </w:p>
              </w:tc>
              <w:tc>
                <w:tcPr>
                  <w:tcW w:w="614" w:type="dxa"/>
                  <w:tcBorders>
                    <w:top w:val="nil"/>
                    <w:left w:val="nil"/>
                    <w:bottom w:val="nil"/>
                    <w:right w:val="nil"/>
                  </w:tcBorders>
                  <w:noWrap/>
                  <w:vAlign w:val="bottom"/>
                  <w:hideMark/>
                </w:tcPr>
                <w:p w14:paraId="7D8C7F8D" w14:textId="0EB82F3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8</w:t>
                  </w:r>
                </w:p>
              </w:tc>
              <w:tc>
                <w:tcPr>
                  <w:tcW w:w="614" w:type="dxa"/>
                  <w:tcBorders>
                    <w:top w:val="nil"/>
                    <w:left w:val="nil"/>
                    <w:bottom w:val="nil"/>
                    <w:right w:val="nil"/>
                  </w:tcBorders>
                  <w:noWrap/>
                  <w:vAlign w:val="bottom"/>
                  <w:hideMark/>
                </w:tcPr>
                <w:p w14:paraId="12062FAC" w14:textId="6D5963C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7</w:t>
                  </w:r>
                </w:p>
              </w:tc>
            </w:tr>
            <w:tr w:rsidR="00B554E0" w:rsidRPr="00B131B0" w14:paraId="4CB22028" w14:textId="77777777" w:rsidTr="003C4A79">
              <w:trPr>
                <w:trHeight w:val="255"/>
              </w:trPr>
              <w:tc>
                <w:tcPr>
                  <w:tcW w:w="4466" w:type="dxa"/>
                  <w:tcBorders>
                    <w:top w:val="nil"/>
                    <w:left w:val="nil"/>
                    <w:bottom w:val="nil"/>
                    <w:right w:val="nil"/>
                  </w:tcBorders>
                  <w:vAlign w:val="bottom"/>
                  <w:hideMark/>
                </w:tcPr>
                <w:p w14:paraId="796CEB7B" w14:textId="677C0BEB"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Real estate activities</w:t>
                  </w:r>
                </w:p>
              </w:tc>
              <w:tc>
                <w:tcPr>
                  <w:tcW w:w="649" w:type="dxa"/>
                  <w:tcBorders>
                    <w:top w:val="nil"/>
                    <w:left w:val="nil"/>
                    <w:bottom w:val="nil"/>
                    <w:right w:val="nil"/>
                  </w:tcBorders>
                  <w:noWrap/>
                  <w:vAlign w:val="bottom"/>
                  <w:hideMark/>
                </w:tcPr>
                <w:p w14:paraId="6292C558" w14:textId="2D25E41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49" w:type="dxa"/>
                  <w:tcBorders>
                    <w:top w:val="nil"/>
                    <w:left w:val="nil"/>
                    <w:bottom w:val="nil"/>
                    <w:right w:val="nil"/>
                  </w:tcBorders>
                  <w:noWrap/>
                  <w:vAlign w:val="bottom"/>
                  <w:hideMark/>
                </w:tcPr>
                <w:p w14:paraId="33A99DF5" w14:textId="31CE76A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49" w:type="dxa"/>
                  <w:tcBorders>
                    <w:top w:val="nil"/>
                    <w:left w:val="nil"/>
                    <w:bottom w:val="nil"/>
                    <w:right w:val="nil"/>
                  </w:tcBorders>
                  <w:noWrap/>
                  <w:vAlign w:val="bottom"/>
                  <w:hideMark/>
                </w:tcPr>
                <w:p w14:paraId="0D1D8371" w14:textId="32B29E3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49" w:type="dxa"/>
                  <w:tcBorders>
                    <w:top w:val="nil"/>
                    <w:left w:val="nil"/>
                    <w:bottom w:val="nil"/>
                    <w:right w:val="nil"/>
                  </w:tcBorders>
                  <w:noWrap/>
                  <w:vAlign w:val="bottom"/>
                  <w:hideMark/>
                </w:tcPr>
                <w:p w14:paraId="40484BCF" w14:textId="359FFA4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84" w:type="dxa"/>
                  <w:tcBorders>
                    <w:top w:val="nil"/>
                    <w:left w:val="nil"/>
                    <w:bottom w:val="nil"/>
                    <w:right w:val="nil"/>
                  </w:tcBorders>
                  <w:noWrap/>
                  <w:vAlign w:val="bottom"/>
                  <w:hideMark/>
                </w:tcPr>
                <w:p w14:paraId="30912229" w14:textId="331D080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84" w:type="dxa"/>
                  <w:tcBorders>
                    <w:top w:val="nil"/>
                    <w:left w:val="nil"/>
                    <w:bottom w:val="nil"/>
                    <w:right w:val="nil"/>
                  </w:tcBorders>
                  <w:noWrap/>
                  <w:vAlign w:val="bottom"/>
                  <w:hideMark/>
                </w:tcPr>
                <w:p w14:paraId="4AD85031" w14:textId="136E632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c>
                <w:tcPr>
                  <w:tcW w:w="614" w:type="dxa"/>
                  <w:tcBorders>
                    <w:top w:val="nil"/>
                    <w:left w:val="nil"/>
                    <w:bottom w:val="nil"/>
                    <w:right w:val="nil"/>
                  </w:tcBorders>
                  <w:noWrap/>
                  <w:vAlign w:val="bottom"/>
                  <w:hideMark/>
                </w:tcPr>
                <w:p w14:paraId="678944B6" w14:textId="06EF48D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614" w:type="dxa"/>
                  <w:tcBorders>
                    <w:top w:val="nil"/>
                    <w:left w:val="nil"/>
                    <w:bottom w:val="nil"/>
                    <w:right w:val="nil"/>
                  </w:tcBorders>
                  <w:noWrap/>
                  <w:vAlign w:val="bottom"/>
                  <w:hideMark/>
                </w:tcPr>
                <w:p w14:paraId="181DDCF3" w14:textId="6603AA6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r>
            <w:tr w:rsidR="00B554E0" w:rsidRPr="00B131B0" w14:paraId="49C2DCB9" w14:textId="77777777" w:rsidTr="003C4A79">
              <w:trPr>
                <w:trHeight w:val="255"/>
              </w:trPr>
              <w:tc>
                <w:tcPr>
                  <w:tcW w:w="4466" w:type="dxa"/>
                  <w:tcBorders>
                    <w:top w:val="nil"/>
                    <w:left w:val="nil"/>
                    <w:bottom w:val="nil"/>
                    <w:right w:val="nil"/>
                  </w:tcBorders>
                  <w:vAlign w:val="bottom"/>
                  <w:hideMark/>
                </w:tcPr>
                <w:p w14:paraId="68887C1D" w14:textId="2C5829EB" w:rsidR="00B554E0" w:rsidRPr="00B131B0" w:rsidRDefault="00B554E0" w:rsidP="00B554E0">
                  <w:pPr>
                    <w:spacing w:after="0" w:line="240" w:lineRule="auto"/>
                    <w:ind w:left="88"/>
                    <w:jc w:val="left"/>
                    <w:rPr>
                      <w:rFonts w:cs="Arial"/>
                      <w:color w:val="000000"/>
                      <w:sz w:val="16"/>
                      <w:szCs w:val="16"/>
                      <w:lang w:eastAsia="ko-KR"/>
                    </w:rPr>
                  </w:pPr>
                  <w:r w:rsidRPr="00B131B0">
                    <w:rPr>
                      <w:rFonts w:cs="Arial"/>
                      <w:color w:val="000000"/>
                      <w:sz w:val="16"/>
                      <w:szCs w:val="16"/>
                      <w:lang w:eastAsia="ko-KR"/>
                    </w:rPr>
                    <w:t>Profes</w:t>
                  </w:r>
                  <w:r>
                    <w:rPr>
                      <w:rFonts w:cs="Arial"/>
                      <w:color w:val="000000"/>
                      <w:sz w:val="16"/>
                      <w:szCs w:val="16"/>
                      <w:lang w:eastAsia="ko-KR"/>
                    </w:rPr>
                    <w:t>sional, scientific, technical and administrative activities</w:t>
                  </w:r>
                </w:p>
              </w:tc>
              <w:tc>
                <w:tcPr>
                  <w:tcW w:w="649" w:type="dxa"/>
                  <w:tcBorders>
                    <w:top w:val="nil"/>
                    <w:left w:val="nil"/>
                    <w:bottom w:val="nil"/>
                    <w:right w:val="nil"/>
                  </w:tcBorders>
                  <w:noWrap/>
                  <w:vAlign w:val="bottom"/>
                  <w:hideMark/>
                </w:tcPr>
                <w:p w14:paraId="570E5FB7" w14:textId="629E385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49" w:type="dxa"/>
                  <w:tcBorders>
                    <w:top w:val="nil"/>
                    <w:left w:val="nil"/>
                    <w:bottom w:val="nil"/>
                    <w:right w:val="nil"/>
                  </w:tcBorders>
                  <w:noWrap/>
                  <w:vAlign w:val="bottom"/>
                  <w:hideMark/>
                </w:tcPr>
                <w:p w14:paraId="5D7AE0FF" w14:textId="7F31988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nil"/>
                    <w:left w:val="nil"/>
                    <w:bottom w:val="nil"/>
                    <w:right w:val="nil"/>
                  </w:tcBorders>
                  <w:noWrap/>
                  <w:vAlign w:val="bottom"/>
                  <w:hideMark/>
                </w:tcPr>
                <w:p w14:paraId="4E167798" w14:textId="3185C1C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649" w:type="dxa"/>
                  <w:tcBorders>
                    <w:top w:val="nil"/>
                    <w:left w:val="nil"/>
                    <w:bottom w:val="nil"/>
                    <w:right w:val="nil"/>
                  </w:tcBorders>
                  <w:noWrap/>
                  <w:vAlign w:val="bottom"/>
                  <w:hideMark/>
                </w:tcPr>
                <w:p w14:paraId="4EF6DDB5" w14:textId="2B128F6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84" w:type="dxa"/>
                  <w:tcBorders>
                    <w:top w:val="nil"/>
                    <w:left w:val="nil"/>
                    <w:bottom w:val="nil"/>
                    <w:right w:val="nil"/>
                  </w:tcBorders>
                  <w:noWrap/>
                  <w:vAlign w:val="bottom"/>
                  <w:hideMark/>
                </w:tcPr>
                <w:p w14:paraId="6FA43A46" w14:textId="64D46C5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84" w:type="dxa"/>
                  <w:tcBorders>
                    <w:top w:val="nil"/>
                    <w:left w:val="nil"/>
                    <w:bottom w:val="nil"/>
                    <w:right w:val="nil"/>
                  </w:tcBorders>
                  <w:noWrap/>
                  <w:vAlign w:val="bottom"/>
                  <w:hideMark/>
                </w:tcPr>
                <w:p w14:paraId="0A5C8140" w14:textId="467EEAB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14" w:type="dxa"/>
                  <w:tcBorders>
                    <w:top w:val="nil"/>
                    <w:left w:val="nil"/>
                    <w:bottom w:val="nil"/>
                    <w:right w:val="nil"/>
                  </w:tcBorders>
                  <w:noWrap/>
                  <w:vAlign w:val="bottom"/>
                  <w:hideMark/>
                </w:tcPr>
                <w:p w14:paraId="19D7246E" w14:textId="001A683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1</w:t>
                  </w:r>
                </w:p>
              </w:tc>
              <w:tc>
                <w:tcPr>
                  <w:tcW w:w="614" w:type="dxa"/>
                  <w:tcBorders>
                    <w:top w:val="nil"/>
                    <w:left w:val="nil"/>
                    <w:bottom w:val="nil"/>
                    <w:right w:val="nil"/>
                  </w:tcBorders>
                  <w:noWrap/>
                  <w:vAlign w:val="bottom"/>
                  <w:hideMark/>
                </w:tcPr>
                <w:p w14:paraId="6D9D61EE" w14:textId="2A47C8B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0</w:t>
                  </w:r>
                </w:p>
              </w:tc>
            </w:tr>
            <w:tr w:rsidR="00B554E0" w:rsidRPr="00B131B0" w14:paraId="6DDFFD6C" w14:textId="77777777" w:rsidTr="003C4A79">
              <w:trPr>
                <w:trHeight w:val="255"/>
              </w:trPr>
              <w:tc>
                <w:tcPr>
                  <w:tcW w:w="4466" w:type="dxa"/>
                  <w:tcBorders>
                    <w:top w:val="nil"/>
                    <w:left w:val="nil"/>
                    <w:bottom w:val="nil"/>
                    <w:right w:val="nil"/>
                  </w:tcBorders>
                  <w:vAlign w:val="bottom"/>
                  <w:hideMark/>
                </w:tcPr>
                <w:p w14:paraId="539A8963" w14:textId="5824DBBC"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Public administration and defence, education, human health and social work</w:t>
                  </w:r>
                </w:p>
              </w:tc>
              <w:tc>
                <w:tcPr>
                  <w:tcW w:w="649" w:type="dxa"/>
                  <w:tcBorders>
                    <w:top w:val="nil"/>
                    <w:left w:val="nil"/>
                    <w:bottom w:val="nil"/>
                    <w:right w:val="nil"/>
                  </w:tcBorders>
                  <w:noWrap/>
                  <w:vAlign w:val="bottom"/>
                  <w:hideMark/>
                </w:tcPr>
                <w:p w14:paraId="6A956F2F" w14:textId="7F3A3F3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649" w:type="dxa"/>
                  <w:tcBorders>
                    <w:top w:val="nil"/>
                    <w:left w:val="nil"/>
                    <w:bottom w:val="nil"/>
                    <w:right w:val="nil"/>
                  </w:tcBorders>
                  <w:noWrap/>
                  <w:vAlign w:val="bottom"/>
                  <w:hideMark/>
                </w:tcPr>
                <w:p w14:paraId="01D73E36" w14:textId="33221AE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nil"/>
                    <w:left w:val="nil"/>
                    <w:bottom w:val="nil"/>
                    <w:right w:val="nil"/>
                  </w:tcBorders>
                  <w:noWrap/>
                  <w:vAlign w:val="bottom"/>
                  <w:hideMark/>
                </w:tcPr>
                <w:p w14:paraId="397A52D1" w14:textId="7A12F67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49" w:type="dxa"/>
                  <w:tcBorders>
                    <w:top w:val="nil"/>
                    <w:left w:val="nil"/>
                    <w:bottom w:val="nil"/>
                    <w:right w:val="nil"/>
                  </w:tcBorders>
                  <w:noWrap/>
                  <w:vAlign w:val="bottom"/>
                  <w:hideMark/>
                </w:tcPr>
                <w:p w14:paraId="24C7F46C" w14:textId="5E8EF3AE"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0</w:t>
                  </w:r>
                </w:p>
              </w:tc>
              <w:tc>
                <w:tcPr>
                  <w:tcW w:w="684" w:type="dxa"/>
                  <w:tcBorders>
                    <w:top w:val="nil"/>
                    <w:left w:val="nil"/>
                    <w:bottom w:val="nil"/>
                    <w:right w:val="nil"/>
                  </w:tcBorders>
                  <w:noWrap/>
                  <w:vAlign w:val="bottom"/>
                  <w:hideMark/>
                </w:tcPr>
                <w:p w14:paraId="25F88B35" w14:textId="4381583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684" w:type="dxa"/>
                  <w:tcBorders>
                    <w:top w:val="nil"/>
                    <w:left w:val="nil"/>
                    <w:bottom w:val="nil"/>
                    <w:right w:val="nil"/>
                  </w:tcBorders>
                  <w:noWrap/>
                  <w:vAlign w:val="bottom"/>
                  <w:hideMark/>
                </w:tcPr>
                <w:p w14:paraId="4B013E07" w14:textId="4378B24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614" w:type="dxa"/>
                  <w:tcBorders>
                    <w:top w:val="nil"/>
                    <w:left w:val="nil"/>
                    <w:bottom w:val="nil"/>
                    <w:right w:val="nil"/>
                  </w:tcBorders>
                  <w:noWrap/>
                  <w:vAlign w:val="bottom"/>
                  <w:hideMark/>
                </w:tcPr>
                <w:p w14:paraId="09B58137" w14:textId="1326C34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5</w:t>
                  </w:r>
                </w:p>
              </w:tc>
              <w:tc>
                <w:tcPr>
                  <w:tcW w:w="614" w:type="dxa"/>
                  <w:tcBorders>
                    <w:top w:val="nil"/>
                    <w:left w:val="nil"/>
                    <w:bottom w:val="nil"/>
                    <w:right w:val="nil"/>
                  </w:tcBorders>
                  <w:noWrap/>
                  <w:vAlign w:val="bottom"/>
                  <w:hideMark/>
                </w:tcPr>
                <w:p w14:paraId="132AD953" w14:textId="621EAC8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r>
            <w:tr w:rsidR="00B554E0" w:rsidRPr="00B131B0" w14:paraId="3AA923DC" w14:textId="77777777" w:rsidTr="003C4A79">
              <w:trPr>
                <w:trHeight w:val="255"/>
              </w:trPr>
              <w:tc>
                <w:tcPr>
                  <w:tcW w:w="4466" w:type="dxa"/>
                  <w:tcBorders>
                    <w:top w:val="nil"/>
                    <w:left w:val="nil"/>
                    <w:bottom w:val="nil"/>
                    <w:right w:val="nil"/>
                  </w:tcBorders>
                  <w:vAlign w:val="bottom"/>
                  <w:hideMark/>
                </w:tcPr>
                <w:p w14:paraId="450A01E2" w14:textId="7409170E" w:rsidR="00B554E0" w:rsidRPr="00B131B0" w:rsidRDefault="00B554E0" w:rsidP="00B554E0">
                  <w:pPr>
                    <w:spacing w:after="0" w:line="240" w:lineRule="auto"/>
                    <w:ind w:left="82"/>
                    <w:jc w:val="left"/>
                    <w:rPr>
                      <w:rFonts w:cs="Arial"/>
                      <w:color w:val="000000"/>
                      <w:sz w:val="16"/>
                      <w:szCs w:val="16"/>
                      <w:lang w:eastAsia="ko-KR"/>
                    </w:rPr>
                  </w:pPr>
                  <w:r w:rsidRPr="00B131B0">
                    <w:rPr>
                      <w:rFonts w:cs="Arial"/>
                      <w:color w:val="000000"/>
                      <w:sz w:val="16"/>
                      <w:szCs w:val="16"/>
                      <w:lang w:eastAsia="ko-KR"/>
                    </w:rPr>
                    <w:t>O</w:t>
                  </w:r>
                  <w:r>
                    <w:rPr>
                      <w:rFonts w:cs="Arial"/>
                      <w:color w:val="000000"/>
                      <w:sz w:val="16"/>
                      <w:szCs w:val="16"/>
                      <w:lang w:eastAsia="ko-KR"/>
                    </w:rPr>
                    <w:t>ther activities</w:t>
                  </w:r>
                </w:p>
              </w:tc>
              <w:tc>
                <w:tcPr>
                  <w:tcW w:w="649" w:type="dxa"/>
                  <w:tcBorders>
                    <w:top w:val="nil"/>
                    <w:left w:val="nil"/>
                    <w:bottom w:val="nil"/>
                    <w:right w:val="nil"/>
                  </w:tcBorders>
                  <w:noWrap/>
                  <w:vAlign w:val="bottom"/>
                  <w:hideMark/>
                </w:tcPr>
                <w:p w14:paraId="2BF71970" w14:textId="5AFEFB4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2</w:t>
                  </w:r>
                </w:p>
              </w:tc>
              <w:tc>
                <w:tcPr>
                  <w:tcW w:w="649" w:type="dxa"/>
                  <w:tcBorders>
                    <w:top w:val="nil"/>
                    <w:left w:val="nil"/>
                    <w:bottom w:val="nil"/>
                    <w:right w:val="nil"/>
                  </w:tcBorders>
                  <w:noWrap/>
                  <w:vAlign w:val="bottom"/>
                  <w:hideMark/>
                </w:tcPr>
                <w:p w14:paraId="4197AB77" w14:textId="3E473D7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649" w:type="dxa"/>
                  <w:tcBorders>
                    <w:top w:val="nil"/>
                    <w:left w:val="nil"/>
                    <w:bottom w:val="nil"/>
                    <w:right w:val="nil"/>
                  </w:tcBorders>
                  <w:noWrap/>
                  <w:vAlign w:val="bottom"/>
                  <w:hideMark/>
                </w:tcPr>
                <w:p w14:paraId="7299BC89" w14:textId="0D36761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649" w:type="dxa"/>
                  <w:tcBorders>
                    <w:top w:val="nil"/>
                    <w:left w:val="nil"/>
                    <w:bottom w:val="nil"/>
                    <w:right w:val="nil"/>
                  </w:tcBorders>
                  <w:noWrap/>
                  <w:vAlign w:val="bottom"/>
                  <w:hideMark/>
                </w:tcPr>
                <w:p w14:paraId="0EE2B87A" w14:textId="563DE5C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684" w:type="dxa"/>
                  <w:tcBorders>
                    <w:top w:val="nil"/>
                    <w:left w:val="nil"/>
                    <w:bottom w:val="nil"/>
                    <w:right w:val="nil"/>
                  </w:tcBorders>
                  <w:noWrap/>
                  <w:vAlign w:val="bottom"/>
                  <w:hideMark/>
                </w:tcPr>
                <w:p w14:paraId="2ACBD898" w14:textId="16DA0F2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2</w:t>
                  </w:r>
                </w:p>
              </w:tc>
              <w:tc>
                <w:tcPr>
                  <w:tcW w:w="684" w:type="dxa"/>
                  <w:tcBorders>
                    <w:top w:val="nil"/>
                    <w:left w:val="nil"/>
                    <w:bottom w:val="nil"/>
                    <w:right w:val="nil"/>
                  </w:tcBorders>
                  <w:noWrap/>
                  <w:vAlign w:val="bottom"/>
                  <w:hideMark/>
                </w:tcPr>
                <w:p w14:paraId="69410281" w14:textId="3811B2EC"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0</w:t>
                  </w:r>
                </w:p>
              </w:tc>
              <w:tc>
                <w:tcPr>
                  <w:tcW w:w="614" w:type="dxa"/>
                  <w:tcBorders>
                    <w:top w:val="nil"/>
                    <w:left w:val="nil"/>
                    <w:bottom w:val="nil"/>
                    <w:right w:val="nil"/>
                  </w:tcBorders>
                  <w:noWrap/>
                  <w:vAlign w:val="bottom"/>
                  <w:hideMark/>
                </w:tcPr>
                <w:p w14:paraId="7E09ED0B" w14:textId="0006065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2</w:t>
                  </w:r>
                </w:p>
              </w:tc>
              <w:tc>
                <w:tcPr>
                  <w:tcW w:w="614" w:type="dxa"/>
                  <w:tcBorders>
                    <w:top w:val="nil"/>
                    <w:left w:val="nil"/>
                    <w:bottom w:val="nil"/>
                    <w:right w:val="nil"/>
                  </w:tcBorders>
                  <w:noWrap/>
                  <w:vAlign w:val="bottom"/>
                  <w:hideMark/>
                </w:tcPr>
                <w:p w14:paraId="5DD7CB8F" w14:textId="6671EF4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r>
          </w:tbl>
          <w:p w14:paraId="05D192E1" w14:textId="77777777" w:rsidR="00B554E0" w:rsidRPr="00B131B0" w:rsidRDefault="00B554E0" w:rsidP="00B554E0"/>
        </w:tc>
      </w:tr>
      <w:tr w:rsidR="00B554E0" w:rsidRPr="00B131B0" w14:paraId="40148AC8" w14:textId="77777777" w:rsidTr="003C4A79">
        <w:trPr>
          <w:trHeight w:val="154"/>
        </w:trPr>
        <w:tc>
          <w:tcPr>
            <w:tcW w:w="9639" w:type="dxa"/>
            <w:gridSpan w:val="3"/>
            <w:tcMar>
              <w:left w:w="0" w:type="dxa"/>
            </w:tcMar>
          </w:tcPr>
          <w:p w14:paraId="18EFBC39" w14:textId="2C1B2005" w:rsidR="00B554E0" w:rsidRPr="00B131B0" w:rsidRDefault="00B554E0" w:rsidP="00B554E0">
            <w:pPr>
              <w:spacing w:before="120"/>
              <w:rPr>
                <w:sz w:val="16"/>
                <w:szCs w:val="16"/>
              </w:rPr>
            </w:pPr>
            <w:r>
              <w:rPr>
                <w:sz w:val="16"/>
                <w:szCs w:val="16"/>
              </w:rPr>
              <w:t>Source</w:t>
            </w:r>
            <w:r w:rsidRPr="00B131B0">
              <w:rPr>
                <w:sz w:val="16"/>
                <w:szCs w:val="16"/>
              </w:rPr>
              <w:t xml:space="preserve">: </w:t>
            </w:r>
            <w:r>
              <w:rPr>
                <w:sz w:val="16"/>
                <w:szCs w:val="16"/>
              </w:rPr>
              <w:t>CZSO</w:t>
            </w:r>
          </w:p>
        </w:tc>
      </w:tr>
      <w:tr w:rsidR="00B554E0" w:rsidRPr="00B131B0" w14:paraId="5631C545" w14:textId="77777777" w:rsidTr="003C4A79">
        <w:trPr>
          <w:trHeight w:val="145"/>
        </w:trPr>
        <w:tc>
          <w:tcPr>
            <w:tcW w:w="1806" w:type="dxa"/>
            <w:tcMar>
              <w:left w:w="0" w:type="dxa"/>
            </w:tcMar>
          </w:tcPr>
          <w:p w14:paraId="5244E7A8" w14:textId="42423054" w:rsidR="00B554E0" w:rsidRPr="00B131B0" w:rsidRDefault="00B554E0" w:rsidP="00B554E0">
            <w:pPr>
              <w:pStyle w:val="Marginlie"/>
            </w:pPr>
            <w:r w:rsidRPr="00305E92">
              <w:t>Nominal wage growth accelerated compared to the beginning of the year.</w:t>
            </w:r>
          </w:p>
        </w:tc>
        <w:tc>
          <w:tcPr>
            <w:tcW w:w="210" w:type="dxa"/>
            <w:tcMar>
              <w:left w:w="0" w:type="dxa"/>
            </w:tcMar>
          </w:tcPr>
          <w:p w14:paraId="38780846" w14:textId="77777777" w:rsidR="00B554E0" w:rsidRPr="00B131B0" w:rsidRDefault="00B554E0" w:rsidP="00B554E0">
            <w:pPr>
              <w:pStyle w:val="Textpoznpodarou"/>
              <w:jc w:val="both"/>
              <w:rPr>
                <w:spacing w:val="-4"/>
              </w:rPr>
            </w:pPr>
          </w:p>
        </w:tc>
        <w:tc>
          <w:tcPr>
            <w:tcW w:w="7623" w:type="dxa"/>
            <w:tcMar>
              <w:left w:w="0" w:type="dxa"/>
            </w:tcMar>
          </w:tcPr>
          <w:p w14:paraId="6FE24303" w14:textId="41921D71" w:rsidR="00B554E0" w:rsidRPr="00B131B0" w:rsidRDefault="00B554E0" w:rsidP="00B554E0">
            <w:r w:rsidRPr="003C3E52">
              <w:t xml:space="preserve">Quarter-on-quarter growth </w:t>
            </w:r>
            <w:r>
              <w:t xml:space="preserve">of paid out </w:t>
            </w:r>
            <w:r w:rsidRPr="003C3E52">
              <w:t xml:space="preserve">wages and salaries decelerated to its lowest level in five years in Q1, </w:t>
            </w:r>
            <w:r>
              <w:t>nevertheless it a</w:t>
            </w:r>
            <w:r w:rsidRPr="003C3E52">
              <w:t xml:space="preserve">ccelerated significantly to 2.7% in Q2. This development was partly supported by a significant recovery </w:t>
            </w:r>
            <w:r>
              <w:t>of</w:t>
            </w:r>
            <w:r w:rsidRPr="003C3E52">
              <w:t xml:space="preserve"> quarter-on-quarter growth </w:t>
            </w:r>
            <w:r>
              <w:t>of</w:t>
            </w:r>
            <w:r w:rsidRPr="003C3E52">
              <w:t xml:space="preserve"> total employment</w:t>
            </w:r>
            <w:r w:rsidRPr="00B131B0">
              <w:rPr>
                <w:rStyle w:val="Znakapoznpodarou"/>
                <w:spacing w:val="-2"/>
              </w:rPr>
              <w:footnoteReference w:id="6"/>
            </w:r>
            <w:r w:rsidRPr="003C3E52">
              <w:t xml:space="preserve"> (0.9%, which </w:t>
            </w:r>
            <w:r>
              <w:t xml:space="preserve">represented </w:t>
            </w:r>
            <w:r w:rsidRPr="003C3E52">
              <w:t xml:space="preserve">the largest increase since Q3 2021). The strong nominal growth </w:t>
            </w:r>
            <w:r>
              <w:t>of</w:t>
            </w:r>
            <w:r w:rsidRPr="003C3E52">
              <w:t xml:space="preserve"> wages and salaries was also offset by stronger growth </w:t>
            </w:r>
            <w:r>
              <w:t>of</w:t>
            </w:r>
            <w:r w:rsidRPr="003C3E52">
              <w:t xml:space="preserve"> the price level in Q2, so that real wage growth</w:t>
            </w:r>
            <w:r w:rsidRPr="00B131B0">
              <w:rPr>
                <w:rStyle w:val="Znakapoznpodarou"/>
                <w:spacing w:val="-2"/>
              </w:rPr>
              <w:footnoteReference w:id="7"/>
            </w:r>
            <w:r w:rsidRPr="003C3E52">
              <w:t xml:space="preserve"> </w:t>
            </w:r>
            <w:r>
              <w:t xml:space="preserve">climbed </w:t>
            </w:r>
            <w:r w:rsidRPr="003C3E52">
              <w:t xml:space="preserve">to a long-term above average 2.0%. Year-on-year nominal growth </w:t>
            </w:r>
            <w:r>
              <w:t>of</w:t>
            </w:r>
            <w:r w:rsidRPr="003C3E52">
              <w:t xml:space="preserve"> </w:t>
            </w:r>
            <w:r>
              <w:t xml:space="preserve">paid out </w:t>
            </w:r>
            <w:r w:rsidRPr="003C3E52">
              <w:t>wages and salaries also accelerated and reached 7.4% against employment growth of 1.5%. The real year-on-year increase was 4.9%.</w:t>
            </w:r>
            <w:r>
              <w:t xml:space="preserve"> </w:t>
            </w:r>
          </w:p>
        </w:tc>
      </w:tr>
      <w:tr w:rsidR="00B554E0" w:rsidRPr="00B131B0" w14:paraId="4DCD0A16" w14:textId="77777777" w:rsidTr="003C4A79">
        <w:trPr>
          <w:trHeight w:val="170"/>
        </w:trPr>
        <w:tc>
          <w:tcPr>
            <w:tcW w:w="9639" w:type="dxa"/>
            <w:gridSpan w:val="3"/>
            <w:tcMar>
              <w:left w:w="0" w:type="dxa"/>
            </w:tcMar>
          </w:tcPr>
          <w:p w14:paraId="4E69D995" w14:textId="6BBE182B" w:rsidR="00B554E0" w:rsidRPr="00B131B0" w:rsidRDefault="00B554E0" w:rsidP="00B554E0">
            <w:pPr>
              <w:spacing w:after="0"/>
              <w:rPr>
                <w:b/>
                <w:bCs/>
              </w:rPr>
            </w:pPr>
            <w:r w:rsidRPr="00B131B0">
              <w:rPr>
                <w:b/>
                <w:bCs/>
              </w:rPr>
              <w:t>Tab</w:t>
            </w:r>
            <w:r>
              <w:rPr>
                <w:b/>
                <w:bCs/>
              </w:rPr>
              <w:t xml:space="preserve">le </w:t>
            </w:r>
            <w:r w:rsidRPr="00B131B0">
              <w:rPr>
                <w:b/>
                <w:bCs/>
              </w:rPr>
              <w:t xml:space="preserve">2 </w:t>
            </w:r>
            <w:r>
              <w:rPr>
                <w:b/>
                <w:bCs/>
              </w:rPr>
              <w:t xml:space="preserve">Labour market dynamics in Q2 </w:t>
            </w:r>
            <w:r w:rsidRPr="00B131B0">
              <w:rPr>
                <w:b/>
                <w:bCs/>
              </w:rPr>
              <w:t xml:space="preserve">2026 </w:t>
            </w:r>
            <w:r w:rsidRPr="00B131B0">
              <w:t>(</w:t>
            </w:r>
            <w:r>
              <w:t>in</w:t>
            </w:r>
            <w:r w:rsidRPr="00B131B0">
              <w:t xml:space="preserve"> %)</w:t>
            </w:r>
          </w:p>
        </w:tc>
      </w:tr>
      <w:tr w:rsidR="00B554E0" w:rsidRPr="00B131B0" w14:paraId="301B676C" w14:textId="77777777" w:rsidTr="003C4A79">
        <w:trPr>
          <w:trHeight w:val="170"/>
        </w:trPr>
        <w:tc>
          <w:tcPr>
            <w:tcW w:w="9639" w:type="dxa"/>
            <w:gridSpan w:val="3"/>
            <w:tcMar>
              <w:left w:w="0" w:type="dxa"/>
            </w:tcMar>
          </w:tcPr>
          <w:tbl>
            <w:tblPr>
              <w:tblW w:w="9653" w:type="dxa"/>
              <w:tblLayout w:type="fixed"/>
              <w:tblCellMar>
                <w:left w:w="70" w:type="dxa"/>
                <w:right w:w="70" w:type="dxa"/>
              </w:tblCellMar>
              <w:tblLook w:val="04A0" w:firstRow="1" w:lastRow="0" w:firstColumn="1" w:lastColumn="0" w:noHBand="0" w:noVBand="1"/>
            </w:tblPr>
            <w:tblGrid>
              <w:gridCol w:w="4840"/>
              <w:gridCol w:w="1203"/>
              <w:gridCol w:w="1203"/>
              <w:gridCol w:w="1203"/>
              <w:gridCol w:w="1204"/>
            </w:tblGrid>
            <w:tr w:rsidR="00B554E0" w:rsidRPr="00B131B0" w14:paraId="31956F39" w14:textId="77777777" w:rsidTr="003C4A79">
              <w:trPr>
                <w:trHeight w:val="255"/>
              </w:trPr>
              <w:tc>
                <w:tcPr>
                  <w:tcW w:w="4840" w:type="dxa"/>
                  <w:tcBorders>
                    <w:top w:val="nil"/>
                    <w:left w:val="nil"/>
                    <w:bottom w:val="nil"/>
                    <w:right w:val="nil"/>
                  </w:tcBorders>
                  <w:noWrap/>
                  <w:vAlign w:val="bottom"/>
                  <w:hideMark/>
                </w:tcPr>
                <w:p w14:paraId="4E08C97B" w14:textId="77777777" w:rsidR="00B554E0" w:rsidRPr="00B131B0" w:rsidRDefault="00B554E0" w:rsidP="00B554E0">
                  <w:pPr>
                    <w:spacing w:after="0" w:line="240" w:lineRule="auto"/>
                    <w:jc w:val="left"/>
                    <w:rPr>
                      <w:rFonts w:ascii="Times New Roman" w:hAnsi="Times New Roman"/>
                      <w:sz w:val="24"/>
                      <w:szCs w:val="20"/>
                      <w:lang w:eastAsia="ko-KR"/>
                    </w:rPr>
                  </w:pPr>
                </w:p>
              </w:tc>
              <w:tc>
                <w:tcPr>
                  <w:tcW w:w="2406" w:type="dxa"/>
                  <w:gridSpan w:val="2"/>
                  <w:tcBorders>
                    <w:top w:val="nil"/>
                    <w:left w:val="nil"/>
                    <w:bottom w:val="nil"/>
                    <w:right w:val="nil"/>
                  </w:tcBorders>
                  <w:noWrap/>
                  <w:vAlign w:val="bottom"/>
                  <w:hideMark/>
                </w:tcPr>
                <w:p w14:paraId="42264535" w14:textId="79919541"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Wages and salaries</w:t>
                  </w:r>
                </w:p>
              </w:tc>
              <w:tc>
                <w:tcPr>
                  <w:tcW w:w="2407" w:type="dxa"/>
                  <w:gridSpan w:val="2"/>
                  <w:tcBorders>
                    <w:top w:val="nil"/>
                    <w:left w:val="nil"/>
                    <w:bottom w:val="nil"/>
                    <w:right w:val="nil"/>
                  </w:tcBorders>
                  <w:noWrap/>
                  <w:vAlign w:val="bottom"/>
                  <w:hideMark/>
                </w:tcPr>
                <w:p w14:paraId="5139CDB5" w14:textId="27620CEF"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Total employment</w:t>
                  </w:r>
                </w:p>
              </w:tc>
            </w:tr>
            <w:tr w:rsidR="00B554E0" w:rsidRPr="00B131B0" w14:paraId="76D8F236" w14:textId="77777777" w:rsidTr="003C4A79">
              <w:trPr>
                <w:trHeight w:val="255"/>
              </w:trPr>
              <w:tc>
                <w:tcPr>
                  <w:tcW w:w="4840" w:type="dxa"/>
                  <w:tcBorders>
                    <w:top w:val="nil"/>
                    <w:left w:val="nil"/>
                    <w:bottom w:val="nil"/>
                    <w:right w:val="nil"/>
                  </w:tcBorders>
                  <w:noWrap/>
                  <w:vAlign w:val="bottom"/>
                  <w:hideMark/>
                </w:tcPr>
                <w:p w14:paraId="4CD8A8B6" w14:textId="77777777" w:rsidR="00B554E0" w:rsidRPr="00B131B0" w:rsidRDefault="00B554E0" w:rsidP="00B554E0">
                  <w:pPr>
                    <w:spacing w:after="0" w:line="240" w:lineRule="auto"/>
                    <w:jc w:val="center"/>
                    <w:rPr>
                      <w:rFonts w:cs="Arial"/>
                      <w:color w:val="000000"/>
                      <w:sz w:val="16"/>
                      <w:szCs w:val="16"/>
                      <w:lang w:eastAsia="ko-KR"/>
                    </w:rPr>
                  </w:pPr>
                </w:p>
              </w:tc>
              <w:tc>
                <w:tcPr>
                  <w:tcW w:w="1203" w:type="dxa"/>
                  <w:tcBorders>
                    <w:top w:val="nil"/>
                    <w:left w:val="nil"/>
                    <w:bottom w:val="single" w:sz="4" w:space="0" w:color="auto"/>
                    <w:right w:val="nil"/>
                  </w:tcBorders>
                  <w:noWrap/>
                  <w:vAlign w:val="bottom"/>
                  <w:hideMark/>
                </w:tcPr>
                <w:p w14:paraId="2ECD2124" w14:textId="12B04B3A"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Quarter-on-quarter</w:t>
                  </w:r>
                </w:p>
              </w:tc>
              <w:tc>
                <w:tcPr>
                  <w:tcW w:w="1203" w:type="dxa"/>
                  <w:tcBorders>
                    <w:top w:val="nil"/>
                    <w:left w:val="nil"/>
                    <w:bottom w:val="single" w:sz="4" w:space="0" w:color="auto"/>
                    <w:right w:val="nil"/>
                  </w:tcBorders>
                  <w:noWrap/>
                  <w:vAlign w:val="bottom"/>
                  <w:hideMark/>
                </w:tcPr>
                <w:p w14:paraId="0E7D1F73" w14:textId="16CDF633"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Year-on-year</w:t>
                  </w:r>
                </w:p>
              </w:tc>
              <w:tc>
                <w:tcPr>
                  <w:tcW w:w="1203" w:type="dxa"/>
                  <w:tcBorders>
                    <w:top w:val="nil"/>
                    <w:left w:val="nil"/>
                    <w:bottom w:val="single" w:sz="4" w:space="0" w:color="auto"/>
                    <w:right w:val="nil"/>
                  </w:tcBorders>
                  <w:noWrap/>
                  <w:vAlign w:val="bottom"/>
                  <w:hideMark/>
                </w:tcPr>
                <w:p w14:paraId="712C292F" w14:textId="56A4CE46"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Quarter-on-quarter</w:t>
                  </w:r>
                </w:p>
              </w:tc>
              <w:tc>
                <w:tcPr>
                  <w:tcW w:w="1204" w:type="dxa"/>
                  <w:tcBorders>
                    <w:top w:val="nil"/>
                    <w:left w:val="nil"/>
                    <w:bottom w:val="single" w:sz="4" w:space="0" w:color="auto"/>
                    <w:right w:val="nil"/>
                  </w:tcBorders>
                  <w:noWrap/>
                  <w:vAlign w:val="bottom"/>
                  <w:hideMark/>
                </w:tcPr>
                <w:p w14:paraId="4634E8EF" w14:textId="3B1A250A" w:rsidR="00B554E0" w:rsidRPr="00B131B0" w:rsidRDefault="00B554E0" w:rsidP="00B554E0">
                  <w:pPr>
                    <w:spacing w:after="0" w:line="240" w:lineRule="auto"/>
                    <w:jc w:val="center"/>
                    <w:rPr>
                      <w:rFonts w:cs="Arial"/>
                      <w:color w:val="000000"/>
                      <w:sz w:val="16"/>
                      <w:szCs w:val="16"/>
                      <w:lang w:eastAsia="ko-KR"/>
                    </w:rPr>
                  </w:pPr>
                  <w:r>
                    <w:rPr>
                      <w:rFonts w:cs="Arial"/>
                      <w:color w:val="000000"/>
                      <w:sz w:val="16"/>
                      <w:szCs w:val="16"/>
                      <w:lang w:eastAsia="ko-KR"/>
                    </w:rPr>
                    <w:t>Year-on-year</w:t>
                  </w:r>
                </w:p>
              </w:tc>
            </w:tr>
            <w:tr w:rsidR="00B554E0" w:rsidRPr="00B131B0" w14:paraId="374EAA20" w14:textId="77777777" w:rsidTr="003C4A79">
              <w:trPr>
                <w:trHeight w:val="255"/>
              </w:trPr>
              <w:tc>
                <w:tcPr>
                  <w:tcW w:w="4840" w:type="dxa"/>
                  <w:tcBorders>
                    <w:top w:val="single" w:sz="4" w:space="0" w:color="auto"/>
                    <w:left w:val="nil"/>
                    <w:bottom w:val="nil"/>
                    <w:right w:val="nil"/>
                  </w:tcBorders>
                  <w:vAlign w:val="bottom"/>
                  <w:hideMark/>
                </w:tcPr>
                <w:p w14:paraId="7BD0F634" w14:textId="0112CD81" w:rsidR="00B554E0" w:rsidRPr="00B131B0" w:rsidRDefault="00B554E0" w:rsidP="00B554E0">
                  <w:pPr>
                    <w:spacing w:after="0" w:line="240" w:lineRule="auto"/>
                    <w:jc w:val="left"/>
                    <w:rPr>
                      <w:rFonts w:cs="Arial"/>
                      <w:color w:val="000000"/>
                      <w:sz w:val="16"/>
                      <w:szCs w:val="16"/>
                      <w:lang w:eastAsia="ko-KR"/>
                    </w:rPr>
                  </w:pPr>
                  <w:r>
                    <w:rPr>
                      <w:rFonts w:cs="Arial"/>
                      <w:color w:val="000000"/>
                      <w:sz w:val="16"/>
                      <w:szCs w:val="16"/>
                      <w:lang w:eastAsia="ko-KR"/>
                    </w:rPr>
                    <w:t>Total</w:t>
                  </w:r>
                </w:p>
              </w:tc>
              <w:tc>
                <w:tcPr>
                  <w:tcW w:w="1203" w:type="dxa"/>
                  <w:tcBorders>
                    <w:top w:val="nil"/>
                    <w:left w:val="nil"/>
                    <w:bottom w:val="nil"/>
                    <w:right w:val="nil"/>
                  </w:tcBorders>
                  <w:noWrap/>
                  <w:vAlign w:val="bottom"/>
                  <w:hideMark/>
                </w:tcPr>
                <w:p w14:paraId="1A821B02" w14:textId="2029DEA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7</w:t>
                  </w:r>
                </w:p>
              </w:tc>
              <w:tc>
                <w:tcPr>
                  <w:tcW w:w="1203" w:type="dxa"/>
                  <w:tcBorders>
                    <w:top w:val="nil"/>
                    <w:left w:val="nil"/>
                    <w:bottom w:val="nil"/>
                    <w:right w:val="nil"/>
                  </w:tcBorders>
                  <w:noWrap/>
                  <w:vAlign w:val="bottom"/>
                  <w:hideMark/>
                </w:tcPr>
                <w:p w14:paraId="0C52E7C8" w14:textId="19F9A35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4</w:t>
                  </w:r>
                </w:p>
              </w:tc>
              <w:tc>
                <w:tcPr>
                  <w:tcW w:w="1203" w:type="dxa"/>
                  <w:tcBorders>
                    <w:top w:val="nil"/>
                    <w:left w:val="nil"/>
                    <w:bottom w:val="nil"/>
                    <w:right w:val="nil"/>
                  </w:tcBorders>
                  <w:noWrap/>
                  <w:vAlign w:val="bottom"/>
                  <w:hideMark/>
                </w:tcPr>
                <w:p w14:paraId="6392A524" w14:textId="7216555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c>
                <w:tcPr>
                  <w:tcW w:w="1204" w:type="dxa"/>
                  <w:tcBorders>
                    <w:top w:val="nil"/>
                    <w:left w:val="nil"/>
                    <w:bottom w:val="nil"/>
                    <w:right w:val="nil"/>
                  </w:tcBorders>
                  <w:noWrap/>
                  <w:vAlign w:val="bottom"/>
                  <w:hideMark/>
                </w:tcPr>
                <w:p w14:paraId="0BD64CD8" w14:textId="5278E59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r>
            <w:tr w:rsidR="00B554E0" w:rsidRPr="00B131B0" w14:paraId="316E5D01" w14:textId="77777777" w:rsidTr="003C4A79">
              <w:trPr>
                <w:trHeight w:val="255"/>
              </w:trPr>
              <w:tc>
                <w:tcPr>
                  <w:tcW w:w="4840" w:type="dxa"/>
                  <w:tcBorders>
                    <w:top w:val="nil"/>
                    <w:left w:val="nil"/>
                    <w:bottom w:val="nil"/>
                    <w:right w:val="nil"/>
                  </w:tcBorders>
                  <w:vAlign w:val="bottom"/>
                  <w:hideMark/>
                </w:tcPr>
                <w:p w14:paraId="5FE1552E" w14:textId="7A00CF5D"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Agriculture, forestry and fishing</w:t>
                  </w:r>
                </w:p>
              </w:tc>
              <w:tc>
                <w:tcPr>
                  <w:tcW w:w="1203" w:type="dxa"/>
                  <w:tcBorders>
                    <w:top w:val="nil"/>
                    <w:left w:val="nil"/>
                    <w:bottom w:val="nil"/>
                    <w:right w:val="nil"/>
                  </w:tcBorders>
                  <w:noWrap/>
                  <w:vAlign w:val="bottom"/>
                  <w:hideMark/>
                </w:tcPr>
                <w:p w14:paraId="628DB175" w14:textId="4149BE1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4</w:t>
                  </w:r>
                </w:p>
              </w:tc>
              <w:tc>
                <w:tcPr>
                  <w:tcW w:w="1203" w:type="dxa"/>
                  <w:tcBorders>
                    <w:top w:val="nil"/>
                    <w:left w:val="nil"/>
                    <w:bottom w:val="nil"/>
                    <w:right w:val="nil"/>
                  </w:tcBorders>
                  <w:noWrap/>
                  <w:vAlign w:val="bottom"/>
                  <w:hideMark/>
                </w:tcPr>
                <w:p w14:paraId="70DDB6FC" w14:textId="4221285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6</w:t>
                  </w:r>
                </w:p>
              </w:tc>
              <w:tc>
                <w:tcPr>
                  <w:tcW w:w="1203" w:type="dxa"/>
                  <w:tcBorders>
                    <w:top w:val="nil"/>
                    <w:left w:val="nil"/>
                    <w:bottom w:val="nil"/>
                    <w:right w:val="nil"/>
                  </w:tcBorders>
                  <w:noWrap/>
                  <w:vAlign w:val="bottom"/>
                  <w:hideMark/>
                </w:tcPr>
                <w:p w14:paraId="04C1C774" w14:textId="3111B21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3</w:t>
                  </w:r>
                </w:p>
              </w:tc>
              <w:tc>
                <w:tcPr>
                  <w:tcW w:w="1204" w:type="dxa"/>
                  <w:tcBorders>
                    <w:top w:val="nil"/>
                    <w:left w:val="nil"/>
                    <w:bottom w:val="nil"/>
                    <w:right w:val="nil"/>
                  </w:tcBorders>
                  <w:noWrap/>
                  <w:vAlign w:val="bottom"/>
                  <w:hideMark/>
                </w:tcPr>
                <w:p w14:paraId="190D61D1" w14:textId="235E1C0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5</w:t>
                  </w:r>
                </w:p>
              </w:tc>
            </w:tr>
            <w:tr w:rsidR="00B554E0" w:rsidRPr="00B131B0" w14:paraId="56D4AB23" w14:textId="77777777" w:rsidTr="003C4A79">
              <w:trPr>
                <w:trHeight w:val="255"/>
              </w:trPr>
              <w:tc>
                <w:tcPr>
                  <w:tcW w:w="4840" w:type="dxa"/>
                  <w:tcBorders>
                    <w:top w:val="nil"/>
                    <w:left w:val="nil"/>
                    <w:bottom w:val="nil"/>
                    <w:right w:val="nil"/>
                  </w:tcBorders>
                  <w:vAlign w:val="bottom"/>
                  <w:hideMark/>
                </w:tcPr>
                <w:p w14:paraId="71F2AD2D" w14:textId="17E31263"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Industry</w:t>
                  </w:r>
                </w:p>
              </w:tc>
              <w:tc>
                <w:tcPr>
                  <w:tcW w:w="1203" w:type="dxa"/>
                  <w:tcBorders>
                    <w:top w:val="nil"/>
                    <w:left w:val="nil"/>
                    <w:bottom w:val="nil"/>
                    <w:right w:val="nil"/>
                  </w:tcBorders>
                  <w:noWrap/>
                  <w:vAlign w:val="bottom"/>
                  <w:hideMark/>
                </w:tcPr>
                <w:p w14:paraId="05EA91EF" w14:textId="6074788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1203" w:type="dxa"/>
                  <w:tcBorders>
                    <w:top w:val="nil"/>
                    <w:left w:val="nil"/>
                    <w:bottom w:val="nil"/>
                    <w:right w:val="nil"/>
                  </w:tcBorders>
                  <w:noWrap/>
                  <w:vAlign w:val="bottom"/>
                  <w:hideMark/>
                </w:tcPr>
                <w:p w14:paraId="12ED3799" w14:textId="10A9D6D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2</w:t>
                  </w:r>
                </w:p>
              </w:tc>
              <w:tc>
                <w:tcPr>
                  <w:tcW w:w="1203" w:type="dxa"/>
                  <w:tcBorders>
                    <w:top w:val="nil"/>
                    <w:left w:val="nil"/>
                    <w:bottom w:val="nil"/>
                    <w:right w:val="nil"/>
                  </w:tcBorders>
                  <w:noWrap/>
                  <w:vAlign w:val="bottom"/>
                  <w:hideMark/>
                </w:tcPr>
                <w:p w14:paraId="317A9DC8" w14:textId="6B3EE28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4</w:t>
                  </w:r>
                </w:p>
              </w:tc>
              <w:tc>
                <w:tcPr>
                  <w:tcW w:w="1204" w:type="dxa"/>
                  <w:tcBorders>
                    <w:top w:val="nil"/>
                    <w:left w:val="nil"/>
                    <w:bottom w:val="nil"/>
                    <w:right w:val="nil"/>
                  </w:tcBorders>
                  <w:noWrap/>
                  <w:vAlign w:val="bottom"/>
                  <w:hideMark/>
                </w:tcPr>
                <w:p w14:paraId="4803DA25" w14:textId="095F07DA"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r>
            <w:tr w:rsidR="00B554E0" w:rsidRPr="00B131B0" w14:paraId="42633735" w14:textId="77777777" w:rsidTr="003C4A79">
              <w:trPr>
                <w:trHeight w:val="255"/>
              </w:trPr>
              <w:tc>
                <w:tcPr>
                  <w:tcW w:w="4840" w:type="dxa"/>
                  <w:tcBorders>
                    <w:top w:val="nil"/>
                    <w:left w:val="nil"/>
                    <w:bottom w:val="nil"/>
                    <w:right w:val="nil"/>
                  </w:tcBorders>
                  <w:vAlign w:val="bottom"/>
                  <w:hideMark/>
                </w:tcPr>
                <w:p w14:paraId="37B6348F" w14:textId="097DFB34" w:rsidR="00B554E0" w:rsidRPr="00B131B0" w:rsidRDefault="00B554E0" w:rsidP="00B554E0">
                  <w:pPr>
                    <w:spacing w:after="0" w:line="240" w:lineRule="auto"/>
                    <w:ind w:left="230"/>
                    <w:jc w:val="left"/>
                    <w:rPr>
                      <w:rFonts w:cs="Arial"/>
                      <w:color w:val="000000"/>
                      <w:sz w:val="16"/>
                      <w:szCs w:val="16"/>
                      <w:lang w:eastAsia="ko-KR"/>
                    </w:rPr>
                  </w:pPr>
                  <w:r>
                    <w:rPr>
                      <w:rFonts w:cs="Arial"/>
                      <w:color w:val="000000"/>
                      <w:sz w:val="16"/>
                      <w:szCs w:val="16"/>
                      <w:lang w:eastAsia="ko-KR"/>
                    </w:rPr>
                    <w:t>In that</w:t>
                  </w:r>
                  <w:r w:rsidRPr="00B131B0">
                    <w:rPr>
                      <w:rFonts w:cs="Arial"/>
                      <w:color w:val="000000"/>
                      <w:sz w:val="16"/>
                      <w:szCs w:val="16"/>
                      <w:lang w:eastAsia="ko-KR"/>
                    </w:rPr>
                    <w:t xml:space="preserve">: </w:t>
                  </w:r>
                  <w:r>
                    <w:rPr>
                      <w:rFonts w:cs="Arial"/>
                      <w:color w:val="000000"/>
                      <w:sz w:val="16"/>
                      <w:szCs w:val="16"/>
                      <w:lang w:eastAsia="ko-KR"/>
                    </w:rPr>
                    <w:t>Manufacturing</w:t>
                  </w:r>
                </w:p>
              </w:tc>
              <w:tc>
                <w:tcPr>
                  <w:tcW w:w="1203" w:type="dxa"/>
                  <w:tcBorders>
                    <w:top w:val="nil"/>
                    <w:left w:val="nil"/>
                    <w:bottom w:val="nil"/>
                    <w:right w:val="nil"/>
                  </w:tcBorders>
                  <w:noWrap/>
                  <w:vAlign w:val="bottom"/>
                  <w:hideMark/>
                </w:tcPr>
                <w:p w14:paraId="640B196E" w14:textId="1539BEB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1</w:t>
                  </w:r>
                </w:p>
              </w:tc>
              <w:tc>
                <w:tcPr>
                  <w:tcW w:w="1203" w:type="dxa"/>
                  <w:tcBorders>
                    <w:top w:val="nil"/>
                    <w:left w:val="nil"/>
                    <w:bottom w:val="nil"/>
                    <w:right w:val="nil"/>
                  </w:tcBorders>
                  <w:noWrap/>
                  <w:vAlign w:val="bottom"/>
                  <w:hideMark/>
                </w:tcPr>
                <w:p w14:paraId="18DB75BE" w14:textId="203B712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3</w:t>
                  </w:r>
                </w:p>
              </w:tc>
              <w:tc>
                <w:tcPr>
                  <w:tcW w:w="1203" w:type="dxa"/>
                  <w:tcBorders>
                    <w:top w:val="nil"/>
                    <w:left w:val="nil"/>
                    <w:bottom w:val="nil"/>
                    <w:right w:val="nil"/>
                  </w:tcBorders>
                  <w:noWrap/>
                  <w:vAlign w:val="bottom"/>
                  <w:hideMark/>
                </w:tcPr>
                <w:p w14:paraId="3640B944" w14:textId="1DC64CE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0</w:t>
                  </w:r>
                </w:p>
              </w:tc>
              <w:tc>
                <w:tcPr>
                  <w:tcW w:w="1204" w:type="dxa"/>
                  <w:tcBorders>
                    <w:top w:val="nil"/>
                    <w:left w:val="nil"/>
                    <w:bottom w:val="nil"/>
                    <w:right w:val="nil"/>
                  </w:tcBorders>
                  <w:noWrap/>
                  <w:vAlign w:val="bottom"/>
                  <w:hideMark/>
                </w:tcPr>
                <w:p w14:paraId="6C1024DE" w14:textId="7112D789"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r>
            <w:tr w:rsidR="00B554E0" w:rsidRPr="00B131B0" w14:paraId="6740604A" w14:textId="77777777" w:rsidTr="003C4A79">
              <w:trPr>
                <w:trHeight w:val="255"/>
              </w:trPr>
              <w:tc>
                <w:tcPr>
                  <w:tcW w:w="4840" w:type="dxa"/>
                  <w:tcBorders>
                    <w:top w:val="nil"/>
                    <w:left w:val="nil"/>
                    <w:bottom w:val="nil"/>
                    <w:right w:val="nil"/>
                  </w:tcBorders>
                  <w:vAlign w:val="bottom"/>
                  <w:hideMark/>
                </w:tcPr>
                <w:p w14:paraId="7349CF15" w14:textId="79D20BA3"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Construction</w:t>
                  </w:r>
                </w:p>
              </w:tc>
              <w:tc>
                <w:tcPr>
                  <w:tcW w:w="1203" w:type="dxa"/>
                  <w:tcBorders>
                    <w:top w:val="nil"/>
                    <w:left w:val="nil"/>
                    <w:bottom w:val="nil"/>
                    <w:right w:val="nil"/>
                  </w:tcBorders>
                  <w:noWrap/>
                  <w:vAlign w:val="bottom"/>
                  <w:hideMark/>
                </w:tcPr>
                <w:p w14:paraId="719A48DE" w14:textId="2BC787A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5</w:t>
                  </w:r>
                </w:p>
              </w:tc>
              <w:tc>
                <w:tcPr>
                  <w:tcW w:w="1203" w:type="dxa"/>
                  <w:tcBorders>
                    <w:top w:val="nil"/>
                    <w:left w:val="nil"/>
                    <w:bottom w:val="nil"/>
                    <w:right w:val="nil"/>
                  </w:tcBorders>
                  <w:noWrap/>
                  <w:vAlign w:val="bottom"/>
                  <w:hideMark/>
                </w:tcPr>
                <w:p w14:paraId="46EA70BF" w14:textId="0B725B3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11</w:t>
                  </w:r>
                  <w:r>
                    <w:rPr>
                      <w:rFonts w:cs="Arial"/>
                      <w:color w:val="000000"/>
                      <w:sz w:val="16"/>
                      <w:szCs w:val="16"/>
                      <w:lang w:eastAsia="ko-KR"/>
                    </w:rPr>
                    <w:t>.</w:t>
                  </w:r>
                  <w:r w:rsidRPr="00B131B0">
                    <w:rPr>
                      <w:rFonts w:cs="Arial"/>
                      <w:color w:val="000000"/>
                      <w:sz w:val="16"/>
                      <w:szCs w:val="16"/>
                      <w:lang w:eastAsia="ko-KR"/>
                    </w:rPr>
                    <w:t>0</w:t>
                  </w:r>
                </w:p>
              </w:tc>
              <w:tc>
                <w:tcPr>
                  <w:tcW w:w="1203" w:type="dxa"/>
                  <w:tcBorders>
                    <w:top w:val="nil"/>
                    <w:left w:val="nil"/>
                    <w:bottom w:val="nil"/>
                    <w:right w:val="nil"/>
                  </w:tcBorders>
                  <w:noWrap/>
                  <w:vAlign w:val="bottom"/>
                  <w:hideMark/>
                </w:tcPr>
                <w:p w14:paraId="2AF43238" w14:textId="6A487ADC"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2</w:t>
                  </w:r>
                </w:p>
              </w:tc>
              <w:tc>
                <w:tcPr>
                  <w:tcW w:w="1204" w:type="dxa"/>
                  <w:tcBorders>
                    <w:top w:val="nil"/>
                    <w:left w:val="nil"/>
                    <w:bottom w:val="nil"/>
                    <w:right w:val="nil"/>
                  </w:tcBorders>
                  <w:noWrap/>
                  <w:vAlign w:val="bottom"/>
                  <w:hideMark/>
                </w:tcPr>
                <w:p w14:paraId="75375838" w14:textId="096042AC"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3</w:t>
                  </w:r>
                </w:p>
              </w:tc>
            </w:tr>
            <w:tr w:rsidR="00B554E0" w:rsidRPr="00B131B0" w14:paraId="037D9C8D" w14:textId="77777777" w:rsidTr="003C4A79">
              <w:trPr>
                <w:trHeight w:val="255"/>
              </w:trPr>
              <w:tc>
                <w:tcPr>
                  <w:tcW w:w="4840" w:type="dxa"/>
                  <w:tcBorders>
                    <w:top w:val="nil"/>
                    <w:left w:val="nil"/>
                    <w:bottom w:val="nil"/>
                    <w:right w:val="nil"/>
                  </w:tcBorders>
                  <w:vAlign w:val="bottom"/>
                  <w:hideMark/>
                </w:tcPr>
                <w:p w14:paraId="2BBAF224" w14:textId="6E2ADF63"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Trade, transport, accommodation and food service</w:t>
                  </w:r>
                  <w:r w:rsidRPr="00B131B0">
                    <w:rPr>
                      <w:rFonts w:cs="Arial"/>
                      <w:color w:val="000000"/>
                      <w:sz w:val="16"/>
                      <w:szCs w:val="16"/>
                      <w:lang w:eastAsia="ko-KR"/>
                    </w:rPr>
                    <w:t xml:space="preserve"> </w:t>
                  </w:r>
                </w:p>
              </w:tc>
              <w:tc>
                <w:tcPr>
                  <w:tcW w:w="1203" w:type="dxa"/>
                  <w:tcBorders>
                    <w:top w:val="nil"/>
                    <w:left w:val="nil"/>
                    <w:bottom w:val="nil"/>
                    <w:right w:val="nil"/>
                  </w:tcBorders>
                  <w:noWrap/>
                  <w:vAlign w:val="bottom"/>
                  <w:hideMark/>
                </w:tcPr>
                <w:p w14:paraId="3DE82133" w14:textId="56FBF29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8</w:t>
                  </w:r>
                </w:p>
              </w:tc>
              <w:tc>
                <w:tcPr>
                  <w:tcW w:w="1203" w:type="dxa"/>
                  <w:tcBorders>
                    <w:top w:val="nil"/>
                    <w:left w:val="nil"/>
                    <w:bottom w:val="nil"/>
                    <w:right w:val="nil"/>
                  </w:tcBorders>
                  <w:noWrap/>
                  <w:vAlign w:val="bottom"/>
                  <w:hideMark/>
                </w:tcPr>
                <w:p w14:paraId="0D4E7E5E" w14:textId="40633D9F"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7</w:t>
                  </w:r>
                </w:p>
              </w:tc>
              <w:tc>
                <w:tcPr>
                  <w:tcW w:w="1203" w:type="dxa"/>
                  <w:tcBorders>
                    <w:top w:val="nil"/>
                    <w:left w:val="nil"/>
                    <w:bottom w:val="nil"/>
                    <w:right w:val="nil"/>
                  </w:tcBorders>
                  <w:noWrap/>
                  <w:vAlign w:val="bottom"/>
                  <w:hideMark/>
                </w:tcPr>
                <w:p w14:paraId="175291A6" w14:textId="46B9F46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7</w:t>
                  </w:r>
                </w:p>
              </w:tc>
              <w:tc>
                <w:tcPr>
                  <w:tcW w:w="1204" w:type="dxa"/>
                  <w:tcBorders>
                    <w:top w:val="nil"/>
                    <w:left w:val="nil"/>
                    <w:bottom w:val="nil"/>
                    <w:right w:val="nil"/>
                  </w:tcBorders>
                  <w:noWrap/>
                  <w:vAlign w:val="bottom"/>
                  <w:hideMark/>
                </w:tcPr>
                <w:p w14:paraId="55AA5B4E" w14:textId="5C8E921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9</w:t>
                  </w:r>
                </w:p>
              </w:tc>
            </w:tr>
            <w:tr w:rsidR="00B554E0" w:rsidRPr="00B131B0" w14:paraId="22925498" w14:textId="77777777" w:rsidTr="003C4A79">
              <w:trPr>
                <w:trHeight w:val="255"/>
              </w:trPr>
              <w:tc>
                <w:tcPr>
                  <w:tcW w:w="4840" w:type="dxa"/>
                  <w:tcBorders>
                    <w:top w:val="nil"/>
                    <w:left w:val="nil"/>
                    <w:bottom w:val="nil"/>
                    <w:right w:val="nil"/>
                  </w:tcBorders>
                  <w:vAlign w:val="bottom"/>
                  <w:hideMark/>
                </w:tcPr>
                <w:p w14:paraId="04EB7F34" w14:textId="10BF2598" w:rsidR="00B554E0" w:rsidRPr="00B131B0" w:rsidRDefault="00B554E0" w:rsidP="00B554E0">
                  <w:pPr>
                    <w:spacing w:after="0" w:line="240" w:lineRule="auto"/>
                    <w:ind w:left="88"/>
                    <w:jc w:val="left"/>
                    <w:rPr>
                      <w:rFonts w:cs="Arial"/>
                      <w:color w:val="000000"/>
                      <w:sz w:val="16"/>
                      <w:szCs w:val="16"/>
                      <w:lang w:eastAsia="ko-KR"/>
                    </w:rPr>
                  </w:pPr>
                  <w:r w:rsidRPr="00B131B0">
                    <w:rPr>
                      <w:rFonts w:cs="Arial"/>
                      <w:color w:val="000000"/>
                      <w:sz w:val="16"/>
                      <w:szCs w:val="16"/>
                      <w:lang w:eastAsia="ko-KR"/>
                    </w:rPr>
                    <w:t>Informa</w:t>
                  </w:r>
                  <w:r>
                    <w:rPr>
                      <w:rFonts w:cs="Arial"/>
                      <w:color w:val="000000"/>
                      <w:sz w:val="16"/>
                      <w:szCs w:val="16"/>
                      <w:lang w:eastAsia="ko-KR"/>
                    </w:rPr>
                    <w:t>tion and communication</w:t>
                  </w:r>
                </w:p>
              </w:tc>
              <w:tc>
                <w:tcPr>
                  <w:tcW w:w="1203" w:type="dxa"/>
                  <w:tcBorders>
                    <w:top w:val="nil"/>
                    <w:left w:val="nil"/>
                    <w:bottom w:val="nil"/>
                    <w:right w:val="nil"/>
                  </w:tcBorders>
                  <w:noWrap/>
                  <w:vAlign w:val="bottom"/>
                  <w:hideMark/>
                </w:tcPr>
                <w:p w14:paraId="597BA749" w14:textId="318EDC37"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1203" w:type="dxa"/>
                  <w:tcBorders>
                    <w:top w:val="nil"/>
                    <w:left w:val="nil"/>
                    <w:bottom w:val="nil"/>
                    <w:right w:val="nil"/>
                  </w:tcBorders>
                  <w:noWrap/>
                  <w:vAlign w:val="bottom"/>
                  <w:hideMark/>
                </w:tcPr>
                <w:p w14:paraId="77CD7A9A" w14:textId="3C161AC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6</w:t>
                  </w:r>
                  <w:r>
                    <w:rPr>
                      <w:rFonts w:cs="Arial"/>
                      <w:color w:val="000000"/>
                      <w:sz w:val="16"/>
                      <w:szCs w:val="16"/>
                      <w:lang w:eastAsia="ko-KR"/>
                    </w:rPr>
                    <w:t>.</w:t>
                  </w:r>
                  <w:r w:rsidRPr="00B131B0">
                    <w:rPr>
                      <w:rFonts w:cs="Arial"/>
                      <w:color w:val="000000"/>
                      <w:sz w:val="16"/>
                      <w:szCs w:val="16"/>
                      <w:lang w:eastAsia="ko-KR"/>
                    </w:rPr>
                    <w:t>6</w:t>
                  </w:r>
                </w:p>
              </w:tc>
              <w:tc>
                <w:tcPr>
                  <w:tcW w:w="1203" w:type="dxa"/>
                  <w:tcBorders>
                    <w:top w:val="nil"/>
                    <w:left w:val="nil"/>
                    <w:bottom w:val="nil"/>
                    <w:right w:val="nil"/>
                  </w:tcBorders>
                  <w:noWrap/>
                  <w:vAlign w:val="bottom"/>
                  <w:hideMark/>
                </w:tcPr>
                <w:p w14:paraId="20E5530B" w14:textId="5EF97D0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0</w:t>
                  </w:r>
                </w:p>
              </w:tc>
              <w:tc>
                <w:tcPr>
                  <w:tcW w:w="1204" w:type="dxa"/>
                  <w:tcBorders>
                    <w:top w:val="nil"/>
                    <w:left w:val="nil"/>
                    <w:bottom w:val="nil"/>
                    <w:right w:val="nil"/>
                  </w:tcBorders>
                  <w:noWrap/>
                  <w:vAlign w:val="bottom"/>
                  <w:hideMark/>
                </w:tcPr>
                <w:p w14:paraId="18AF9275" w14:textId="31FAC7C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6</w:t>
                  </w:r>
                </w:p>
              </w:tc>
            </w:tr>
            <w:tr w:rsidR="00B554E0" w:rsidRPr="00B131B0" w14:paraId="052D2BE1" w14:textId="77777777" w:rsidTr="003C4A79">
              <w:trPr>
                <w:trHeight w:val="255"/>
              </w:trPr>
              <w:tc>
                <w:tcPr>
                  <w:tcW w:w="4840" w:type="dxa"/>
                  <w:tcBorders>
                    <w:top w:val="nil"/>
                    <w:left w:val="nil"/>
                    <w:bottom w:val="nil"/>
                    <w:right w:val="nil"/>
                  </w:tcBorders>
                  <w:vAlign w:val="bottom"/>
                  <w:hideMark/>
                </w:tcPr>
                <w:p w14:paraId="62C406A3" w14:textId="6A09837B"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Financial and insurance activities</w:t>
                  </w:r>
                </w:p>
              </w:tc>
              <w:tc>
                <w:tcPr>
                  <w:tcW w:w="1203" w:type="dxa"/>
                  <w:tcBorders>
                    <w:top w:val="nil"/>
                    <w:left w:val="nil"/>
                    <w:bottom w:val="nil"/>
                    <w:right w:val="nil"/>
                  </w:tcBorders>
                  <w:noWrap/>
                  <w:vAlign w:val="bottom"/>
                  <w:hideMark/>
                </w:tcPr>
                <w:p w14:paraId="153F76A1" w14:textId="1555895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−3</w:t>
                  </w:r>
                  <w:r>
                    <w:rPr>
                      <w:rFonts w:cs="Arial"/>
                      <w:color w:val="000000"/>
                      <w:sz w:val="16"/>
                      <w:szCs w:val="16"/>
                      <w:lang w:eastAsia="ko-KR"/>
                    </w:rPr>
                    <w:t>.</w:t>
                  </w:r>
                  <w:r w:rsidRPr="00B131B0">
                    <w:rPr>
                      <w:rFonts w:cs="Arial"/>
                      <w:color w:val="000000"/>
                      <w:sz w:val="16"/>
                      <w:szCs w:val="16"/>
                      <w:lang w:eastAsia="ko-KR"/>
                    </w:rPr>
                    <w:t>3</w:t>
                  </w:r>
                </w:p>
              </w:tc>
              <w:tc>
                <w:tcPr>
                  <w:tcW w:w="1203" w:type="dxa"/>
                  <w:tcBorders>
                    <w:top w:val="nil"/>
                    <w:left w:val="nil"/>
                    <w:bottom w:val="nil"/>
                    <w:right w:val="nil"/>
                  </w:tcBorders>
                  <w:noWrap/>
                  <w:vAlign w:val="bottom"/>
                  <w:hideMark/>
                </w:tcPr>
                <w:p w14:paraId="3EB6C90B" w14:textId="23A6A85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8</w:t>
                  </w:r>
                  <w:r>
                    <w:rPr>
                      <w:rFonts w:cs="Arial"/>
                      <w:color w:val="000000"/>
                      <w:sz w:val="16"/>
                      <w:szCs w:val="16"/>
                      <w:lang w:eastAsia="ko-KR"/>
                    </w:rPr>
                    <w:t>.</w:t>
                  </w:r>
                  <w:r w:rsidRPr="00B131B0">
                    <w:rPr>
                      <w:rFonts w:cs="Arial"/>
                      <w:color w:val="000000"/>
                      <w:sz w:val="16"/>
                      <w:szCs w:val="16"/>
                      <w:lang w:eastAsia="ko-KR"/>
                    </w:rPr>
                    <w:t>4</w:t>
                  </w:r>
                </w:p>
              </w:tc>
              <w:tc>
                <w:tcPr>
                  <w:tcW w:w="1203" w:type="dxa"/>
                  <w:tcBorders>
                    <w:top w:val="nil"/>
                    <w:left w:val="nil"/>
                    <w:bottom w:val="nil"/>
                    <w:right w:val="nil"/>
                  </w:tcBorders>
                  <w:noWrap/>
                  <w:vAlign w:val="bottom"/>
                  <w:hideMark/>
                </w:tcPr>
                <w:p w14:paraId="054B7A93" w14:textId="1F45CB1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1</w:t>
                  </w:r>
                </w:p>
              </w:tc>
              <w:tc>
                <w:tcPr>
                  <w:tcW w:w="1204" w:type="dxa"/>
                  <w:tcBorders>
                    <w:top w:val="nil"/>
                    <w:left w:val="nil"/>
                    <w:bottom w:val="nil"/>
                    <w:right w:val="nil"/>
                  </w:tcBorders>
                  <w:noWrap/>
                  <w:vAlign w:val="bottom"/>
                  <w:hideMark/>
                </w:tcPr>
                <w:p w14:paraId="3BAA0922" w14:textId="25D29FB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9</w:t>
                  </w:r>
                </w:p>
              </w:tc>
            </w:tr>
            <w:tr w:rsidR="00B554E0" w:rsidRPr="00B131B0" w14:paraId="094CE4B6" w14:textId="77777777" w:rsidTr="003C4A79">
              <w:trPr>
                <w:trHeight w:val="255"/>
              </w:trPr>
              <w:tc>
                <w:tcPr>
                  <w:tcW w:w="4840" w:type="dxa"/>
                  <w:tcBorders>
                    <w:top w:val="nil"/>
                    <w:left w:val="nil"/>
                    <w:bottom w:val="nil"/>
                    <w:right w:val="nil"/>
                  </w:tcBorders>
                  <w:vAlign w:val="bottom"/>
                  <w:hideMark/>
                </w:tcPr>
                <w:p w14:paraId="30F91801" w14:textId="7170DEF8"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Real estate activities</w:t>
                  </w:r>
                </w:p>
              </w:tc>
              <w:tc>
                <w:tcPr>
                  <w:tcW w:w="1203" w:type="dxa"/>
                  <w:tcBorders>
                    <w:top w:val="nil"/>
                    <w:left w:val="nil"/>
                    <w:bottom w:val="nil"/>
                    <w:right w:val="nil"/>
                  </w:tcBorders>
                  <w:noWrap/>
                  <w:vAlign w:val="bottom"/>
                  <w:hideMark/>
                </w:tcPr>
                <w:p w14:paraId="5F1A99DB" w14:textId="3D6C9F7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6</w:t>
                  </w:r>
                </w:p>
              </w:tc>
              <w:tc>
                <w:tcPr>
                  <w:tcW w:w="1203" w:type="dxa"/>
                  <w:tcBorders>
                    <w:top w:val="nil"/>
                    <w:left w:val="nil"/>
                    <w:bottom w:val="nil"/>
                    <w:right w:val="nil"/>
                  </w:tcBorders>
                  <w:noWrap/>
                  <w:vAlign w:val="bottom"/>
                  <w:hideMark/>
                </w:tcPr>
                <w:p w14:paraId="1A8D48F1" w14:textId="0339F153"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17</w:t>
                  </w:r>
                  <w:r>
                    <w:rPr>
                      <w:rFonts w:cs="Arial"/>
                      <w:color w:val="000000"/>
                      <w:sz w:val="16"/>
                      <w:szCs w:val="16"/>
                      <w:lang w:eastAsia="ko-KR"/>
                    </w:rPr>
                    <w:t>.</w:t>
                  </w:r>
                  <w:r w:rsidRPr="00B131B0">
                    <w:rPr>
                      <w:rFonts w:cs="Arial"/>
                      <w:color w:val="000000"/>
                      <w:sz w:val="16"/>
                      <w:szCs w:val="16"/>
                      <w:lang w:eastAsia="ko-KR"/>
                    </w:rPr>
                    <w:t>8</w:t>
                  </w:r>
                </w:p>
              </w:tc>
              <w:tc>
                <w:tcPr>
                  <w:tcW w:w="1203" w:type="dxa"/>
                  <w:tcBorders>
                    <w:top w:val="nil"/>
                    <w:left w:val="nil"/>
                    <w:bottom w:val="nil"/>
                    <w:right w:val="nil"/>
                  </w:tcBorders>
                  <w:noWrap/>
                  <w:vAlign w:val="bottom"/>
                  <w:hideMark/>
                </w:tcPr>
                <w:p w14:paraId="39340BFC" w14:textId="5A374A78"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1204" w:type="dxa"/>
                  <w:tcBorders>
                    <w:top w:val="nil"/>
                    <w:left w:val="nil"/>
                    <w:bottom w:val="nil"/>
                    <w:right w:val="nil"/>
                  </w:tcBorders>
                  <w:noWrap/>
                  <w:vAlign w:val="bottom"/>
                  <w:hideMark/>
                </w:tcPr>
                <w:p w14:paraId="1CBC927F" w14:textId="66FA6335"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3</w:t>
                  </w:r>
                </w:p>
              </w:tc>
            </w:tr>
            <w:tr w:rsidR="00B554E0" w:rsidRPr="00B131B0" w14:paraId="421664AD" w14:textId="77777777" w:rsidTr="003C4A79">
              <w:trPr>
                <w:trHeight w:val="255"/>
              </w:trPr>
              <w:tc>
                <w:tcPr>
                  <w:tcW w:w="4840" w:type="dxa"/>
                  <w:tcBorders>
                    <w:top w:val="nil"/>
                    <w:left w:val="nil"/>
                    <w:bottom w:val="nil"/>
                    <w:right w:val="nil"/>
                  </w:tcBorders>
                  <w:vAlign w:val="bottom"/>
                  <w:hideMark/>
                </w:tcPr>
                <w:p w14:paraId="65EED409" w14:textId="2BF61601" w:rsidR="00B554E0" w:rsidRPr="00B131B0" w:rsidRDefault="00B554E0" w:rsidP="00B554E0">
                  <w:pPr>
                    <w:spacing w:after="0" w:line="240" w:lineRule="auto"/>
                    <w:ind w:left="88"/>
                    <w:jc w:val="left"/>
                    <w:rPr>
                      <w:rFonts w:cs="Arial"/>
                      <w:color w:val="000000"/>
                      <w:sz w:val="16"/>
                      <w:szCs w:val="16"/>
                      <w:lang w:eastAsia="ko-KR"/>
                    </w:rPr>
                  </w:pPr>
                  <w:r w:rsidRPr="00B131B0">
                    <w:rPr>
                      <w:rFonts w:cs="Arial"/>
                      <w:color w:val="000000"/>
                      <w:sz w:val="16"/>
                      <w:szCs w:val="16"/>
                      <w:lang w:eastAsia="ko-KR"/>
                    </w:rPr>
                    <w:t>Profes</w:t>
                  </w:r>
                  <w:r>
                    <w:rPr>
                      <w:rFonts w:cs="Arial"/>
                      <w:color w:val="000000"/>
                      <w:sz w:val="16"/>
                      <w:szCs w:val="16"/>
                      <w:lang w:eastAsia="ko-KR"/>
                    </w:rPr>
                    <w:t>sional, scientific, technical and administrative activities</w:t>
                  </w:r>
                </w:p>
              </w:tc>
              <w:tc>
                <w:tcPr>
                  <w:tcW w:w="1203" w:type="dxa"/>
                  <w:tcBorders>
                    <w:top w:val="nil"/>
                    <w:left w:val="nil"/>
                    <w:bottom w:val="nil"/>
                    <w:right w:val="nil"/>
                  </w:tcBorders>
                  <w:noWrap/>
                  <w:vAlign w:val="bottom"/>
                  <w:hideMark/>
                </w:tcPr>
                <w:p w14:paraId="164946C5" w14:textId="692F2B9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7</w:t>
                  </w:r>
                  <w:r>
                    <w:rPr>
                      <w:rFonts w:cs="Arial"/>
                      <w:color w:val="000000"/>
                      <w:sz w:val="16"/>
                      <w:szCs w:val="16"/>
                      <w:lang w:eastAsia="ko-KR"/>
                    </w:rPr>
                    <w:t>.</w:t>
                  </w:r>
                  <w:r w:rsidRPr="00B131B0">
                    <w:rPr>
                      <w:rFonts w:cs="Arial"/>
                      <w:color w:val="000000"/>
                      <w:sz w:val="16"/>
                      <w:szCs w:val="16"/>
                      <w:lang w:eastAsia="ko-KR"/>
                    </w:rPr>
                    <w:t>8</w:t>
                  </w:r>
                </w:p>
              </w:tc>
              <w:tc>
                <w:tcPr>
                  <w:tcW w:w="1203" w:type="dxa"/>
                  <w:tcBorders>
                    <w:top w:val="nil"/>
                    <w:left w:val="nil"/>
                    <w:bottom w:val="nil"/>
                    <w:right w:val="nil"/>
                  </w:tcBorders>
                  <w:noWrap/>
                  <w:vAlign w:val="bottom"/>
                  <w:hideMark/>
                </w:tcPr>
                <w:p w14:paraId="142CC3D1" w14:textId="4F7064CE"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12</w:t>
                  </w:r>
                  <w:r>
                    <w:rPr>
                      <w:rFonts w:cs="Arial"/>
                      <w:color w:val="000000"/>
                      <w:sz w:val="16"/>
                      <w:szCs w:val="16"/>
                      <w:lang w:eastAsia="ko-KR"/>
                    </w:rPr>
                    <w:t>.</w:t>
                  </w:r>
                  <w:r w:rsidRPr="00B131B0">
                    <w:rPr>
                      <w:rFonts w:cs="Arial"/>
                      <w:color w:val="000000"/>
                      <w:sz w:val="16"/>
                      <w:szCs w:val="16"/>
                      <w:lang w:eastAsia="ko-KR"/>
                    </w:rPr>
                    <w:t>7</w:t>
                  </w:r>
                </w:p>
              </w:tc>
              <w:tc>
                <w:tcPr>
                  <w:tcW w:w="1203" w:type="dxa"/>
                  <w:tcBorders>
                    <w:top w:val="nil"/>
                    <w:left w:val="nil"/>
                    <w:bottom w:val="nil"/>
                    <w:right w:val="nil"/>
                  </w:tcBorders>
                  <w:noWrap/>
                  <w:vAlign w:val="bottom"/>
                  <w:hideMark/>
                </w:tcPr>
                <w:p w14:paraId="1460F103" w14:textId="69E801B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w:t>
                  </w:r>
                  <w:r>
                    <w:rPr>
                      <w:rFonts w:cs="Arial"/>
                      <w:color w:val="000000"/>
                      <w:sz w:val="16"/>
                      <w:szCs w:val="16"/>
                      <w:lang w:eastAsia="ko-KR"/>
                    </w:rPr>
                    <w:t>.</w:t>
                  </w:r>
                  <w:r w:rsidRPr="00B131B0">
                    <w:rPr>
                      <w:rFonts w:cs="Arial"/>
                      <w:color w:val="000000"/>
                      <w:sz w:val="16"/>
                      <w:szCs w:val="16"/>
                      <w:lang w:eastAsia="ko-KR"/>
                    </w:rPr>
                    <w:t>3</w:t>
                  </w:r>
                </w:p>
              </w:tc>
              <w:tc>
                <w:tcPr>
                  <w:tcW w:w="1204" w:type="dxa"/>
                  <w:tcBorders>
                    <w:top w:val="nil"/>
                    <w:left w:val="nil"/>
                    <w:bottom w:val="nil"/>
                    <w:right w:val="nil"/>
                  </w:tcBorders>
                  <w:noWrap/>
                  <w:vAlign w:val="bottom"/>
                  <w:hideMark/>
                </w:tcPr>
                <w:p w14:paraId="660AA986" w14:textId="1C350FF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9</w:t>
                  </w:r>
                </w:p>
              </w:tc>
            </w:tr>
            <w:tr w:rsidR="00B554E0" w:rsidRPr="00B131B0" w14:paraId="441EC403" w14:textId="77777777" w:rsidTr="003C4A79">
              <w:trPr>
                <w:trHeight w:val="255"/>
              </w:trPr>
              <w:tc>
                <w:tcPr>
                  <w:tcW w:w="4840" w:type="dxa"/>
                  <w:tcBorders>
                    <w:top w:val="nil"/>
                    <w:left w:val="nil"/>
                    <w:bottom w:val="nil"/>
                    <w:right w:val="nil"/>
                  </w:tcBorders>
                  <w:vAlign w:val="bottom"/>
                  <w:hideMark/>
                </w:tcPr>
                <w:p w14:paraId="7021295F" w14:textId="117D0E7D" w:rsidR="00B554E0" w:rsidRPr="00B131B0" w:rsidRDefault="00B554E0" w:rsidP="00B554E0">
                  <w:pPr>
                    <w:spacing w:after="0" w:line="240" w:lineRule="auto"/>
                    <w:ind w:left="88"/>
                    <w:jc w:val="left"/>
                    <w:rPr>
                      <w:rFonts w:cs="Arial"/>
                      <w:color w:val="000000"/>
                      <w:sz w:val="16"/>
                      <w:szCs w:val="16"/>
                      <w:lang w:eastAsia="ko-KR"/>
                    </w:rPr>
                  </w:pPr>
                  <w:r>
                    <w:rPr>
                      <w:rFonts w:cs="Arial"/>
                      <w:color w:val="000000"/>
                      <w:sz w:val="16"/>
                      <w:szCs w:val="16"/>
                      <w:lang w:eastAsia="ko-KR"/>
                    </w:rPr>
                    <w:t>Public administration and defence, education, human health and social care</w:t>
                  </w:r>
                </w:p>
              </w:tc>
              <w:tc>
                <w:tcPr>
                  <w:tcW w:w="1203" w:type="dxa"/>
                  <w:tcBorders>
                    <w:top w:val="nil"/>
                    <w:left w:val="nil"/>
                    <w:bottom w:val="nil"/>
                    <w:right w:val="nil"/>
                  </w:tcBorders>
                  <w:noWrap/>
                  <w:vAlign w:val="bottom"/>
                  <w:hideMark/>
                </w:tcPr>
                <w:p w14:paraId="433D0A43" w14:textId="55628BA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5</w:t>
                  </w:r>
                  <w:r>
                    <w:rPr>
                      <w:rFonts w:cs="Arial"/>
                      <w:color w:val="000000"/>
                      <w:sz w:val="16"/>
                      <w:szCs w:val="16"/>
                      <w:lang w:eastAsia="ko-KR"/>
                    </w:rPr>
                    <w:t>.</w:t>
                  </w:r>
                  <w:r w:rsidRPr="00B131B0">
                    <w:rPr>
                      <w:rFonts w:cs="Arial"/>
                      <w:color w:val="000000"/>
                      <w:sz w:val="16"/>
                      <w:szCs w:val="16"/>
                      <w:lang w:eastAsia="ko-KR"/>
                    </w:rPr>
                    <w:t>2</w:t>
                  </w:r>
                </w:p>
              </w:tc>
              <w:tc>
                <w:tcPr>
                  <w:tcW w:w="1203" w:type="dxa"/>
                  <w:tcBorders>
                    <w:top w:val="nil"/>
                    <w:left w:val="nil"/>
                    <w:bottom w:val="nil"/>
                    <w:right w:val="nil"/>
                  </w:tcBorders>
                  <w:noWrap/>
                  <w:vAlign w:val="bottom"/>
                  <w:hideMark/>
                </w:tcPr>
                <w:p w14:paraId="17BF83C9" w14:textId="6D960D11"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9</w:t>
                  </w:r>
                  <w:r>
                    <w:rPr>
                      <w:rFonts w:cs="Arial"/>
                      <w:color w:val="000000"/>
                      <w:sz w:val="16"/>
                      <w:szCs w:val="16"/>
                      <w:lang w:eastAsia="ko-KR"/>
                    </w:rPr>
                    <w:t>.</w:t>
                  </w:r>
                  <w:r w:rsidRPr="00B131B0">
                    <w:rPr>
                      <w:rFonts w:cs="Arial"/>
                      <w:color w:val="000000"/>
                      <w:sz w:val="16"/>
                      <w:szCs w:val="16"/>
                      <w:lang w:eastAsia="ko-KR"/>
                    </w:rPr>
                    <w:t>7</w:t>
                  </w:r>
                </w:p>
              </w:tc>
              <w:tc>
                <w:tcPr>
                  <w:tcW w:w="1203" w:type="dxa"/>
                  <w:tcBorders>
                    <w:top w:val="nil"/>
                    <w:left w:val="nil"/>
                    <w:bottom w:val="nil"/>
                    <w:right w:val="nil"/>
                  </w:tcBorders>
                  <w:noWrap/>
                  <w:vAlign w:val="bottom"/>
                  <w:hideMark/>
                </w:tcPr>
                <w:p w14:paraId="292F6886" w14:textId="3B422FBD"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0</w:t>
                  </w:r>
                  <w:r>
                    <w:rPr>
                      <w:rFonts w:cs="Arial"/>
                      <w:color w:val="000000"/>
                      <w:sz w:val="16"/>
                      <w:szCs w:val="16"/>
                      <w:lang w:eastAsia="ko-KR"/>
                    </w:rPr>
                    <w:t>.</w:t>
                  </w:r>
                  <w:r w:rsidRPr="00B131B0">
                    <w:rPr>
                      <w:rFonts w:cs="Arial"/>
                      <w:color w:val="000000"/>
                      <w:sz w:val="16"/>
                      <w:szCs w:val="16"/>
                      <w:lang w:eastAsia="ko-KR"/>
                    </w:rPr>
                    <w:t>6</w:t>
                  </w:r>
                </w:p>
              </w:tc>
              <w:tc>
                <w:tcPr>
                  <w:tcW w:w="1204" w:type="dxa"/>
                  <w:tcBorders>
                    <w:top w:val="nil"/>
                    <w:left w:val="nil"/>
                    <w:bottom w:val="nil"/>
                    <w:right w:val="nil"/>
                  </w:tcBorders>
                  <w:noWrap/>
                  <w:vAlign w:val="bottom"/>
                  <w:hideMark/>
                </w:tcPr>
                <w:p w14:paraId="1AC9A07E" w14:textId="5A61461B"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2</w:t>
                  </w:r>
                  <w:r>
                    <w:rPr>
                      <w:rFonts w:cs="Arial"/>
                      <w:color w:val="000000"/>
                      <w:sz w:val="16"/>
                      <w:szCs w:val="16"/>
                      <w:lang w:eastAsia="ko-KR"/>
                    </w:rPr>
                    <w:t>.</w:t>
                  </w:r>
                  <w:r w:rsidRPr="00B131B0">
                    <w:rPr>
                      <w:rFonts w:cs="Arial"/>
                      <w:color w:val="000000"/>
                      <w:sz w:val="16"/>
                      <w:szCs w:val="16"/>
                      <w:lang w:eastAsia="ko-KR"/>
                    </w:rPr>
                    <w:t>2</w:t>
                  </w:r>
                </w:p>
              </w:tc>
            </w:tr>
            <w:tr w:rsidR="00B554E0" w:rsidRPr="00B131B0" w14:paraId="2DE73A68" w14:textId="77777777" w:rsidTr="003C4A79">
              <w:trPr>
                <w:trHeight w:val="255"/>
              </w:trPr>
              <w:tc>
                <w:tcPr>
                  <w:tcW w:w="4840" w:type="dxa"/>
                  <w:tcBorders>
                    <w:top w:val="nil"/>
                    <w:left w:val="nil"/>
                    <w:bottom w:val="nil"/>
                    <w:right w:val="nil"/>
                  </w:tcBorders>
                  <w:vAlign w:val="bottom"/>
                  <w:hideMark/>
                </w:tcPr>
                <w:p w14:paraId="6B527071" w14:textId="50E750D6" w:rsidR="00B554E0" w:rsidRPr="00B131B0" w:rsidRDefault="00B554E0" w:rsidP="00B554E0">
                  <w:pPr>
                    <w:spacing w:after="0" w:line="240" w:lineRule="auto"/>
                    <w:ind w:left="88"/>
                    <w:jc w:val="left"/>
                    <w:rPr>
                      <w:rFonts w:cs="Arial"/>
                      <w:color w:val="000000"/>
                      <w:sz w:val="16"/>
                      <w:szCs w:val="16"/>
                      <w:lang w:eastAsia="ko-KR"/>
                    </w:rPr>
                  </w:pPr>
                  <w:r w:rsidRPr="00B131B0">
                    <w:rPr>
                      <w:rFonts w:cs="Arial"/>
                      <w:color w:val="000000"/>
                      <w:sz w:val="16"/>
                      <w:szCs w:val="16"/>
                      <w:lang w:eastAsia="ko-KR"/>
                    </w:rPr>
                    <w:t>O</w:t>
                  </w:r>
                  <w:r>
                    <w:rPr>
                      <w:rFonts w:cs="Arial"/>
                      <w:color w:val="000000"/>
                      <w:sz w:val="16"/>
                      <w:szCs w:val="16"/>
                      <w:lang w:eastAsia="ko-KR"/>
                    </w:rPr>
                    <w:t>ther activities</w:t>
                  </w:r>
                </w:p>
              </w:tc>
              <w:tc>
                <w:tcPr>
                  <w:tcW w:w="1203" w:type="dxa"/>
                  <w:tcBorders>
                    <w:top w:val="nil"/>
                    <w:left w:val="nil"/>
                    <w:bottom w:val="nil"/>
                    <w:right w:val="nil"/>
                  </w:tcBorders>
                  <w:noWrap/>
                  <w:vAlign w:val="bottom"/>
                  <w:hideMark/>
                </w:tcPr>
                <w:p w14:paraId="54B09895" w14:textId="6DA0ADE2"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7</w:t>
                  </w:r>
                </w:p>
              </w:tc>
              <w:tc>
                <w:tcPr>
                  <w:tcW w:w="1203" w:type="dxa"/>
                  <w:tcBorders>
                    <w:top w:val="nil"/>
                    <w:left w:val="nil"/>
                    <w:bottom w:val="nil"/>
                    <w:right w:val="nil"/>
                  </w:tcBorders>
                  <w:noWrap/>
                  <w:vAlign w:val="bottom"/>
                  <w:hideMark/>
                </w:tcPr>
                <w:p w14:paraId="15DA7DF3" w14:textId="42E43824"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10</w:t>
                  </w:r>
                  <w:r>
                    <w:rPr>
                      <w:rFonts w:cs="Arial"/>
                      <w:color w:val="000000"/>
                      <w:sz w:val="16"/>
                      <w:szCs w:val="16"/>
                      <w:lang w:eastAsia="ko-KR"/>
                    </w:rPr>
                    <w:t>.</w:t>
                  </w:r>
                  <w:r w:rsidRPr="00B131B0">
                    <w:rPr>
                      <w:rFonts w:cs="Arial"/>
                      <w:color w:val="000000"/>
                      <w:sz w:val="16"/>
                      <w:szCs w:val="16"/>
                      <w:lang w:eastAsia="ko-KR"/>
                    </w:rPr>
                    <w:t>2</w:t>
                  </w:r>
                </w:p>
              </w:tc>
              <w:tc>
                <w:tcPr>
                  <w:tcW w:w="1203" w:type="dxa"/>
                  <w:tcBorders>
                    <w:top w:val="nil"/>
                    <w:left w:val="nil"/>
                    <w:bottom w:val="nil"/>
                    <w:right w:val="nil"/>
                  </w:tcBorders>
                  <w:noWrap/>
                  <w:vAlign w:val="bottom"/>
                  <w:hideMark/>
                </w:tcPr>
                <w:p w14:paraId="7A1E8361" w14:textId="076CC406"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7</w:t>
                  </w:r>
                </w:p>
              </w:tc>
              <w:tc>
                <w:tcPr>
                  <w:tcW w:w="1204" w:type="dxa"/>
                  <w:tcBorders>
                    <w:top w:val="nil"/>
                    <w:left w:val="nil"/>
                    <w:bottom w:val="nil"/>
                    <w:right w:val="nil"/>
                  </w:tcBorders>
                  <w:noWrap/>
                  <w:vAlign w:val="bottom"/>
                  <w:hideMark/>
                </w:tcPr>
                <w:p w14:paraId="7FA3119A" w14:textId="74129070" w:rsidR="00B554E0" w:rsidRPr="00B131B0" w:rsidRDefault="00B554E0" w:rsidP="00B554E0">
                  <w:pPr>
                    <w:spacing w:after="0" w:line="240" w:lineRule="auto"/>
                    <w:jc w:val="right"/>
                    <w:rPr>
                      <w:rFonts w:cs="Arial"/>
                      <w:color w:val="000000"/>
                      <w:sz w:val="16"/>
                      <w:szCs w:val="16"/>
                      <w:lang w:eastAsia="ko-KR"/>
                    </w:rPr>
                  </w:pPr>
                  <w:r w:rsidRPr="00B131B0">
                    <w:rPr>
                      <w:rFonts w:cs="Arial"/>
                      <w:color w:val="000000"/>
                      <w:sz w:val="16"/>
                      <w:szCs w:val="16"/>
                      <w:lang w:eastAsia="ko-KR"/>
                    </w:rPr>
                    <w:t>4</w:t>
                  </w:r>
                  <w:r>
                    <w:rPr>
                      <w:rFonts w:cs="Arial"/>
                      <w:color w:val="000000"/>
                      <w:sz w:val="16"/>
                      <w:szCs w:val="16"/>
                      <w:lang w:eastAsia="ko-KR"/>
                    </w:rPr>
                    <w:t>.</w:t>
                  </w:r>
                  <w:r w:rsidRPr="00B131B0">
                    <w:rPr>
                      <w:rFonts w:cs="Arial"/>
                      <w:color w:val="000000"/>
                      <w:sz w:val="16"/>
                      <w:szCs w:val="16"/>
                      <w:lang w:eastAsia="ko-KR"/>
                    </w:rPr>
                    <w:t>4</w:t>
                  </w:r>
                </w:p>
              </w:tc>
            </w:tr>
          </w:tbl>
          <w:p w14:paraId="1AB86C32" w14:textId="77777777" w:rsidR="00B554E0" w:rsidRPr="00B131B0" w:rsidRDefault="00B554E0" w:rsidP="00B554E0"/>
        </w:tc>
      </w:tr>
      <w:tr w:rsidR="00B554E0" w:rsidRPr="00B131B0" w14:paraId="1BD761B8" w14:textId="77777777" w:rsidTr="003C4A79">
        <w:trPr>
          <w:trHeight w:val="170"/>
        </w:trPr>
        <w:tc>
          <w:tcPr>
            <w:tcW w:w="9639" w:type="dxa"/>
            <w:gridSpan w:val="3"/>
            <w:tcMar>
              <w:left w:w="0" w:type="dxa"/>
            </w:tcMar>
          </w:tcPr>
          <w:p w14:paraId="265B68FC" w14:textId="1AFEB383" w:rsidR="00B554E0" w:rsidRPr="00B131B0" w:rsidRDefault="00B554E0" w:rsidP="00B554E0">
            <w:pPr>
              <w:spacing w:before="120"/>
            </w:pPr>
            <w:r>
              <w:rPr>
                <w:sz w:val="16"/>
                <w:szCs w:val="16"/>
              </w:rPr>
              <w:t>Source</w:t>
            </w:r>
            <w:r w:rsidRPr="00B131B0">
              <w:rPr>
                <w:sz w:val="16"/>
                <w:szCs w:val="16"/>
              </w:rPr>
              <w:t xml:space="preserve">: </w:t>
            </w:r>
            <w:r>
              <w:rPr>
                <w:sz w:val="16"/>
                <w:szCs w:val="16"/>
              </w:rPr>
              <w:t>CZSO</w:t>
            </w:r>
          </w:p>
        </w:tc>
      </w:tr>
      <w:tr w:rsidR="00B554E0" w:rsidRPr="00B131B0" w14:paraId="660FB070" w14:textId="77777777" w:rsidTr="003C4A79">
        <w:trPr>
          <w:trHeight w:val="145"/>
        </w:trPr>
        <w:tc>
          <w:tcPr>
            <w:tcW w:w="1806" w:type="dxa"/>
            <w:tcMar>
              <w:left w:w="0" w:type="dxa"/>
            </w:tcMar>
          </w:tcPr>
          <w:p w14:paraId="30CC7EFA" w14:textId="7A4F6E53" w:rsidR="00B554E0" w:rsidRPr="00B131B0" w:rsidRDefault="00B554E0" w:rsidP="00B554E0">
            <w:pPr>
              <w:pStyle w:val="Marginlie"/>
            </w:pPr>
            <w:r w:rsidRPr="007D0553">
              <w:t>Significant increases</w:t>
            </w:r>
            <w:r>
              <w:t xml:space="preserve"> of </w:t>
            </w:r>
            <w:r w:rsidRPr="007D0553">
              <w:t>wages and salaries in services.</w:t>
            </w:r>
            <w:r>
              <w:t xml:space="preserve"> </w:t>
            </w:r>
          </w:p>
        </w:tc>
        <w:tc>
          <w:tcPr>
            <w:tcW w:w="210" w:type="dxa"/>
            <w:tcMar>
              <w:left w:w="0" w:type="dxa"/>
            </w:tcMar>
          </w:tcPr>
          <w:p w14:paraId="302FF9F7" w14:textId="77777777" w:rsidR="00B554E0" w:rsidRPr="00B131B0" w:rsidRDefault="00B554E0" w:rsidP="00B554E0">
            <w:pPr>
              <w:pStyle w:val="Textpoznpodarou"/>
              <w:jc w:val="both"/>
              <w:rPr>
                <w:spacing w:val="-4"/>
              </w:rPr>
            </w:pPr>
          </w:p>
        </w:tc>
        <w:tc>
          <w:tcPr>
            <w:tcW w:w="7623" w:type="dxa"/>
            <w:tcMar>
              <w:left w:w="0" w:type="dxa"/>
            </w:tcMar>
          </w:tcPr>
          <w:p w14:paraId="3B953499" w14:textId="1219FE43" w:rsidR="00B554E0" w:rsidRPr="00B131B0" w:rsidRDefault="00B554E0" w:rsidP="00B554E0">
            <w:r w:rsidRPr="00DC713A">
              <w:t xml:space="preserve">The described acceleration </w:t>
            </w:r>
            <w:r>
              <w:t>of</w:t>
            </w:r>
            <w:r w:rsidRPr="00DC713A">
              <w:t xml:space="preserve"> quarter-on-quarter and year-on-year wage and salary </w:t>
            </w:r>
            <w:r>
              <w:t>dynamics</w:t>
            </w:r>
            <w:r w:rsidRPr="00DC713A">
              <w:t xml:space="preserve"> was mainly i</w:t>
            </w:r>
            <w:r>
              <w:t>mpacted</w:t>
            </w:r>
            <w:r w:rsidRPr="00DC713A">
              <w:t xml:space="preserve"> by services. The </w:t>
            </w:r>
            <w:r>
              <w:t xml:space="preserve">total </w:t>
            </w:r>
            <w:r w:rsidRPr="00DC713A">
              <w:t xml:space="preserve">increase was mostly influenced by the </w:t>
            </w:r>
            <w:r>
              <w:t xml:space="preserve">staff intensive </w:t>
            </w:r>
            <w:r w:rsidRPr="00DC713A">
              <w:t xml:space="preserve">public administration and defence, education, </w:t>
            </w:r>
            <w:r>
              <w:t xml:space="preserve">human </w:t>
            </w:r>
            <w:r w:rsidRPr="00DC713A">
              <w:t xml:space="preserve">health and social </w:t>
            </w:r>
            <w:r>
              <w:t xml:space="preserve">work activities </w:t>
            </w:r>
            <w:r w:rsidRPr="00DC713A">
              <w:t xml:space="preserve">(see Table 2), where an increase </w:t>
            </w:r>
            <w:r>
              <w:t>of</w:t>
            </w:r>
            <w:r w:rsidRPr="00DC713A">
              <w:t xml:space="preserve"> tariffs was reflected. The </w:t>
            </w:r>
            <w:r w:rsidRPr="00DC713A">
              <w:lastRenderedPageBreak/>
              <w:t xml:space="preserve">largest quarter-on-quarter increase </w:t>
            </w:r>
            <w:r>
              <w:t>of</w:t>
            </w:r>
            <w:r w:rsidRPr="00DC713A">
              <w:t xml:space="preserve"> wages and salaries was recorded in professional, scientific, technical and administrative activities. The quarter-on-quarter increase </w:t>
            </w:r>
            <w:r>
              <w:t>of</w:t>
            </w:r>
            <w:r w:rsidRPr="00DC713A">
              <w:t xml:space="preserve"> wages and salaries in other activities</w:t>
            </w:r>
            <w:r w:rsidRPr="00B131B0">
              <w:rPr>
                <w:rStyle w:val="Znakapoznpodarou"/>
                <w:spacing w:val="-2"/>
              </w:rPr>
              <w:footnoteReference w:id="8"/>
            </w:r>
            <w:r w:rsidRPr="00DC713A">
              <w:t xml:space="preserve"> was also strong, but this was entirely related to an </w:t>
            </w:r>
            <w:r>
              <w:t xml:space="preserve">enhanced </w:t>
            </w:r>
            <w:r w:rsidRPr="00DC713A">
              <w:t xml:space="preserve">employment in the </w:t>
            </w:r>
            <w:r>
              <w:t>activity</w:t>
            </w:r>
            <w:r w:rsidRPr="00DC713A">
              <w:t xml:space="preserve">. </w:t>
            </w:r>
            <w:r>
              <w:t>Construction o</w:t>
            </w:r>
            <w:r w:rsidRPr="00DC713A">
              <w:t xml:space="preserve">n the </w:t>
            </w:r>
            <w:r>
              <w:t xml:space="preserve">contrary recorded </w:t>
            </w:r>
            <w:r w:rsidRPr="00DC713A">
              <w:t xml:space="preserve">a strong increase </w:t>
            </w:r>
            <w:r>
              <w:t xml:space="preserve">of </w:t>
            </w:r>
            <w:r w:rsidRPr="00DC713A">
              <w:t xml:space="preserve">wages paid, accompanied by only a very slight increase </w:t>
            </w:r>
            <w:r>
              <w:t xml:space="preserve">of </w:t>
            </w:r>
            <w:r w:rsidRPr="00DC713A">
              <w:t>employment</w:t>
            </w:r>
            <w:r>
              <w:t xml:space="preserve"> in Q2</w:t>
            </w:r>
            <w:r w:rsidRPr="00DC713A">
              <w:t xml:space="preserve">. </w:t>
            </w:r>
            <w:r>
              <w:t xml:space="preserve">It </w:t>
            </w:r>
            <w:r w:rsidRPr="00DC713A">
              <w:t xml:space="preserve">has been struggling with the </w:t>
            </w:r>
            <w:r>
              <w:t xml:space="preserve">difficulty </w:t>
            </w:r>
            <w:r w:rsidRPr="00DC713A">
              <w:t xml:space="preserve">of labour shortages for a long time, and the expansion of the </w:t>
            </w:r>
            <w:r>
              <w:t xml:space="preserve">branch </w:t>
            </w:r>
            <w:r w:rsidRPr="00DC713A">
              <w:t>in the last year and a half has put pressure on wage growth. Year-on-year, employment is higher thanks to last year's growth</w:t>
            </w:r>
            <w:r>
              <w:t xml:space="preserve"> </w:t>
            </w:r>
            <w:r w:rsidRPr="00DC713A">
              <w:t xml:space="preserve">in construction, </w:t>
            </w:r>
            <w:r>
              <w:t xml:space="preserve">however </w:t>
            </w:r>
            <w:r w:rsidRPr="00DC713A">
              <w:t xml:space="preserve">this year's quarter-on-quarter increases slowed down significantly compared to last year. Only a very slight quarter-on-quarter increase </w:t>
            </w:r>
            <w:r>
              <w:t>of</w:t>
            </w:r>
            <w:r w:rsidRPr="00DC713A">
              <w:t xml:space="preserve"> the volume of wages and salaries paid, accompanied by a sharp </w:t>
            </w:r>
            <w:r>
              <w:t>downturn</w:t>
            </w:r>
            <w:r w:rsidRPr="00DC713A">
              <w:t xml:space="preserve"> </w:t>
            </w:r>
            <w:r>
              <w:t>of</w:t>
            </w:r>
            <w:r w:rsidRPr="00DC713A">
              <w:t xml:space="preserve"> employment, was recorded in information and communication in Q2. The average wage thus increased</w:t>
            </w:r>
            <w:r>
              <w:t xml:space="preserve"> </w:t>
            </w:r>
            <w:r w:rsidRPr="00DC713A">
              <w:t xml:space="preserve">in the </w:t>
            </w:r>
            <w:r>
              <w:t>branch,</w:t>
            </w:r>
            <w:r w:rsidRPr="00DC713A">
              <w:t xml:space="preserve"> and it can be estimated that there has been a </w:t>
            </w:r>
            <w:r>
              <w:t xml:space="preserve">reduction of </w:t>
            </w:r>
            <w:r w:rsidRPr="00DC713A">
              <w:t>lower-paid job</w:t>
            </w:r>
            <w:r>
              <w:t xml:space="preserve"> positions</w:t>
            </w:r>
            <w:r w:rsidRPr="00DC713A">
              <w:t xml:space="preserve">, which are coming under pressure in connection with the increasingly sophisticated use of generative AI. Quarter-on-quarter growth </w:t>
            </w:r>
            <w:r>
              <w:t>of</w:t>
            </w:r>
            <w:r w:rsidRPr="00DC713A">
              <w:t xml:space="preserve"> wages and salaries was below average in trade, transport, accommodation and </w:t>
            </w:r>
            <w:r>
              <w:t>food service activities</w:t>
            </w:r>
            <w:r w:rsidRPr="00DC713A">
              <w:t xml:space="preserve">, industry and agriculture. At the same time, the increase was mostly </w:t>
            </w:r>
            <w:r>
              <w:t>affected b</w:t>
            </w:r>
            <w:r w:rsidRPr="00DC713A">
              <w:t xml:space="preserve">y employment growth. In terms of employment and wage growth, these </w:t>
            </w:r>
            <w:r>
              <w:t xml:space="preserve">activities </w:t>
            </w:r>
            <w:r w:rsidRPr="00DC713A">
              <w:t xml:space="preserve">lagged behind the rest of the economy </w:t>
            </w:r>
            <w:r>
              <w:t xml:space="preserve">also </w:t>
            </w:r>
            <w:r w:rsidRPr="00DC713A">
              <w:t xml:space="preserve">in a year-on-year comparison. The only quarter-on-quarter decline </w:t>
            </w:r>
            <w:r>
              <w:t xml:space="preserve">of </w:t>
            </w:r>
            <w:r w:rsidRPr="00DC713A">
              <w:t xml:space="preserve">wages and salaries paid </w:t>
            </w:r>
            <w:r>
              <w:t xml:space="preserve">occurred </w:t>
            </w:r>
            <w:r w:rsidRPr="00DC713A">
              <w:t xml:space="preserve">in the financial and insurance </w:t>
            </w:r>
            <w:r>
              <w:t xml:space="preserve">activities. </w:t>
            </w:r>
          </w:p>
        </w:tc>
      </w:tr>
      <w:bookmarkEnd w:id="2"/>
      <w:bookmarkEnd w:id="3"/>
      <w:bookmarkEnd w:id="4"/>
      <w:bookmarkEnd w:id="5"/>
      <w:bookmarkEnd w:id="6"/>
      <w:bookmarkEnd w:id="7"/>
    </w:tbl>
    <w:p w14:paraId="02F0B73F" w14:textId="77777777" w:rsidR="006B1AFC" w:rsidRPr="00B131B0" w:rsidRDefault="006B1AFC" w:rsidP="009324EF">
      <w:pPr>
        <w:rPr>
          <w:rFonts w:eastAsia="MS Gothic"/>
          <w:highlight w:val="yellow"/>
        </w:rPr>
      </w:pPr>
    </w:p>
    <w:p w14:paraId="67B29758" w14:textId="77777777" w:rsidR="006B1AFC" w:rsidRPr="00B131B0" w:rsidRDefault="006B1AFC" w:rsidP="009324EF">
      <w:pPr>
        <w:spacing w:after="0" w:line="240" w:lineRule="auto"/>
        <w:jc w:val="left"/>
        <w:rPr>
          <w:rFonts w:eastAsia="MS Gothic"/>
          <w:b/>
          <w:bCs/>
          <w:color w:val="86BF5E"/>
          <w:sz w:val="32"/>
          <w:szCs w:val="28"/>
        </w:rPr>
      </w:pPr>
      <w:r w:rsidRPr="00B131B0">
        <w:br w:type="page"/>
      </w:r>
      <w:bookmarkEnd w:id="8"/>
      <w:bookmarkEnd w:id="9"/>
    </w:p>
    <w:sectPr w:rsidR="006B1AFC" w:rsidRPr="00B131B0" w:rsidSect="00D532B4">
      <w:headerReference w:type="even" r:id="rId15"/>
      <w:headerReference w:type="default" r:id="rId16"/>
      <w:footerReference w:type="even" r:id="rId17"/>
      <w:footerReference w:type="default" r:id="rId18"/>
      <w:pgSz w:w="11906" w:h="16838" w:code="9"/>
      <w:pgMar w:top="1134" w:right="1134" w:bottom="1418" w:left="1134" w:header="680" w:footer="680"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ADDE3" w14:textId="77777777" w:rsidR="006E4D5F" w:rsidRPr="00B131B0" w:rsidRDefault="006E4D5F" w:rsidP="00E71A58">
      <w:r w:rsidRPr="00B131B0">
        <w:separator/>
      </w:r>
    </w:p>
  </w:endnote>
  <w:endnote w:type="continuationSeparator" w:id="0">
    <w:p w14:paraId="19B7E2CF" w14:textId="77777777" w:rsidR="006E4D5F" w:rsidRPr="00B131B0" w:rsidRDefault="006E4D5F" w:rsidP="00E71A58">
      <w:r w:rsidRPr="00B131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6754" w14:textId="600D31C7" w:rsidR="00763B85" w:rsidRPr="00B131B0" w:rsidRDefault="00763B85" w:rsidP="00A418BC">
    <w:pPr>
      <w:pStyle w:val="Zpat"/>
      <w:rPr>
        <w:noProof w:val="0"/>
        <w:szCs w:val="16"/>
        <w:lang w:val="en-GB"/>
      </w:rPr>
    </w:pPr>
    <w:r w:rsidRPr="00B131B0">
      <w:rPr>
        <w:noProof w:val="0"/>
        <w:szCs w:val="16"/>
        <w:lang w:val="en-GB"/>
      </w:rPr>
      <w:fldChar w:fldCharType="begin"/>
    </w:r>
    <w:r w:rsidRPr="00B131B0">
      <w:rPr>
        <w:noProof w:val="0"/>
        <w:szCs w:val="16"/>
        <w:lang w:val="en-GB"/>
      </w:rPr>
      <w:instrText>PAGE   \* MERGEFORMAT</w:instrText>
    </w:r>
    <w:r w:rsidRPr="00B131B0">
      <w:rPr>
        <w:noProof w:val="0"/>
        <w:szCs w:val="16"/>
        <w:lang w:val="en-GB"/>
      </w:rPr>
      <w:fldChar w:fldCharType="separate"/>
    </w:r>
    <w:r w:rsidR="00C35666" w:rsidRPr="00B131B0">
      <w:rPr>
        <w:noProof w:val="0"/>
        <w:szCs w:val="16"/>
        <w:lang w:val="en-GB"/>
      </w:rPr>
      <w:t>8</w:t>
    </w:r>
    <w:r w:rsidRPr="00B131B0">
      <w:rPr>
        <w:noProof w:val="0"/>
        <w:szCs w:val="16"/>
        <w:lang w:val="en-GB"/>
      </w:rPr>
      <w:fldChar w:fldCharType="end"/>
    </w:r>
    <w:r w:rsidRPr="00B131B0">
      <w:rPr>
        <w:noProof w:val="0"/>
        <w:szCs w:val="16"/>
        <w:lang w:val="en-GB"/>
      </w:rPr>
      <w:tab/>
    </w:r>
    <w:r w:rsidR="00E92DFE" w:rsidRPr="00B131B0">
      <w:rPr>
        <w:noProof w:val="0"/>
        <w:szCs w:val="16"/>
        <w:lang w:val="en-GB"/>
      </w:rPr>
      <w:t xml:space="preserve">First half of </w:t>
    </w:r>
    <w:r w:rsidR="009203C8" w:rsidRPr="00B131B0">
      <w:rPr>
        <w:noProof w:val="0"/>
        <w:szCs w:val="16"/>
        <w:lang w:val="en-GB"/>
      </w:rPr>
      <w:t>2026</w:t>
    </w:r>
    <w:r w:rsidR="002B4121" w:rsidRPr="00B131B0">
      <w:rPr>
        <w:noProof w:val="0"/>
        <w:szCs w:val="16"/>
        <w:lang w:val="en-GB"/>
      </w:rPr>
      <w:tab/>
    </w:r>
    <w:r w:rsidR="00966AEE" w:rsidRPr="00B131B0">
      <w:rPr>
        <w:noProof w:val="0"/>
        <w:szCs w:val="16"/>
        <w:lang w:val="en-GB"/>
      </w:rPr>
      <w:t>CZSO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FA4F" w14:textId="23B79C87" w:rsidR="00763B85" w:rsidRPr="00B131B0" w:rsidRDefault="00964F1A" w:rsidP="00A418BC">
    <w:pPr>
      <w:pStyle w:val="Zpat"/>
      <w:rPr>
        <w:noProof w:val="0"/>
        <w:szCs w:val="16"/>
        <w:lang w:val="en-GB"/>
      </w:rPr>
    </w:pPr>
    <w:r w:rsidRPr="00B131B0">
      <w:rPr>
        <w:noProof w:val="0"/>
        <w:szCs w:val="16"/>
        <w:lang w:val="en-GB"/>
      </w:rPr>
      <w:t>CZSO</w:t>
    </w:r>
    <w:r w:rsidR="00763B85" w:rsidRPr="00B131B0">
      <w:rPr>
        <w:noProof w:val="0"/>
        <w:szCs w:val="16"/>
        <w:lang w:val="en-GB"/>
      </w:rPr>
      <w:tab/>
    </w:r>
    <w:r w:rsidRPr="00B131B0">
      <w:rPr>
        <w:noProof w:val="0"/>
        <w:szCs w:val="16"/>
        <w:lang w:val="en-GB"/>
      </w:rPr>
      <w:t xml:space="preserve">First half of </w:t>
    </w:r>
    <w:r w:rsidR="009203C8" w:rsidRPr="00B131B0">
      <w:rPr>
        <w:noProof w:val="0"/>
        <w:szCs w:val="16"/>
        <w:lang w:val="en-GB"/>
      </w:rPr>
      <w:t>2026</w:t>
    </w:r>
    <w:r w:rsidR="00763B85" w:rsidRPr="00B131B0">
      <w:rPr>
        <w:noProof w:val="0"/>
        <w:szCs w:val="16"/>
        <w:lang w:val="en-GB"/>
      </w:rPr>
      <w:tab/>
    </w:r>
    <w:r w:rsidR="00763B85" w:rsidRPr="00B131B0">
      <w:rPr>
        <w:rStyle w:val="ZpatChar"/>
        <w:noProof w:val="0"/>
        <w:szCs w:val="16"/>
        <w:lang w:val="en-GB"/>
      </w:rPr>
      <w:fldChar w:fldCharType="begin"/>
    </w:r>
    <w:r w:rsidR="00763B85" w:rsidRPr="00B131B0">
      <w:rPr>
        <w:rStyle w:val="ZpatChar"/>
        <w:noProof w:val="0"/>
        <w:szCs w:val="16"/>
        <w:lang w:val="en-GB"/>
      </w:rPr>
      <w:instrText>PAGE   \* MERGEFORMAT</w:instrText>
    </w:r>
    <w:r w:rsidR="00763B85" w:rsidRPr="00B131B0">
      <w:rPr>
        <w:rStyle w:val="ZpatChar"/>
        <w:noProof w:val="0"/>
        <w:szCs w:val="16"/>
        <w:lang w:val="en-GB"/>
      </w:rPr>
      <w:fldChar w:fldCharType="separate"/>
    </w:r>
    <w:r w:rsidR="00C35666" w:rsidRPr="00B131B0">
      <w:rPr>
        <w:rStyle w:val="ZpatChar"/>
        <w:noProof w:val="0"/>
        <w:szCs w:val="16"/>
        <w:lang w:val="en-GB"/>
      </w:rPr>
      <w:t>3</w:t>
    </w:r>
    <w:r w:rsidR="00763B85" w:rsidRPr="00B131B0">
      <w:rPr>
        <w:rStyle w:val="ZpatChar"/>
        <w:noProof w:val="0"/>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A990E" w14:textId="77777777" w:rsidR="006E4D5F" w:rsidRPr="00B131B0" w:rsidRDefault="006E4D5F" w:rsidP="00BB2F43">
      <w:pPr>
        <w:pStyle w:val="Zpat"/>
        <w:rPr>
          <w:noProof w:val="0"/>
          <w:lang w:val="en-GB"/>
        </w:rPr>
      </w:pPr>
      <w:r w:rsidRPr="00B131B0">
        <w:rPr>
          <w:noProof w:val="0"/>
          <w:lang w:val="en-GB"/>
        </w:rPr>
        <w:separator/>
      </w:r>
    </w:p>
  </w:footnote>
  <w:footnote w:type="continuationSeparator" w:id="0">
    <w:p w14:paraId="23C9D4E0" w14:textId="77777777" w:rsidR="006E4D5F" w:rsidRPr="00B131B0" w:rsidRDefault="006E4D5F" w:rsidP="00E71A58">
      <w:r w:rsidRPr="00B131B0">
        <w:continuationSeparator/>
      </w:r>
    </w:p>
  </w:footnote>
  <w:footnote w:id="1">
    <w:p w14:paraId="2F8DC025" w14:textId="77777777" w:rsidR="0007020E" w:rsidRPr="00B131B0" w:rsidRDefault="0007020E" w:rsidP="0007020E">
      <w:pPr>
        <w:pStyle w:val="Textpoznpodarou"/>
        <w:rPr>
          <w:sz w:val="16"/>
          <w:szCs w:val="16"/>
        </w:rPr>
      </w:pPr>
      <w:r w:rsidRPr="00B131B0">
        <w:rPr>
          <w:rStyle w:val="Znakapoznpodarou"/>
          <w:sz w:val="16"/>
          <w:szCs w:val="16"/>
        </w:rPr>
        <w:footnoteRef/>
      </w:r>
      <w:r w:rsidRPr="00B131B0">
        <w:rPr>
          <w:sz w:val="16"/>
          <w:szCs w:val="16"/>
        </w:rPr>
        <w:t xml:space="preserve"> </w:t>
      </w:r>
      <w:r w:rsidRPr="00ED5A87">
        <w:rPr>
          <w:sz w:val="16"/>
          <w:szCs w:val="16"/>
        </w:rPr>
        <w:t>The development of the GDP, gross value added, and their components is expressed with the help of the volume indices (i.e. adjusted for changes in prices) and adjusted for seasonal and calendar effects. Data are valid as of 2</w:t>
      </w:r>
      <w:r>
        <w:rPr>
          <w:sz w:val="16"/>
          <w:szCs w:val="16"/>
        </w:rPr>
        <w:t>8</w:t>
      </w:r>
      <w:r w:rsidRPr="00ED5A87">
        <w:rPr>
          <w:sz w:val="16"/>
          <w:szCs w:val="16"/>
          <w:vertAlign w:val="superscript"/>
        </w:rPr>
        <w:t>th</w:t>
      </w:r>
      <w:r w:rsidRPr="00ED5A87">
        <w:rPr>
          <w:sz w:val="16"/>
          <w:szCs w:val="16"/>
        </w:rPr>
        <w:t xml:space="preserve"> August 202</w:t>
      </w:r>
      <w:r>
        <w:rPr>
          <w:sz w:val="16"/>
          <w:szCs w:val="16"/>
        </w:rPr>
        <w:t>6</w:t>
      </w:r>
      <w:r w:rsidRPr="00ED5A87">
        <w:rPr>
          <w:sz w:val="16"/>
          <w:szCs w:val="16"/>
        </w:rPr>
        <w:t>.</w:t>
      </w:r>
      <w:r w:rsidRPr="00B131B0">
        <w:rPr>
          <w:sz w:val="16"/>
          <w:szCs w:val="16"/>
        </w:rPr>
        <w:t xml:space="preserve"> </w:t>
      </w:r>
    </w:p>
  </w:footnote>
  <w:footnote w:id="2">
    <w:p w14:paraId="63D02B5C" w14:textId="77777777" w:rsidR="00A118C8" w:rsidRPr="00B131B0" w:rsidRDefault="00A118C8" w:rsidP="00A118C8">
      <w:pPr>
        <w:pStyle w:val="Textpoznpodarou"/>
      </w:pPr>
      <w:r w:rsidRPr="00B131B0">
        <w:rPr>
          <w:rStyle w:val="Znakapoznpodarou"/>
          <w:sz w:val="16"/>
          <w:szCs w:val="16"/>
        </w:rPr>
        <w:footnoteRef/>
      </w:r>
      <w:r w:rsidRPr="00B131B0">
        <w:rPr>
          <w:sz w:val="16"/>
          <w:szCs w:val="16"/>
        </w:rPr>
        <w:t xml:space="preserve"> </w:t>
      </w:r>
      <w:r>
        <w:rPr>
          <w:sz w:val="16"/>
          <w:szCs w:val="16"/>
        </w:rPr>
        <w:t xml:space="preserve">Data for Luxembourg not available. </w:t>
      </w:r>
    </w:p>
  </w:footnote>
  <w:footnote w:id="3">
    <w:p w14:paraId="69105DAE" w14:textId="77777777" w:rsidR="009B4BAF" w:rsidRPr="00B131B0" w:rsidRDefault="009B4BAF" w:rsidP="009B4BAF">
      <w:pPr>
        <w:pStyle w:val="Textpoznpodarou"/>
        <w:jc w:val="both"/>
        <w:rPr>
          <w:sz w:val="16"/>
          <w:szCs w:val="16"/>
        </w:rPr>
      </w:pPr>
      <w:r w:rsidRPr="00B131B0">
        <w:rPr>
          <w:rStyle w:val="Znakapoznpodarou"/>
          <w:sz w:val="16"/>
          <w:szCs w:val="16"/>
        </w:rPr>
        <w:footnoteRef/>
      </w:r>
      <w:r w:rsidRPr="00B131B0">
        <w:rPr>
          <w:sz w:val="16"/>
          <w:szCs w:val="16"/>
        </w:rPr>
        <w:t xml:space="preserve"> Data regarding consumption based on durability are in domestic conception. </w:t>
      </w:r>
    </w:p>
  </w:footnote>
  <w:footnote w:id="4">
    <w:p w14:paraId="6A8FBEF8" w14:textId="1A9FA8F1" w:rsidR="0021031A" w:rsidRPr="00B131B0" w:rsidRDefault="0021031A" w:rsidP="00457047">
      <w:pPr>
        <w:pStyle w:val="Textpoznpodarou"/>
        <w:rPr>
          <w:sz w:val="16"/>
          <w:szCs w:val="16"/>
        </w:rPr>
      </w:pPr>
      <w:r w:rsidRPr="00B131B0">
        <w:rPr>
          <w:rStyle w:val="Znakapoznpodarou"/>
          <w:sz w:val="16"/>
          <w:szCs w:val="16"/>
        </w:rPr>
        <w:footnoteRef/>
      </w:r>
      <w:r w:rsidRPr="00B131B0">
        <w:rPr>
          <w:sz w:val="16"/>
          <w:szCs w:val="16"/>
        </w:rPr>
        <w:t xml:space="preserve"> </w:t>
      </w:r>
      <w:r w:rsidR="00457047" w:rsidRPr="00457047">
        <w:rPr>
          <w:sz w:val="16"/>
          <w:szCs w:val="16"/>
        </w:rPr>
        <w:t xml:space="preserve">Change of the inventory stock (in current prices and not seasonally adjusted) attained </w:t>
      </w:r>
      <w:r w:rsidR="00457047">
        <w:rPr>
          <w:sz w:val="16"/>
          <w:szCs w:val="16"/>
        </w:rPr>
        <w:t>17</w:t>
      </w:r>
      <w:r w:rsidR="00457047" w:rsidRPr="00457047">
        <w:rPr>
          <w:sz w:val="16"/>
          <w:szCs w:val="16"/>
        </w:rPr>
        <w:t>.</w:t>
      </w:r>
      <w:r w:rsidR="00457047">
        <w:rPr>
          <w:sz w:val="16"/>
          <w:szCs w:val="16"/>
        </w:rPr>
        <w:t>6</w:t>
      </w:r>
      <w:r w:rsidR="00457047" w:rsidRPr="00457047">
        <w:rPr>
          <w:sz w:val="16"/>
          <w:szCs w:val="16"/>
        </w:rPr>
        <w:t xml:space="preserve"> bn CZK in </w:t>
      </w:r>
      <w:r w:rsidR="00457047">
        <w:rPr>
          <w:sz w:val="16"/>
          <w:szCs w:val="16"/>
        </w:rPr>
        <w:t xml:space="preserve">Q2 </w:t>
      </w:r>
      <w:r w:rsidR="00457047" w:rsidRPr="00457047">
        <w:rPr>
          <w:sz w:val="16"/>
          <w:szCs w:val="16"/>
        </w:rPr>
        <w:t>202</w:t>
      </w:r>
      <w:r w:rsidR="00457047">
        <w:rPr>
          <w:sz w:val="16"/>
          <w:szCs w:val="16"/>
        </w:rPr>
        <w:t>6</w:t>
      </w:r>
      <w:r w:rsidR="00457047" w:rsidRPr="00457047">
        <w:rPr>
          <w:sz w:val="16"/>
          <w:szCs w:val="16"/>
        </w:rPr>
        <w:t xml:space="preserve">, compared to </w:t>
      </w:r>
      <w:r w:rsidR="00457047">
        <w:rPr>
          <w:sz w:val="16"/>
          <w:szCs w:val="16"/>
        </w:rPr>
        <w:t>35</w:t>
      </w:r>
      <w:r w:rsidR="00457047" w:rsidRPr="00457047">
        <w:rPr>
          <w:sz w:val="16"/>
          <w:szCs w:val="16"/>
        </w:rPr>
        <w:t>,</w:t>
      </w:r>
      <w:r w:rsidR="00457047">
        <w:rPr>
          <w:sz w:val="16"/>
          <w:szCs w:val="16"/>
        </w:rPr>
        <w:t>5</w:t>
      </w:r>
      <w:r w:rsidR="00457047" w:rsidRPr="00457047">
        <w:rPr>
          <w:sz w:val="16"/>
          <w:szCs w:val="16"/>
        </w:rPr>
        <w:t xml:space="preserve"> bn in </w:t>
      </w:r>
      <w:r w:rsidR="00457047">
        <w:rPr>
          <w:sz w:val="16"/>
          <w:szCs w:val="16"/>
        </w:rPr>
        <w:t xml:space="preserve">Q2 </w:t>
      </w:r>
      <w:r w:rsidR="00457047" w:rsidRPr="00457047">
        <w:rPr>
          <w:sz w:val="16"/>
          <w:szCs w:val="16"/>
        </w:rPr>
        <w:t>202</w:t>
      </w:r>
      <w:r w:rsidR="00457047">
        <w:rPr>
          <w:sz w:val="16"/>
          <w:szCs w:val="16"/>
        </w:rPr>
        <w:t>5</w:t>
      </w:r>
      <w:r w:rsidR="00457047" w:rsidRPr="00457047">
        <w:rPr>
          <w:sz w:val="16"/>
          <w:szCs w:val="16"/>
        </w:rPr>
        <w:t>.</w:t>
      </w:r>
      <w:r w:rsidR="00457047">
        <w:rPr>
          <w:sz w:val="16"/>
          <w:szCs w:val="16"/>
        </w:rPr>
        <w:t xml:space="preserve"> </w:t>
      </w:r>
      <w:r w:rsidR="00457047" w:rsidRPr="00457047">
        <w:rPr>
          <w:sz w:val="16"/>
          <w:szCs w:val="16"/>
        </w:rPr>
        <w:t xml:space="preserve">According to seasonally adjusted data, there was a </w:t>
      </w:r>
      <w:r w:rsidR="00457047">
        <w:rPr>
          <w:sz w:val="16"/>
          <w:szCs w:val="16"/>
        </w:rPr>
        <w:t xml:space="preserve">slump of </w:t>
      </w:r>
      <w:r w:rsidR="00457047" w:rsidRPr="00457047">
        <w:rPr>
          <w:sz w:val="16"/>
          <w:szCs w:val="16"/>
        </w:rPr>
        <w:t xml:space="preserve">the value of inventories in </w:t>
      </w:r>
      <w:r w:rsidR="00457047">
        <w:rPr>
          <w:sz w:val="16"/>
          <w:szCs w:val="16"/>
        </w:rPr>
        <w:t>Q2</w:t>
      </w:r>
      <w:r w:rsidR="00457047" w:rsidRPr="00457047">
        <w:rPr>
          <w:sz w:val="16"/>
          <w:szCs w:val="16"/>
        </w:rPr>
        <w:t>.</w:t>
      </w:r>
    </w:p>
  </w:footnote>
  <w:footnote w:id="5">
    <w:p w14:paraId="5F9F35A1" w14:textId="77777777" w:rsidR="00BF46DD" w:rsidRPr="00B131B0" w:rsidRDefault="00BF46DD" w:rsidP="00BF46DD">
      <w:pPr>
        <w:pStyle w:val="Textpoznpodarou"/>
        <w:rPr>
          <w:sz w:val="16"/>
          <w:szCs w:val="16"/>
        </w:rPr>
      </w:pPr>
      <w:r w:rsidRPr="00B131B0">
        <w:rPr>
          <w:rStyle w:val="Znakapoznpodarou"/>
          <w:sz w:val="16"/>
          <w:szCs w:val="16"/>
        </w:rPr>
        <w:footnoteRef/>
      </w:r>
      <w:r w:rsidRPr="00B131B0">
        <w:rPr>
          <w:sz w:val="16"/>
          <w:szCs w:val="16"/>
        </w:rPr>
        <w:t xml:space="preserve"> </w:t>
      </w:r>
      <w:r w:rsidRPr="008E4A1C">
        <w:rPr>
          <w:sz w:val="16"/>
          <w:szCs w:val="16"/>
        </w:rPr>
        <w:t xml:space="preserve">According to the methodology of quarterly national accounts (export and import in FOB/FOB prices). International trade balance in current prices and seasonally adjusted. </w:t>
      </w:r>
    </w:p>
  </w:footnote>
  <w:footnote w:id="6">
    <w:p w14:paraId="4471E457" w14:textId="029D5003" w:rsidR="00B554E0" w:rsidRPr="00B131B0" w:rsidRDefault="00B554E0" w:rsidP="00C232F2">
      <w:pPr>
        <w:pStyle w:val="Textpoznpodarou"/>
      </w:pPr>
      <w:r w:rsidRPr="00B131B0">
        <w:rPr>
          <w:rStyle w:val="Znakapoznpodarou"/>
          <w:sz w:val="16"/>
          <w:szCs w:val="16"/>
        </w:rPr>
        <w:footnoteRef/>
      </w:r>
      <w:r w:rsidRPr="00B131B0">
        <w:rPr>
          <w:sz w:val="16"/>
          <w:szCs w:val="16"/>
        </w:rPr>
        <w:t xml:space="preserve"> </w:t>
      </w:r>
      <w:r w:rsidRPr="00ED5A87">
        <w:rPr>
          <w:spacing w:val="-2"/>
          <w:sz w:val="16"/>
          <w:szCs w:val="16"/>
        </w:rPr>
        <w:t>Employment in the national accounts conception</w:t>
      </w:r>
      <w:r>
        <w:rPr>
          <w:spacing w:val="-2"/>
          <w:sz w:val="16"/>
          <w:szCs w:val="16"/>
        </w:rPr>
        <w:t xml:space="preserve"> (persons), figure </w:t>
      </w:r>
      <w:r w:rsidRPr="00ED5A87">
        <w:rPr>
          <w:spacing w:val="-2"/>
          <w:sz w:val="16"/>
          <w:szCs w:val="16"/>
        </w:rPr>
        <w:t>seasonal</w:t>
      </w:r>
      <w:r>
        <w:rPr>
          <w:spacing w:val="-2"/>
          <w:sz w:val="16"/>
          <w:szCs w:val="16"/>
        </w:rPr>
        <w:t xml:space="preserve">ly adjusted. </w:t>
      </w:r>
    </w:p>
  </w:footnote>
  <w:footnote w:id="7">
    <w:p w14:paraId="49FF82C6" w14:textId="2944AA6F" w:rsidR="00B554E0" w:rsidRPr="00B131B0" w:rsidRDefault="00B554E0" w:rsidP="00B60535">
      <w:pPr>
        <w:pStyle w:val="Textpoznpodarou"/>
        <w:jc w:val="both"/>
        <w:rPr>
          <w:sz w:val="16"/>
          <w:szCs w:val="16"/>
        </w:rPr>
      </w:pPr>
      <w:r w:rsidRPr="00B131B0">
        <w:rPr>
          <w:rStyle w:val="Znakapoznpodarou"/>
          <w:sz w:val="16"/>
          <w:szCs w:val="16"/>
        </w:rPr>
        <w:footnoteRef/>
      </w:r>
      <w:r w:rsidRPr="00B131B0">
        <w:rPr>
          <w:sz w:val="16"/>
          <w:szCs w:val="16"/>
        </w:rPr>
        <w:t xml:space="preserve"> </w:t>
      </w:r>
      <w:r w:rsidRPr="00ED5A87">
        <w:rPr>
          <w:sz w:val="16"/>
          <w:szCs w:val="16"/>
        </w:rPr>
        <w:t>Converted into the real expression using the deflator of household consumption.</w:t>
      </w:r>
    </w:p>
  </w:footnote>
  <w:footnote w:id="8">
    <w:p w14:paraId="1041E1FA" w14:textId="725D25E5" w:rsidR="00B554E0" w:rsidRPr="00B131B0" w:rsidRDefault="00B554E0" w:rsidP="008B4FDA">
      <w:pPr>
        <w:pStyle w:val="Textpoznpodarou"/>
        <w:rPr>
          <w:sz w:val="16"/>
          <w:szCs w:val="16"/>
        </w:rPr>
      </w:pPr>
      <w:r w:rsidRPr="00B131B0">
        <w:rPr>
          <w:rStyle w:val="Znakapoznpodarou"/>
          <w:sz w:val="16"/>
          <w:szCs w:val="16"/>
        </w:rPr>
        <w:footnoteRef/>
      </w:r>
      <w:r w:rsidRPr="00B131B0">
        <w:rPr>
          <w:sz w:val="16"/>
          <w:szCs w:val="16"/>
        </w:rPr>
        <w:t xml:space="preserve"> </w:t>
      </w:r>
      <w:r w:rsidRPr="00ED5A87">
        <w:rPr>
          <w:sz w:val="16"/>
          <w:szCs w:val="16"/>
        </w:rPr>
        <w:t xml:space="preserve">This section contains activities of organisations of common interests, repairs of computers and mainly personal and household goods and a number of other personal services (beauty, hairdressing treatment etc.).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9EBB" w14:textId="379149F3" w:rsidR="00763B85" w:rsidRPr="00B131B0" w:rsidRDefault="00E92DFE" w:rsidP="00937AE2">
    <w:pPr>
      <w:pStyle w:val="Zhlav"/>
      <w:rPr>
        <w:lang w:val="en-GB"/>
      </w:rPr>
    </w:pPr>
    <w:r w:rsidRPr="00B131B0">
      <w:rPr>
        <w:lang w:val="en-GB"/>
      </w:rPr>
      <w:t>The Czech Economy Development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A682" w14:textId="6C803F4A" w:rsidR="00763B85" w:rsidRPr="00B131B0" w:rsidRDefault="007A7100" w:rsidP="00937AE2">
    <w:pPr>
      <w:pStyle w:val="Zhlav"/>
      <w:rPr>
        <w:lang w:val="en-GB"/>
      </w:rPr>
    </w:pPr>
    <w:r w:rsidRPr="00B131B0">
      <w:rPr>
        <w:lang w:val="en-GB"/>
      </w:rPr>
      <w:t>The Czech Economy Development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C5946"/>
    <w:multiLevelType w:val="hybridMultilevel"/>
    <w:tmpl w:val="4C1C2D78"/>
    <w:lvl w:ilvl="0" w:tplc="B01A56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95764B"/>
    <w:multiLevelType w:val="hybridMultilevel"/>
    <w:tmpl w:val="84788BC8"/>
    <w:lvl w:ilvl="0" w:tplc="1B96A2C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9D55121"/>
    <w:multiLevelType w:val="hybridMultilevel"/>
    <w:tmpl w:val="338E27C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0D361065"/>
    <w:multiLevelType w:val="hybridMultilevel"/>
    <w:tmpl w:val="991072C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0E145AAD"/>
    <w:multiLevelType w:val="hybridMultilevel"/>
    <w:tmpl w:val="963044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8B35353"/>
    <w:multiLevelType w:val="multilevel"/>
    <w:tmpl w:val="1C0E9EAE"/>
    <w:name w:val="Analyza"/>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pStyle w:val="Nadpis5"/>
      <w:suff w:val="space"/>
      <w:lvlText w:val="%1.%2.%3.%4.%5"/>
      <w:lvlJc w:val="left"/>
      <w:pPr>
        <w:ind w:left="1008" w:hanging="1008"/>
      </w:pPr>
      <w:rPr>
        <w:rFonts w:hint="default"/>
      </w:rPr>
    </w:lvl>
    <w:lvl w:ilvl="5">
      <w:start w:val="1"/>
      <w:numFmt w:val="decimal"/>
      <w:pStyle w:val="Nadpis6"/>
      <w:suff w:val="space"/>
      <w:lvlText w:val="%1.%2.%3.%4.%5.%6"/>
      <w:lvlJc w:val="left"/>
      <w:pPr>
        <w:ind w:left="1152" w:hanging="1152"/>
      </w:pPr>
      <w:rPr>
        <w:rFonts w:hint="default"/>
      </w:rPr>
    </w:lvl>
    <w:lvl w:ilvl="6">
      <w:start w:val="1"/>
      <w:numFmt w:val="decimal"/>
      <w:pStyle w:val="Nadpis7"/>
      <w:suff w:val="space"/>
      <w:lvlText w:val="%1.%2.%3.%4.%5.%6.%7"/>
      <w:lvlJc w:val="left"/>
      <w:pPr>
        <w:ind w:left="1296" w:hanging="1296"/>
      </w:pPr>
      <w:rPr>
        <w:rFonts w:hint="default"/>
      </w:rPr>
    </w:lvl>
    <w:lvl w:ilvl="7">
      <w:start w:val="1"/>
      <w:numFmt w:val="decimal"/>
      <w:pStyle w:val="Nadpis8"/>
      <w:suff w:val="space"/>
      <w:lvlText w:val="%1.%2.%3.%4.%5.%6.%7.%8"/>
      <w:lvlJc w:val="left"/>
      <w:pPr>
        <w:ind w:left="1440" w:hanging="1440"/>
      </w:pPr>
      <w:rPr>
        <w:rFonts w:hint="default"/>
      </w:rPr>
    </w:lvl>
    <w:lvl w:ilvl="8">
      <w:start w:val="1"/>
      <w:numFmt w:val="decimal"/>
      <w:pStyle w:val="Nadpis9"/>
      <w:suff w:val="space"/>
      <w:lvlText w:val="%1.%2.%3.%4.%5.%6.%7.%8.%9"/>
      <w:lvlJc w:val="left"/>
      <w:pPr>
        <w:ind w:left="1584" w:hanging="1584"/>
      </w:pPr>
      <w:rPr>
        <w:rFonts w:hint="default"/>
      </w:rPr>
    </w:lvl>
  </w:abstractNum>
  <w:abstractNum w:abstractNumId="16" w15:restartNumberingAfterBreak="0">
    <w:nsid w:val="1E462C8E"/>
    <w:multiLevelType w:val="hybridMultilevel"/>
    <w:tmpl w:val="84B464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2C64F20"/>
    <w:multiLevelType w:val="hybridMultilevel"/>
    <w:tmpl w:val="ADE25A6C"/>
    <w:lvl w:ilvl="0" w:tplc="04050001">
      <w:start w:val="1"/>
      <w:numFmt w:val="bullet"/>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8352333"/>
    <w:multiLevelType w:val="multilevel"/>
    <w:tmpl w:val="D0ACFA4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28DA62F8"/>
    <w:multiLevelType w:val="hybridMultilevel"/>
    <w:tmpl w:val="419C87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A5A7A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C2420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D106E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11355C0"/>
    <w:multiLevelType w:val="multilevel"/>
    <w:tmpl w:val="697E8BE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9914012"/>
    <w:multiLevelType w:val="multilevel"/>
    <w:tmpl w:val="F380FB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C7C1667"/>
    <w:multiLevelType w:val="hybridMultilevel"/>
    <w:tmpl w:val="735E7570"/>
    <w:lvl w:ilvl="0" w:tplc="5588AF8E">
      <w:start w:val="1"/>
      <w:numFmt w:val="decimal"/>
      <w:lvlText w:val="%1."/>
      <w:lvlJc w:val="left"/>
      <w:pPr>
        <w:ind w:left="4800" w:hanging="360"/>
      </w:pPr>
      <w:rPr>
        <w:rFonts w:hint="default"/>
      </w:rPr>
    </w:lvl>
    <w:lvl w:ilvl="1" w:tplc="04050019" w:tentative="1">
      <w:start w:val="1"/>
      <w:numFmt w:val="lowerLetter"/>
      <w:lvlText w:val="%2."/>
      <w:lvlJc w:val="left"/>
      <w:pPr>
        <w:ind w:left="5520" w:hanging="360"/>
      </w:pPr>
    </w:lvl>
    <w:lvl w:ilvl="2" w:tplc="0405001B" w:tentative="1">
      <w:start w:val="1"/>
      <w:numFmt w:val="lowerRoman"/>
      <w:lvlText w:val="%3."/>
      <w:lvlJc w:val="right"/>
      <w:pPr>
        <w:ind w:left="6240" w:hanging="180"/>
      </w:pPr>
    </w:lvl>
    <w:lvl w:ilvl="3" w:tplc="0405000F" w:tentative="1">
      <w:start w:val="1"/>
      <w:numFmt w:val="decimal"/>
      <w:lvlText w:val="%4."/>
      <w:lvlJc w:val="left"/>
      <w:pPr>
        <w:ind w:left="6960" w:hanging="360"/>
      </w:pPr>
    </w:lvl>
    <w:lvl w:ilvl="4" w:tplc="04050019" w:tentative="1">
      <w:start w:val="1"/>
      <w:numFmt w:val="lowerLetter"/>
      <w:lvlText w:val="%5."/>
      <w:lvlJc w:val="left"/>
      <w:pPr>
        <w:ind w:left="7680" w:hanging="360"/>
      </w:pPr>
    </w:lvl>
    <w:lvl w:ilvl="5" w:tplc="0405001B" w:tentative="1">
      <w:start w:val="1"/>
      <w:numFmt w:val="lowerRoman"/>
      <w:lvlText w:val="%6."/>
      <w:lvlJc w:val="right"/>
      <w:pPr>
        <w:ind w:left="8400" w:hanging="180"/>
      </w:pPr>
    </w:lvl>
    <w:lvl w:ilvl="6" w:tplc="0405000F" w:tentative="1">
      <w:start w:val="1"/>
      <w:numFmt w:val="decimal"/>
      <w:lvlText w:val="%7."/>
      <w:lvlJc w:val="left"/>
      <w:pPr>
        <w:ind w:left="9120" w:hanging="360"/>
      </w:pPr>
    </w:lvl>
    <w:lvl w:ilvl="7" w:tplc="04050019" w:tentative="1">
      <w:start w:val="1"/>
      <w:numFmt w:val="lowerLetter"/>
      <w:lvlText w:val="%8."/>
      <w:lvlJc w:val="left"/>
      <w:pPr>
        <w:ind w:left="9840" w:hanging="360"/>
      </w:pPr>
    </w:lvl>
    <w:lvl w:ilvl="8" w:tplc="0405001B" w:tentative="1">
      <w:start w:val="1"/>
      <w:numFmt w:val="lowerRoman"/>
      <w:lvlText w:val="%9."/>
      <w:lvlJc w:val="right"/>
      <w:pPr>
        <w:ind w:left="10560" w:hanging="180"/>
      </w:pPr>
    </w:lvl>
  </w:abstractNum>
  <w:abstractNum w:abstractNumId="27" w15:restartNumberingAfterBreak="0">
    <w:nsid w:val="3D4D0562"/>
    <w:multiLevelType w:val="hybridMultilevel"/>
    <w:tmpl w:val="E8A8F2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3BB1D16"/>
    <w:multiLevelType w:val="hybridMultilevel"/>
    <w:tmpl w:val="CA4409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44558D6"/>
    <w:multiLevelType w:val="hybridMultilevel"/>
    <w:tmpl w:val="1B90B8E0"/>
    <w:lvl w:ilvl="0" w:tplc="4B66ED1E">
      <w:start w:val="1"/>
      <w:numFmt w:val="decimal"/>
      <w:lvlText w:val="%1."/>
      <w:lvlJc w:val="left"/>
      <w:pPr>
        <w:ind w:left="4905" w:hanging="360"/>
      </w:pPr>
      <w:rPr>
        <w:rFonts w:hint="default"/>
      </w:rPr>
    </w:lvl>
    <w:lvl w:ilvl="1" w:tplc="04050019" w:tentative="1">
      <w:start w:val="1"/>
      <w:numFmt w:val="lowerLetter"/>
      <w:lvlText w:val="%2."/>
      <w:lvlJc w:val="left"/>
      <w:pPr>
        <w:ind w:left="5625" w:hanging="360"/>
      </w:pPr>
    </w:lvl>
    <w:lvl w:ilvl="2" w:tplc="0405001B" w:tentative="1">
      <w:start w:val="1"/>
      <w:numFmt w:val="lowerRoman"/>
      <w:lvlText w:val="%3."/>
      <w:lvlJc w:val="right"/>
      <w:pPr>
        <w:ind w:left="6345" w:hanging="180"/>
      </w:pPr>
    </w:lvl>
    <w:lvl w:ilvl="3" w:tplc="0405000F" w:tentative="1">
      <w:start w:val="1"/>
      <w:numFmt w:val="decimal"/>
      <w:lvlText w:val="%4."/>
      <w:lvlJc w:val="left"/>
      <w:pPr>
        <w:ind w:left="7065" w:hanging="360"/>
      </w:pPr>
    </w:lvl>
    <w:lvl w:ilvl="4" w:tplc="04050019" w:tentative="1">
      <w:start w:val="1"/>
      <w:numFmt w:val="lowerLetter"/>
      <w:lvlText w:val="%5."/>
      <w:lvlJc w:val="left"/>
      <w:pPr>
        <w:ind w:left="7785" w:hanging="360"/>
      </w:pPr>
    </w:lvl>
    <w:lvl w:ilvl="5" w:tplc="0405001B" w:tentative="1">
      <w:start w:val="1"/>
      <w:numFmt w:val="lowerRoman"/>
      <w:lvlText w:val="%6."/>
      <w:lvlJc w:val="right"/>
      <w:pPr>
        <w:ind w:left="8505" w:hanging="180"/>
      </w:pPr>
    </w:lvl>
    <w:lvl w:ilvl="6" w:tplc="0405000F" w:tentative="1">
      <w:start w:val="1"/>
      <w:numFmt w:val="decimal"/>
      <w:lvlText w:val="%7."/>
      <w:lvlJc w:val="left"/>
      <w:pPr>
        <w:ind w:left="9225" w:hanging="360"/>
      </w:pPr>
    </w:lvl>
    <w:lvl w:ilvl="7" w:tplc="04050019" w:tentative="1">
      <w:start w:val="1"/>
      <w:numFmt w:val="lowerLetter"/>
      <w:lvlText w:val="%8."/>
      <w:lvlJc w:val="left"/>
      <w:pPr>
        <w:ind w:left="9945" w:hanging="360"/>
      </w:pPr>
    </w:lvl>
    <w:lvl w:ilvl="8" w:tplc="0405001B" w:tentative="1">
      <w:start w:val="1"/>
      <w:numFmt w:val="lowerRoman"/>
      <w:lvlText w:val="%9."/>
      <w:lvlJc w:val="right"/>
      <w:pPr>
        <w:ind w:left="10665" w:hanging="180"/>
      </w:pPr>
    </w:lvl>
  </w:abstractNum>
  <w:abstractNum w:abstractNumId="30" w15:restartNumberingAfterBreak="0">
    <w:nsid w:val="479678F7"/>
    <w:multiLevelType w:val="hybridMultilevel"/>
    <w:tmpl w:val="A4DE71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95051A8"/>
    <w:multiLevelType w:val="hybridMultilevel"/>
    <w:tmpl w:val="DEACEA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ADA4287"/>
    <w:multiLevelType w:val="multilevel"/>
    <w:tmpl w:val="1C0E9EAE"/>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4"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E490F3B"/>
    <w:multiLevelType w:val="hybridMultilevel"/>
    <w:tmpl w:val="D64CB604"/>
    <w:lvl w:ilvl="0" w:tplc="67AC8A1C">
      <w:start w:val="1"/>
      <w:numFmt w:val="bullet"/>
      <w:lvlText w:val=""/>
      <w:lvlJc w:val="left"/>
      <w:pPr>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655F88"/>
    <w:multiLevelType w:val="hybridMultilevel"/>
    <w:tmpl w:val="70283F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38567A6"/>
    <w:multiLevelType w:val="hybridMultilevel"/>
    <w:tmpl w:val="50E0FC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8CB210F"/>
    <w:multiLevelType w:val="multilevel"/>
    <w:tmpl w:val="D64CB604"/>
    <w:lvl w:ilvl="0">
      <w:start w:val="1"/>
      <w:numFmt w:val="bulle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CD405E1"/>
    <w:multiLevelType w:val="multilevel"/>
    <w:tmpl w:val="5FCA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EF3AA7"/>
    <w:multiLevelType w:val="multilevel"/>
    <w:tmpl w:val="9092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B048D2"/>
    <w:multiLevelType w:val="hybridMultilevel"/>
    <w:tmpl w:val="D2A0FC6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B235D04"/>
    <w:multiLevelType w:val="hybridMultilevel"/>
    <w:tmpl w:val="26840E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87747AF"/>
    <w:multiLevelType w:val="hybridMultilevel"/>
    <w:tmpl w:val="76204D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B651B2D"/>
    <w:multiLevelType w:val="hybridMultilevel"/>
    <w:tmpl w:val="4C1C2D78"/>
    <w:lvl w:ilvl="0" w:tplc="B01A5632">
      <w:start w:val="1"/>
      <w:numFmt w:val="bullet"/>
      <w:pStyle w:val="Normalodrk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DA7946"/>
    <w:multiLevelType w:val="multilevel"/>
    <w:tmpl w:val="6F3E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8E301A"/>
    <w:multiLevelType w:val="hybridMultilevel"/>
    <w:tmpl w:val="1A92D798"/>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2000647203">
    <w:abstractNumId w:val="31"/>
  </w:num>
  <w:num w:numId="2" w16cid:durableId="2108306025">
    <w:abstractNumId w:val="8"/>
  </w:num>
  <w:num w:numId="3" w16cid:durableId="1851791032">
    <w:abstractNumId w:val="3"/>
  </w:num>
  <w:num w:numId="4" w16cid:durableId="1418281433">
    <w:abstractNumId w:val="2"/>
  </w:num>
  <w:num w:numId="5" w16cid:durableId="1057360773">
    <w:abstractNumId w:val="1"/>
  </w:num>
  <w:num w:numId="6" w16cid:durableId="917859753">
    <w:abstractNumId w:val="0"/>
  </w:num>
  <w:num w:numId="7" w16cid:durableId="1884097028">
    <w:abstractNumId w:val="9"/>
  </w:num>
  <w:num w:numId="8" w16cid:durableId="824902319">
    <w:abstractNumId w:val="7"/>
  </w:num>
  <w:num w:numId="9" w16cid:durableId="1803766138">
    <w:abstractNumId w:val="6"/>
  </w:num>
  <w:num w:numId="10" w16cid:durableId="566259340">
    <w:abstractNumId w:val="5"/>
  </w:num>
  <w:num w:numId="11" w16cid:durableId="52774508">
    <w:abstractNumId w:val="4"/>
  </w:num>
  <w:num w:numId="12" w16cid:durableId="1533685237">
    <w:abstractNumId w:val="18"/>
  </w:num>
  <w:num w:numId="13" w16cid:durableId="195428688">
    <w:abstractNumId w:val="34"/>
  </w:num>
  <w:num w:numId="14" w16cid:durableId="1684941278">
    <w:abstractNumId w:val="15"/>
  </w:num>
  <w:num w:numId="15" w16cid:durableId="1238784906">
    <w:abstractNumId w:val="24"/>
  </w:num>
  <w:num w:numId="16" w16cid:durableId="2045134713">
    <w:abstractNumId w:val="19"/>
  </w:num>
  <w:num w:numId="17" w16cid:durableId="1458451516">
    <w:abstractNumId w:val="35"/>
  </w:num>
  <w:num w:numId="18" w16cid:durableId="849877926">
    <w:abstractNumId w:val="25"/>
  </w:num>
  <w:num w:numId="19" w16cid:durableId="1118066606">
    <w:abstractNumId w:val="38"/>
  </w:num>
  <w:num w:numId="20" w16cid:durableId="508564300">
    <w:abstractNumId w:val="44"/>
  </w:num>
  <w:num w:numId="21" w16cid:durableId="316148911">
    <w:abstractNumId w:val="33"/>
  </w:num>
  <w:num w:numId="22" w16cid:durableId="360010707">
    <w:abstractNumId w:val="23"/>
  </w:num>
  <w:num w:numId="23" w16cid:durableId="999309269">
    <w:abstractNumId w:val="21"/>
  </w:num>
  <w:num w:numId="24" w16cid:durableId="1194266313">
    <w:abstractNumId w:val="22"/>
  </w:num>
  <w:num w:numId="25" w16cid:durableId="1815366340">
    <w:abstractNumId w:val="41"/>
  </w:num>
  <w:num w:numId="26" w16cid:durableId="1577863405">
    <w:abstractNumId w:val="43"/>
  </w:num>
  <w:num w:numId="27" w16cid:durableId="1207061094">
    <w:abstractNumId w:val="13"/>
  </w:num>
  <w:num w:numId="28" w16cid:durableId="1693920833">
    <w:abstractNumId w:val="27"/>
  </w:num>
  <w:num w:numId="29" w16cid:durableId="1876775477">
    <w:abstractNumId w:val="26"/>
  </w:num>
  <w:num w:numId="30" w16cid:durableId="179972127">
    <w:abstractNumId w:val="10"/>
  </w:num>
  <w:num w:numId="31" w16cid:durableId="970136012">
    <w:abstractNumId w:val="28"/>
  </w:num>
  <w:num w:numId="32" w16cid:durableId="1617836376">
    <w:abstractNumId w:val="12"/>
  </w:num>
  <w:num w:numId="33" w16cid:durableId="357007340">
    <w:abstractNumId w:val="46"/>
  </w:num>
  <w:num w:numId="34" w16cid:durableId="2131776467">
    <w:abstractNumId w:val="11"/>
  </w:num>
  <w:num w:numId="35" w16cid:durableId="1776095800">
    <w:abstractNumId w:val="37"/>
  </w:num>
  <w:num w:numId="36" w16cid:durableId="862209000">
    <w:abstractNumId w:val="30"/>
  </w:num>
  <w:num w:numId="37" w16cid:durableId="322010878">
    <w:abstractNumId w:val="29"/>
  </w:num>
  <w:num w:numId="38" w16cid:durableId="1458373311">
    <w:abstractNumId w:val="39"/>
  </w:num>
  <w:num w:numId="39" w16cid:durableId="288441997">
    <w:abstractNumId w:val="45"/>
  </w:num>
  <w:num w:numId="40" w16cid:durableId="952595072">
    <w:abstractNumId w:val="40"/>
  </w:num>
  <w:num w:numId="41" w16cid:durableId="1427652868">
    <w:abstractNumId w:val="32"/>
  </w:num>
  <w:num w:numId="42" w16cid:durableId="1024401835">
    <w:abstractNumId w:val="20"/>
  </w:num>
  <w:num w:numId="43" w16cid:durableId="428089243">
    <w:abstractNumId w:val="14"/>
  </w:num>
  <w:num w:numId="44" w16cid:durableId="82647767">
    <w:abstractNumId w:val="36"/>
  </w:num>
  <w:num w:numId="45" w16cid:durableId="215163427">
    <w:abstractNumId w:val="16"/>
  </w:num>
  <w:num w:numId="46" w16cid:durableId="1639922006">
    <w:abstractNumId w:val="44"/>
    <w:lvlOverride w:ilvl="0">
      <w:startOverride w:val="1"/>
    </w:lvlOverride>
  </w:num>
  <w:num w:numId="47" w16cid:durableId="1509101590">
    <w:abstractNumId w:val="17"/>
  </w:num>
  <w:num w:numId="48" w16cid:durableId="14816520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evenAndOddHeaders/>
  <w:drawingGridHorizontalSpacing w:val="11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443"/>
    <w:rsid w:val="00000B00"/>
    <w:rsid w:val="00001128"/>
    <w:rsid w:val="0000209D"/>
    <w:rsid w:val="000022E1"/>
    <w:rsid w:val="00002724"/>
    <w:rsid w:val="00002D96"/>
    <w:rsid w:val="00003DD9"/>
    <w:rsid w:val="0000484B"/>
    <w:rsid w:val="00004B10"/>
    <w:rsid w:val="00004D5A"/>
    <w:rsid w:val="000056D5"/>
    <w:rsid w:val="00005B8C"/>
    <w:rsid w:val="00005C79"/>
    <w:rsid w:val="00006ABD"/>
    <w:rsid w:val="0000767A"/>
    <w:rsid w:val="00010256"/>
    <w:rsid w:val="00010596"/>
    <w:rsid w:val="00010702"/>
    <w:rsid w:val="00011630"/>
    <w:rsid w:val="00011912"/>
    <w:rsid w:val="00014E27"/>
    <w:rsid w:val="00015E7C"/>
    <w:rsid w:val="00017678"/>
    <w:rsid w:val="00017AA1"/>
    <w:rsid w:val="00020384"/>
    <w:rsid w:val="0002195D"/>
    <w:rsid w:val="000234D6"/>
    <w:rsid w:val="00023D29"/>
    <w:rsid w:val="00025C47"/>
    <w:rsid w:val="00025CDB"/>
    <w:rsid w:val="00026031"/>
    <w:rsid w:val="000262C7"/>
    <w:rsid w:val="00026389"/>
    <w:rsid w:val="00026E93"/>
    <w:rsid w:val="00027CCB"/>
    <w:rsid w:val="00031AE0"/>
    <w:rsid w:val="00031D22"/>
    <w:rsid w:val="00031F70"/>
    <w:rsid w:val="000322EF"/>
    <w:rsid w:val="00032837"/>
    <w:rsid w:val="00033FCD"/>
    <w:rsid w:val="000354C7"/>
    <w:rsid w:val="0003581C"/>
    <w:rsid w:val="0003646D"/>
    <w:rsid w:val="00036AE8"/>
    <w:rsid w:val="00036F4B"/>
    <w:rsid w:val="0003723F"/>
    <w:rsid w:val="000409D9"/>
    <w:rsid w:val="00040D10"/>
    <w:rsid w:val="00041CEC"/>
    <w:rsid w:val="000435E2"/>
    <w:rsid w:val="00043819"/>
    <w:rsid w:val="00043AB6"/>
    <w:rsid w:val="000447F9"/>
    <w:rsid w:val="00045433"/>
    <w:rsid w:val="000460C2"/>
    <w:rsid w:val="0004694F"/>
    <w:rsid w:val="00046B0C"/>
    <w:rsid w:val="00047081"/>
    <w:rsid w:val="00050267"/>
    <w:rsid w:val="000522E4"/>
    <w:rsid w:val="00053503"/>
    <w:rsid w:val="000537E7"/>
    <w:rsid w:val="00053ADA"/>
    <w:rsid w:val="000557DB"/>
    <w:rsid w:val="0005689E"/>
    <w:rsid w:val="0005692B"/>
    <w:rsid w:val="00056EE3"/>
    <w:rsid w:val="00060C1D"/>
    <w:rsid w:val="000610E1"/>
    <w:rsid w:val="0006181C"/>
    <w:rsid w:val="00061936"/>
    <w:rsid w:val="00062EC5"/>
    <w:rsid w:val="00062F22"/>
    <w:rsid w:val="0006472D"/>
    <w:rsid w:val="00064C3D"/>
    <w:rsid w:val="00064D4F"/>
    <w:rsid w:val="000664E1"/>
    <w:rsid w:val="00066A92"/>
    <w:rsid w:val="0007020E"/>
    <w:rsid w:val="000712B3"/>
    <w:rsid w:val="000744F1"/>
    <w:rsid w:val="0007704E"/>
    <w:rsid w:val="00080F3C"/>
    <w:rsid w:val="000819EA"/>
    <w:rsid w:val="000824B7"/>
    <w:rsid w:val="0008263E"/>
    <w:rsid w:val="00082C19"/>
    <w:rsid w:val="00085395"/>
    <w:rsid w:val="000860FB"/>
    <w:rsid w:val="00086700"/>
    <w:rsid w:val="00086DF8"/>
    <w:rsid w:val="00087634"/>
    <w:rsid w:val="00087F2B"/>
    <w:rsid w:val="00090F62"/>
    <w:rsid w:val="0009134C"/>
    <w:rsid w:val="00092231"/>
    <w:rsid w:val="00092F8C"/>
    <w:rsid w:val="00093912"/>
    <w:rsid w:val="0009395E"/>
    <w:rsid w:val="0009438F"/>
    <w:rsid w:val="00095135"/>
    <w:rsid w:val="000951C7"/>
    <w:rsid w:val="00095D97"/>
    <w:rsid w:val="000968FA"/>
    <w:rsid w:val="00097361"/>
    <w:rsid w:val="000974D1"/>
    <w:rsid w:val="0009799E"/>
    <w:rsid w:val="000A0692"/>
    <w:rsid w:val="000A1183"/>
    <w:rsid w:val="000A2122"/>
    <w:rsid w:val="000A256D"/>
    <w:rsid w:val="000A3536"/>
    <w:rsid w:val="000A3957"/>
    <w:rsid w:val="000A3A2C"/>
    <w:rsid w:val="000A3C98"/>
    <w:rsid w:val="000A4CFF"/>
    <w:rsid w:val="000A565C"/>
    <w:rsid w:val="000A57D4"/>
    <w:rsid w:val="000A5A08"/>
    <w:rsid w:val="000A6BDB"/>
    <w:rsid w:val="000A7E10"/>
    <w:rsid w:val="000B0C26"/>
    <w:rsid w:val="000B2E84"/>
    <w:rsid w:val="000B3277"/>
    <w:rsid w:val="000B3D9C"/>
    <w:rsid w:val="000B4EFA"/>
    <w:rsid w:val="000B5132"/>
    <w:rsid w:val="000B5F58"/>
    <w:rsid w:val="000B613B"/>
    <w:rsid w:val="000B7FD1"/>
    <w:rsid w:val="000C0A4B"/>
    <w:rsid w:val="000C1805"/>
    <w:rsid w:val="000C1C67"/>
    <w:rsid w:val="000C207E"/>
    <w:rsid w:val="000C303B"/>
    <w:rsid w:val="000C3408"/>
    <w:rsid w:val="000C4A3F"/>
    <w:rsid w:val="000C4DF2"/>
    <w:rsid w:val="000C6AFD"/>
    <w:rsid w:val="000C6D60"/>
    <w:rsid w:val="000C6F50"/>
    <w:rsid w:val="000C726A"/>
    <w:rsid w:val="000C7ADD"/>
    <w:rsid w:val="000D3ACB"/>
    <w:rsid w:val="000D3FF0"/>
    <w:rsid w:val="000D48D5"/>
    <w:rsid w:val="000D4A24"/>
    <w:rsid w:val="000D50DE"/>
    <w:rsid w:val="000D5637"/>
    <w:rsid w:val="000E3B90"/>
    <w:rsid w:val="000E3F61"/>
    <w:rsid w:val="000E4376"/>
    <w:rsid w:val="000E45EF"/>
    <w:rsid w:val="000E6FBD"/>
    <w:rsid w:val="000F0B68"/>
    <w:rsid w:val="000F13D0"/>
    <w:rsid w:val="000F5116"/>
    <w:rsid w:val="000F5227"/>
    <w:rsid w:val="00100F5C"/>
    <w:rsid w:val="00101CDA"/>
    <w:rsid w:val="00101DD7"/>
    <w:rsid w:val="00102391"/>
    <w:rsid w:val="0010309C"/>
    <w:rsid w:val="00104C4C"/>
    <w:rsid w:val="001056D3"/>
    <w:rsid w:val="001062D9"/>
    <w:rsid w:val="001075D1"/>
    <w:rsid w:val="0011034F"/>
    <w:rsid w:val="0011243F"/>
    <w:rsid w:val="00112479"/>
    <w:rsid w:val="00113466"/>
    <w:rsid w:val="00115A8D"/>
    <w:rsid w:val="00117623"/>
    <w:rsid w:val="0012011F"/>
    <w:rsid w:val="0012192F"/>
    <w:rsid w:val="00121AEA"/>
    <w:rsid w:val="001221E1"/>
    <w:rsid w:val="00122AD9"/>
    <w:rsid w:val="00123742"/>
    <w:rsid w:val="0012390C"/>
    <w:rsid w:val="00123BA2"/>
    <w:rsid w:val="00123EA3"/>
    <w:rsid w:val="0012513F"/>
    <w:rsid w:val="00125609"/>
    <w:rsid w:val="00125D69"/>
    <w:rsid w:val="001261F1"/>
    <w:rsid w:val="001318C4"/>
    <w:rsid w:val="00131915"/>
    <w:rsid w:val="00131BDF"/>
    <w:rsid w:val="00132276"/>
    <w:rsid w:val="0013332E"/>
    <w:rsid w:val="00134A27"/>
    <w:rsid w:val="001405FA"/>
    <w:rsid w:val="00140A87"/>
    <w:rsid w:val="00140C22"/>
    <w:rsid w:val="001425C3"/>
    <w:rsid w:val="00142E49"/>
    <w:rsid w:val="001441CF"/>
    <w:rsid w:val="00144525"/>
    <w:rsid w:val="00145802"/>
    <w:rsid w:val="00145E07"/>
    <w:rsid w:val="0014755F"/>
    <w:rsid w:val="001476BD"/>
    <w:rsid w:val="00147B49"/>
    <w:rsid w:val="00147E0D"/>
    <w:rsid w:val="00147F51"/>
    <w:rsid w:val="001507EC"/>
    <w:rsid w:val="001514B1"/>
    <w:rsid w:val="00151510"/>
    <w:rsid w:val="001529DB"/>
    <w:rsid w:val="00152B0C"/>
    <w:rsid w:val="00152C5B"/>
    <w:rsid w:val="00152E68"/>
    <w:rsid w:val="00154A8F"/>
    <w:rsid w:val="00155004"/>
    <w:rsid w:val="00156004"/>
    <w:rsid w:val="0015693C"/>
    <w:rsid w:val="001612F4"/>
    <w:rsid w:val="00161801"/>
    <w:rsid w:val="00161D7B"/>
    <w:rsid w:val="0016256B"/>
    <w:rsid w:val="001630CA"/>
    <w:rsid w:val="001635B9"/>
    <w:rsid w:val="00163793"/>
    <w:rsid w:val="0016420F"/>
    <w:rsid w:val="00165C94"/>
    <w:rsid w:val="00165D64"/>
    <w:rsid w:val="00166B9A"/>
    <w:rsid w:val="001706D6"/>
    <w:rsid w:val="001714F2"/>
    <w:rsid w:val="00171C40"/>
    <w:rsid w:val="0017287E"/>
    <w:rsid w:val="001737B3"/>
    <w:rsid w:val="00173E87"/>
    <w:rsid w:val="00174334"/>
    <w:rsid w:val="00174DC0"/>
    <w:rsid w:val="00175063"/>
    <w:rsid w:val="00175B9F"/>
    <w:rsid w:val="001769F3"/>
    <w:rsid w:val="00177087"/>
    <w:rsid w:val="001806A2"/>
    <w:rsid w:val="00180E26"/>
    <w:rsid w:val="00180FC4"/>
    <w:rsid w:val="00181BBC"/>
    <w:rsid w:val="001820F2"/>
    <w:rsid w:val="00182FAC"/>
    <w:rsid w:val="00184212"/>
    <w:rsid w:val="001842AC"/>
    <w:rsid w:val="00184B08"/>
    <w:rsid w:val="00185010"/>
    <w:rsid w:val="00185A34"/>
    <w:rsid w:val="0018654A"/>
    <w:rsid w:val="001865C5"/>
    <w:rsid w:val="0019143B"/>
    <w:rsid w:val="00192232"/>
    <w:rsid w:val="0019271F"/>
    <w:rsid w:val="00193CDC"/>
    <w:rsid w:val="00195620"/>
    <w:rsid w:val="00196F3D"/>
    <w:rsid w:val="001A0347"/>
    <w:rsid w:val="001A0487"/>
    <w:rsid w:val="001A09BF"/>
    <w:rsid w:val="001A1D37"/>
    <w:rsid w:val="001A1FFB"/>
    <w:rsid w:val="001A26EA"/>
    <w:rsid w:val="001A42E4"/>
    <w:rsid w:val="001A528C"/>
    <w:rsid w:val="001A5438"/>
    <w:rsid w:val="001A552F"/>
    <w:rsid w:val="001A6DE1"/>
    <w:rsid w:val="001B14BC"/>
    <w:rsid w:val="001B1B92"/>
    <w:rsid w:val="001B246F"/>
    <w:rsid w:val="001B2CA9"/>
    <w:rsid w:val="001B3110"/>
    <w:rsid w:val="001B4729"/>
    <w:rsid w:val="001B59C2"/>
    <w:rsid w:val="001B6180"/>
    <w:rsid w:val="001B62E1"/>
    <w:rsid w:val="001B6310"/>
    <w:rsid w:val="001B6C09"/>
    <w:rsid w:val="001B6CC9"/>
    <w:rsid w:val="001B7B54"/>
    <w:rsid w:val="001C04A7"/>
    <w:rsid w:val="001C05CD"/>
    <w:rsid w:val="001C1B5E"/>
    <w:rsid w:val="001C1F96"/>
    <w:rsid w:val="001C2DF4"/>
    <w:rsid w:val="001C6497"/>
    <w:rsid w:val="001C7114"/>
    <w:rsid w:val="001D0146"/>
    <w:rsid w:val="001D07CA"/>
    <w:rsid w:val="001D16A8"/>
    <w:rsid w:val="001D35D0"/>
    <w:rsid w:val="001D3E75"/>
    <w:rsid w:val="001D48B3"/>
    <w:rsid w:val="001D48D4"/>
    <w:rsid w:val="001D5A2A"/>
    <w:rsid w:val="001D5E38"/>
    <w:rsid w:val="001D68B2"/>
    <w:rsid w:val="001D7B29"/>
    <w:rsid w:val="001E0542"/>
    <w:rsid w:val="001E0E69"/>
    <w:rsid w:val="001E2362"/>
    <w:rsid w:val="001E2605"/>
    <w:rsid w:val="001E353A"/>
    <w:rsid w:val="001E3FD2"/>
    <w:rsid w:val="001E4382"/>
    <w:rsid w:val="001E504C"/>
    <w:rsid w:val="001E5085"/>
    <w:rsid w:val="001E54C6"/>
    <w:rsid w:val="001E563B"/>
    <w:rsid w:val="001E5803"/>
    <w:rsid w:val="001E5D41"/>
    <w:rsid w:val="001E6062"/>
    <w:rsid w:val="001E7360"/>
    <w:rsid w:val="001F22A0"/>
    <w:rsid w:val="001F3EDB"/>
    <w:rsid w:val="001F4597"/>
    <w:rsid w:val="001F5B15"/>
    <w:rsid w:val="001F67A0"/>
    <w:rsid w:val="001F67E9"/>
    <w:rsid w:val="001F7DD4"/>
    <w:rsid w:val="00200875"/>
    <w:rsid w:val="00200EFB"/>
    <w:rsid w:val="002013BA"/>
    <w:rsid w:val="00201ABB"/>
    <w:rsid w:val="00202E51"/>
    <w:rsid w:val="00203629"/>
    <w:rsid w:val="00203DA4"/>
    <w:rsid w:val="00204A14"/>
    <w:rsid w:val="0021031A"/>
    <w:rsid w:val="00210453"/>
    <w:rsid w:val="00211350"/>
    <w:rsid w:val="002118B9"/>
    <w:rsid w:val="00211E86"/>
    <w:rsid w:val="002144D9"/>
    <w:rsid w:val="002147C5"/>
    <w:rsid w:val="00214CF7"/>
    <w:rsid w:val="00216139"/>
    <w:rsid w:val="00216425"/>
    <w:rsid w:val="00217C5B"/>
    <w:rsid w:val="00217CAD"/>
    <w:rsid w:val="00220412"/>
    <w:rsid w:val="0022084F"/>
    <w:rsid w:val="00220F08"/>
    <w:rsid w:val="002210EF"/>
    <w:rsid w:val="002211EE"/>
    <w:rsid w:val="0022139E"/>
    <w:rsid w:val="00221763"/>
    <w:rsid w:val="00221B37"/>
    <w:rsid w:val="00222729"/>
    <w:rsid w:val="002234F2"/>
    <w:rsid w:val="0022400B"/>
    <w:rsid w:val="0022515D"/>
    <w:rsid w:val="0022526B"/>
    <w:rsid w:val="002252E0"/>
    <w:rsid w:val="002255F6"/>
    <w:rsid w:val="00225B14"/>
    <w:rsid w:val="00225FE1"/>
    <w:rsid w:val="00226932"/>
    <w:rsid w:val="002269CF"/>
    <w:rsid w:val="00226C8D"/>
    <w:rsid w:val="00226CEB"/>
    <w:rsid w:val="00226FF4"/>
    <w:rsid w:val="00227850"/>
    <w:rsid w:val="00227A53"/>
    <w:rsid w:val="00230C6E"/>
    <w:rsid w:val="00230FF6"/>
    <w:rsid w:val="002313F4"/>
    <w:rsid w:val="0023423D"/>
    <w:rsid w:val="00234285"/>
    <w:rsid w:val="00235DF4"/>
    <w:rsid w:val="00236029"/>
    <w:rsid w:val="00236443"/>
    <w:rsid w:val="0023672F"/>
    <w:rsid w:val="00241B06"/>
    <w:rsid w:val="002436BA"/>
    <w:rsid w:val="00244A15"/>
    <w:rsid w:val="0024577B"/>
    <w:rsid w:val="00246B57"/>
    <w:rsid w:val="00247319"/>
    <w:rsid w:val="002477F5"/>
    <w:rsid w:val="0024799E"/>
    <w:rsid w:val="0025314E"/>
    <w:rsid w:val="00253C0F"/>
    <w:rsid w:val="002548EA"/>
    <w:rsid w:val="002558C1"/>
    <w:rsid w:val="0025596D"/>
    <w:rsid w:val="00255E0A"/>
    <w:rsid w:val="0026041B"/>
    <w:rsid w:val="0026273F"/>
    <w:rsid w:val="002629D1"/>
    <w:rsid w:val="00264588"/>
    <w:rsid w:val="00264FF1"/>
    <w:rsid w:val="0026505B"/>
    <w:rsid w:val="00265D04"/>
    <w:rsid w:val="00265D9E"/>
    <w:rsid w:val="00267252"/>
    <w:rsid w:val="0027004A"/>
    <w:rsid w:val="00271465"/>
    <w:rsid w:val="00271D6A"/>
    <w:rsid w:val="00271F7E"/>
    <w:rsid w:val="00273548"/>
    <w:rsid w:val="0027435A"/>
    <w:rsid w:val="00275A69"/>
    <w:rsid w:val="00276221"/>
    <w:rsid w:val="0027788C"/>
    <w:rsid w:val="00280348"/>
    <w:rsid w:val="002809EE"/>
    <w:rsid w:val="002813FB"/>
    <w:rsid w:val="00283497"/>
    <w:rsid w:val="00283F2E"/>
    <w:rsid w:val="00285412"/>
    <w:rsid w:val="00285DBC"/>
    <w:rsid w:val="002876DC"/>
    <w:rsid w:val="002914B8"/>
    <w:rsid w:val="00291640"/>
    <w:rsid w:val="002922FC"/>
    <w:rsid w:val="00294911"/>
    <w:rsid w:val="0029592F"/>
    <w:rsid w:val="00296A55"/>
    <w:rsid w:val="002A01A6"/>
    <w:rsid w:val="002A16D4"/>
    <w:rsid w:val="002A1D63"/>
    <w:rsid w:val="002A230C"/>
    <w:rsid w:val="002A2B09"/>
    <w:rsid w:val="002A2FD4"/>
    <w:rsid w:val="002A4755"/>
    <w:rsid w:val="002B2299"/>
    <w:rsid w:val="002B3535"/>
    <w:rsid w:val="002B4121"/>
    <w:rsid w:val="002B4845"/>
    <w:rsid w:val="002B4D75"/>
    <w:rsid w:val="002C02CF"/>
    <w:rsid w:val="002C02EB"/>
    <w:rsid w:val="002C12F5"/>
    <w:rsid w:val="002C1377"/>
    <w:rsid w:val="002C1BB3"/>
    <w:rsid w:val="002C2803"/>
    <w:rsid w:val="002C2ECB"/>
    <w:rsid w:val="002C43BD"/>
    <w:rsid w:val="002C5FE0"/>
    <w:rsid w:val="002C60B2"/>
    <w:rsid w:val="002D0576"/>
    <w:rsid w:val="002D0E59"/>
    <w:rsid w:val="002D12DC"/>
    <w:rsid w:val="002D19F2"/>
    <w:rsid w:val="002D1DEA"/>
    <w:rsid w:val="002D2069"/>
    <w:rsid w:val="002D3023"/>
    <w:rsid w:val="002D3F57"/>
    <w:rsid w:val="002D4F48"/>
    <w:rsid w:val="002D6876"/>
    <w:rsid w:val="002D783C"/>
    <w:rsid w:val="002E02A1"/>
    <w:rsid w:val="002E05FC"/>
    <w:rsid w:val="002E182F"/>
    <w:rsid w:val="002E3BF0"/>
    <w:rsid w:val="002E42AC"/>
    <w:rsid w:val="002E4E4C"/>
    <w:rsid w:val="002E54B5"/>
    <w:rsid w:val="002E5531"/>
    <w:rsid w:val="002E559F"/>
    <w:rsid w:val="002E6113"/>
    <w:rsid w:val="002E6AB3"/>
    <w:rsid w:val="002E6CE0"/>
    <w:rsid w:val="002E6E34"/>
    <w:rsid w:val="002F0C93"/>
    <w:rsid w:val="002F1363"/>
    <w:rsid w:val="002F2227"/>
    <w:rsid w:val="002F3C21"/>
    <w:rsid w:val="002F3DA7"/>
    <w:rsid w:val="002F64C0"/>
    <w:rsid w:val="002F6F94"/>
    <w:rsid w:val="002F6FFF"/>
    <w:rsid w:val="00300650"/>
    <w:rsid w:val="003027B5"/>
    <w:rsid w:val="00302ADD"/>
    <w:rsid w:val="00304771"/>
    <w:rsid w:val="00304872"/>
    <w:rsid w:val="003052D4"/>
    <w:rsid w:val="00305E92"/>
    <w:rsid w:val="00306C5B"/>
    <w:rsid w:val="003076DD"/>
    <w:rsid w:val="00310073"/>
    <w:rsid w:val="00310351"/>
    <w:rsid w:val="00310819"/>
    <w:rsid w:val="00311100"/>
    <w:rsid w:val="00311901"/>
    <w:rsid w:val="003121C1"/>
    <w:rsid w:val="003129DA"/>
    <w:rsid w:val="00312E9C"/>
    <w:rsid w:val="00315C99"/>
    <w:rsid w:val="003166B7"/>
    <w:rsid w:val="00317908"/>
    <w:rsid w:val="00320393"/>
    <w:rsid w:val="003209D6"/>
    <w:rsid w:val="00320C1A"/>
    <w:rsid w:val="00321247"/>
    <w:rsid w:val="00321924"/>
    <w:rsid w:val="00321FF9"/>
    <w:rsid w:val="003221F3"/>
    <w:rsid w:val="003222B8"/>
    <w:rsid w:val="00323605"/>
    <w:rsid w:val="00323797"/>
    <w:rsid w:val="00325F8D"/>
    <w:rsid w:val="00326029"/>
    <w:rsid w:val="0032656E"/>
    <w:rsid w:val="003306E3"/>
    <w:rsid w:val="00331CDB"/>
    <w:rsid w:val="00332190"/>
    <w:rsid w:val="00333E16"/>
    <w:rsid w:val="00334998"/>
    <w:rsid w:val="00335A1E"/>
    <w:rsid w:val="003368F5"/>
    <w:rsid w:val="00337AC5"/>
    <w:rsid w:val="0034181E"/>
    <w:rsid w:val="0034335E"/>
    <w:rsid w:val="003445EF"/>
    <w:rsid w:val="00344668"/>
    <w:rsid w:val="003451F4"/>
    <w:rsid w:val="00345216"/>
    <w:rsid w:val="003457D6"/>
    <w:rsid w:val="003458C3"/>
    <w:rsid w:val="003462D9"/>
    <w:rsid w:val="0035030A"/>
    <w:rsid w:val="00350517"/>
    <w:rsid w:val="00351684"/>
    <w:rsid w:val="00352E3D"/>
    <w:rsid w:val="00353918"/>
    <w:rsid w:val="00355510"/>
    <w:rsid w:val="00355624"/>
    <w:rsid w:val="00355AD6"/>
    <w:rsid w:val="0035782C"/>
    <w:rsid w:val="0036026A"/>
    <w:rsid w:val="0036039D"/>
    <w:rsid w:val="0036073B"/>
    <w:rsid w:val="00360C86"/>
    <w:rsid w:val="00360FBC"/>
    <w:rsid w:val="003612D3"/>
    <w:rsid w:val="00361E3A"/>
    <w:rsid w:val="00361F0F"/>
    <w:rsid w:val="00362E90"/>
    <w:rsid w:val="0036331C"/>
    <w:rsid w:val="003634E5"/>
    <w:rsid w:val="00364FA0"/>
    <w:rsid w:val="003657F3"/>
    <w:rsid w:val="00366728"/>
    <w:rsid w:val="00366A26"/>
    <w:rsid w:val="00366F38"/>
    <w:rsid w:val="00366FAF"/>
    <w:rsid w:val="0036772A"/>
    <w:rsid w:val="00367CB3"/>
    <w:rsid w:val="00370B5C"/>
    <w:rsid w:val="00374B06"/>
    <w:rsid w:val="00374BD4"/>
    <w:rsid w:val="003750D1"/>
    <w:rsid w:val="00375A2B"/>
    <w:rsid w:val="003818DC"/>
    <w:rsid w:val="0038313A"/>
    <w:rsid w:val="00384327"/>
    <w:rsid w:val="00384A52"/>
    <w:rsid w:val="00384A54"/>
    <w:rsid w:val="003859D7"/>
    <w:rsid w:val="00385D98"/>
    <w:rsid w:val="00387AD2"/>
    <w:rsid w:val="0039192B"/>
    <w:rsid w:val="00395B42"/>
    <w:rsid w:val="00396E54"/>
    <w:rsid w:val="003A017C"/>
    <w:rsid w:val="003A023D"/>
    <w:rsid w:val="003A2472"/>
    <w:rsid w:val="003A2B4D"/>
    <w:rsid w:val="003A2D12"/>
    <w:rsid w:val="003A478C"/>
    <w:rsid w:val="003A526B"/>
    <w:rsid w:val="003A5525"/>
    <w:rsid w:val="003A6058"/>
    <w:rsid w:val="003A6B38"/>
    <w:rsid w:val="003A6E8E"/>
    <w:rsid w:val="003B0235"/>
    <w:rsid w:val="003B0859"/>
    <w:rsid w:val="003B1855"/>
    <w:rsid w:val="003B2D3D"/>
    <w:rsid w:val="003B461F"/>
    <w:rsid w:val="003B4BB5"/>
    <w:rsid w:val="003B524C"/>
    <w:rsid w:val="003B5A32"/>
    <w:rsid w:val="003B7535"/>
    <w:rsid w:val="003C11F1"/>
    <w:rsid w:val="003C308F"/>
    <w:rsid w:val="003C3490"/>
    <w:rsid w:val="003C3E52"/>
    <w:rsid w:val="003C4C2B"/>
    <w:rsid w:val="003C687F"/>
    <w:rsid w:val="003C7E62"/>
    <w:rsid w:val="003D021F"/>
    <w:rsid w:val="003D1135"/>
    <w:rsid w:val="003D1702"/>
    <w:rsid w:val="003D4412"/>
    <w:rsid w:val="003D6074"/>
    <w:rsid w:val="003D6920"/>
    <w:rsid w:val="003E2FF1"/>
    <w:rsid w:val="003E3DB8"/>
    <w:rsid w:val="003E40FE"/>
    <w:rsid w:val="003E42F4"/>
    <w:rsid w:val="003E4C91"/>
    <w:rsid w:val="003E58A7"/>
    <w:rsid w:val="003E6A39"/>
    <w:rsid w:val="003F11D9"/>
    <w:rsid w:val="003F1491"/>
    <w:rsid w:val="003F313C"/>
    <w:rsid w:val="003F37FC"/>
    <w:rsid w:val="003F4B2C"/>
    <w:rsid w:val="003F551C"/>
    <w:rsid w:val="003F5CBE"/>
    <w:rsid w:val="003F72ED"/>
    <w:rsid w:val="003F7D23"/>
    <w:rsid w:val="00400A19"/>
    <w:rsid w:val="0040101B"/>
    <w:rsid w:val="004010B3"/>
    <w:rsid w:val="0040361C"/>
    <w:rsid w:val="00404F7F"/>
    <w:rsid w:val="00405480"/>
    <w:rsid w:val="004058D9"/>
    <w:rsid w:val="00407458"/>
    <w:rsid w:val="0040782B"/>
    <w:rsid w:val="00407C13"/>
    <w:rsid w:val="0041041D"/>
    <w:rsid w:val="00410638"/>
    <w:rsid w:val="00410754"/>
    <w:rsid w:val="00411C8A"/>
    <w:rsid w:val="00412D98"/>
    <w:rsid w:val="00412EDC"/>
    <w:rsid w:val="0041327E"/>
    <w:rsid w:val="0041501E"/>
    <w:rsid w:val="004150B9"/>
    <w:rsid w:val="00415467"/>
    <w:rsid w:val="004159C3"/>
    <w:rsid w:val="00416579"/>
    <w:rsid w:val="004204A7"/>
    <w:rsid w:val="00420850"/>
    <w:rsid w:val="00424AF2"/>
    <w:rsid w:val="00425371"/>
    <w:rsid w:val="00425E09"/>
    <w:rsid w:val="00426A0A"/>
    <w:rsid w:val="00431955"/>
    <w:rsid w:val="00432973"/>
    <w:rsid w:val="00432A58"/>
    <w:rsid w:val="00432C06"/>
    <w:rsid w:val="00432F4B"/>
    <w:rsid w:val="0043379F"/>
    <w:rsid w:val="00433E51"/>
    <w:rsid w:val="00434617"/>
    <w:rsid w:val="00434970"/>
    <w:rsid w:val="004354AF"/>
    <w:rsid w:val="0043582E"/>
    <w:rsid w:val="004372DC"/>
    <w:rsid w:val="00440802"/>
    <w:rsid w:val="00440900"/>
    <w:rsid w:val="0044104A"/>
    <w:rsid w:val="004414FA"/>
    <w:rsid w:val="00441BF6"/>
    <w:rsid w:val="00442055"/>
    <w:rsid w:val="00443A3C"/>
    <w:rsid w:val="00443BDD"/>
    <w:rsid w:val="004441A0"/>
    <w:rsid w:val="00444CC9"/>
    <w:rsid w:val="00444D89"/>
    <w:rsid w:val="004455BA"/>
    <w:rsid w:val="00447D51"/>
    <w:rsid w:val="004500B9"/>
    <w:rsid w:val="0045078A"/>
    <w:rsid w:val="0045086D"/>
    <w:rsid w:val="00451504"/>
    <w:rsid w:val="004517D9"/>
    <w:rsid w:val="00451BDE"/>
    <w:rsid w:val="00452746"/>
    <w:rsid w:val="00453F88"/>
    <w:rsid w:val="004545ED"/>
    <w:rsid w:val="00454F11"/>
    <w:rsid w:val="00457047"/>
    <w:rsid w:val="0045727E"/>
    <w:rsid w:val="00460FB3"/>
    <w:rsid w:val="00461115"/>
    <w:rsid w:val="004615B2"/>
    <w:rsid w:val="0046167C"/>
    <w:rsid w:val="00462A13"/>
    <w:rsid w:val="00463463"/>
    <w:rsid w:val="00463661"/>
    <w:rsid w:val="00464621"/>
    <w:rsid w:val="00464BF4"/>
    <w:rsid w:val="0046588D"/>
    <w:rsid w:val="00466519"/>
    <w:rsid w:val="00470F34"/>
    <w:rsid w:val="00472C42"/>
    <w:rsid w:val="00472CBB"/>
    <w:rsid w:val="00472D76"/>
    <w:rsid w:val="00473240"/>
    <w:rsid w:val="00474C10"/>
    <w:rsid w:val="00476240"/>
    <w:rsid w:val="00476439"/>
    <w:rsid w:val="0047735C"/>
    <w:rsid w:val="004776BC"/>
    <w:rsid w:val="00480239"/>
    <w:rsid w:val="00481390"/>
    <w:rsid w:val="0048139F"/>
    <w:rsid w:val="00481E40"/>
    <w:rsid w:val="0048297A"/>
    <w:rsid w:val="00484BA3"/>
    <w:rsid w:val="00484E60"/>
    <w:rsid w:val="00484ECE"/>
    <w:rsid w:val="00485B5A"/>
    <w:rsid w:val="00487CB4"/>
    <w:rsid w:val="00490D16"/>
    <w:rsid w:val="004915CB"/>
    <w:rsid w:val="00491B47"/>
    <w:rsid w:val="004924DC"/>
    <w:rsid w:val="00492A59"/>
    <w:rsid w:val="00494317"/>
    <w:rsid w:val="0049733B"/>
    <w:rsid w:val="004A03CF"/>
    <w:rsid w:val="004A14E4"/>
    <w:rsid w:val="004A3212"/>
    <w:rsid w:val="004A3285"/>
    <w:rsid w:val="004A4158"/>
    <w:rsid w:val="004A4643"/>
    <w:rsid w:val="004A4A88"/>
    <w:rsid w:val="004A5494"/>
    <w:rsid w:val="004A61C5"/>
    <w:rsid w:val="004A69F2"/>
    <w:rsid w:val="004A77DF"/>
    <w:rsid w:val="004B1417"/>
    <w:rsid w:val="004B17B5"/>
    <w:rsid w:val="004B2390"/>
    <w:rsid w:val="004B2835"/>
    <w:rsid w:val="004B55B7"/>
    <w:rsid w:val="004B6119"/>
    <w:rsid w:val="004B6468"/>
    <w:rsid w:val="004B711E"/>
    <w:rsid w:val="004B7125"/>
    <w:rsid w:val="004B7213"/>
    <w:rsid w:val="004C14E8"/>
    <w:rsid w:val="004C1E8B"/>
    <w:rsid w:val="004C32B6"/>
    <w:rsid w:val="004C34F2"/>
    <w:rsid w:val="004C384C"/>
    <w:rsid w:val="004C3867"/>
    <w:rsid w:val="004C4CD0"/>
    <w:rsid w:val="004C70DC"/>
    <w:rsid w:val="004D0211"/>
    <w:rsid w:val="004D0794"/>
    <w:rsid w:val="004D2529"/>
    <w:rsid w:val="004D365C"/>
    <w:rsid w:val="004D3967"/>
    <w:rsid w:val="004D626B"/>
    <w:rsid w:val="004E071D"/>
    <w:rsid w:val="004E2CE1"/>
    <w:rsid w:val="004E51EB"/>
    <w:rsid w:val="004E5A97"/>
    <w:rsid w:val="004E672F"/>
    <w:rsid w:val="004E6BFC"/>
    <w:rsid w:val="004E6EED"/>
    <w:rsid w:val="004F06F5"/>
    <w:rsid w:val="004F33A0"/>
    <w:rsid w:val="004F3E4C"/>
    <w:rsid w:val="004F3F33"/>
    <w:rsid w:val="004F4587"/>
    <w:rsid w:val="004F4B2E"/>
    <w:rsid w:val="004F4B78"/>
    <w:rsid w:val="004F4EB8"/>
    <w:rsid w:val="00502009"/>
    <w:rsid w:val="005036D2"/>
    <w:rsid w:val="005042B1"/>
    <w:rsid w:val="00504404"/>
    <w:rsid w:val="0050440D"/>
    <w:rsid w:val="005058B3"/>
    <w:rsid w:val="00505FE3"/>
    <w:rsid w:val="0050689D"/>
    <w:rsid w:val="00510084"/>
    <w:rsid w:val="0051059A"/>
    <w:rsid w:val="005108C0"/>
    <w:rsid w:val="005111FA"/>
    <w:rsid w:val="00511735"/>
    <w:rsid w:val="00511873"/>
    <w:rsid w:val="00511AFF"/>
    <w:rsid w:val="00512A2F"/>
    <w:rsid w:val="00512E34"/>
    <w:rsid w:val="00513844"/>
    <w:rsid w:val="00513B7E"/>
    <w:rsid w:val="00515349"/>
    <w:rsid w:val="00515C74"/>
    <w:rsid w:val="005174DD"/>
    <w:rsid w:val="0052007E"/>
    <w:rsid w:val="00520B53"/>
    <w:rsid w:val="00522EEA"/>
    <w:rsid w:val="0052337A"/>
    <w:rsid w:val="005235C8"/>
    <w:rsid w:val="00523FCE"/>
    <w:rsid w:val="00524FBF"/>
    <w:rsid w:val="00525137"/>
    <w:rsid w:val="005251DD"/>
    <w:rsid w:val="00526E55"/>
    <w:rsid w:val="00527F94"/>
    <w:rsid w:val="00530B89"/>
    <w:rsid w:val="0053135D"/>
    <w:rsid w:val="00532CE7"/>
    <w:rsid w:val="0053324C"/>
    <w:rsid w:val="00534210"/>
    <w:rsid w:val="00534A28"/>
    <w:rsid w:val="0054014B"/>
    <w:rsid w:val="00540B19"/>
    <w:rsid w:val="0054130E"/>
    <w:rsid w:val="00541508"/>
    <w:rsid w:val="005433DC"/>
    <w:rsid w:val="00543498"/>
    <w:rsid w:val="00543C8F"/>
    <w:rsid w:val="0054585F"/>
    <w:rsid w:val="005500AF"/>
    <w:rsid w:val="00550752"/>
    <w:rsid w:val="0055599F"/>
    <w:rsid w:val="00555C3C"/>
    <w:rsid w:val="00556D68"/>
    <w:rsid w:val="00556EF1"/>
    <w:rsid w:val="00557294"/>
    <w:rsid w:val="00557755"/>
    <w:rsid w:val="00560FF3"/>
    <w:rsid w:val="00562964"/>
    <w:rsid w:val="00563EB8"/>
    <w:rsid w:val="00564059"/>
    <w:rsid w:val="005647BF"/>
    <w:rsid w:val="00564AF1"/>
    <w:rsid w:val="00564FAC"/>
    <w:rsid w:val="005653B3"/>
    <w:rsid w:val="0056569C"/>
    <w:rsid w:val="00565C32"/>
    <w:rsid w:val="00566404"/>
    <w:rsid w:val="00566CAE"/>
    <w:rsid w:val="005705DD"/>
    <w:rsid w:val="00570DC6"/>
    <w:rsid w:val="0057157C"/>
    <w:rsid w:val="00572A4E"/>
    <w:rsid w:val="00572FB1"/>
    <w:rsid w:val="0057327E"/>
    <w:rsid w:val="0057364B"/>
    <w:rsid w:val="00574589"/>
    <w:rsid w:val="00574773"/>
    <w:rsid w:val="00575218"/>
    <w:rsid w:val="00575F5F"/>
    <w:rsid w:val="005774D7"/>
    <w:rsid w:val="005777D4"/>
    <w:rsid w:val="00577C25"/>
    <w:rsid w:val="00580606"/>
    <w:rsid w:val="005820B6"/>
    <w:rsid w:val="00582D01"/>
    <w:rsid w:val="00583FFD"/>
    <w:rsid w:val="00590017"/>
    <w:rsid w:val="005911BE"/>
    <w:rsid w:val="00591EC6"/>
    <w:rsid w:val="005923B1"/>
    <w:rsid w:val="00592603"/>
    <w:rsid w:val="00593152"/>
    <w:rsid w:val="00595676"/>
    <w:rsid w:val="00597817"/>
    <w:rsid w:val="00597D54"/>
    <w:rsid w:val="005A10F2"/>
    <w:rsid w:val="005A1C6C"/>
    <w:rsid w:val="005A21E0"/>
    <w:rsid w:val="005A2372"/>
    <w:rsid w:val="005A25CD"/>
    <w:rsid w:val="005A262D"/>
    <w:rsid w:val="005A28FF"/>
    <w:rsid w:val="005A3738"/>
    <w:rsid w:val="005A3DF8"/>
    <w:rsid w:val="005A425E"/>
    <w:rsid w:val="005A5549"/>
    <w:rsid w:val="005A5A30"/>
    <w:rsid w:val="005A74A4"/>
    <w:rsid w:val="005A7626"/>
    <w:rsid w:val="005B0E6C"/>
    <w:rsid w:val="005B121D"/>
    <w:rsid w:val="005B16F4"/>
    <w:rsid w:val="005B1D39"/>
    <w:rsid w:val="005B4A98"/>
    <w:rsid w:val="005B4C46"/>
    <w:rsid w:val="005B53F9"/>
    <w:rsid w:val="005B5DEF"/>
    <w:rsid w:val="005B6459"/>
    <w:rsid w:val="005B7AF7"/>
    <w:rsid w:val="005C06ED"/>
    <w:rsid w:val="005C0924"/>
    <w:rsid w:val="005C143E"/>
    <w:rsid w:val="005C2609"/>
    <w:rsid w:val="005C26FE"/>
    <w:rsid w:val="005C299F"/>
    <w:rsid w:val="005C4E7C"/>
    <w:rsid w:val="005C746A"/>
    <w:rsid w:val="005D03ED"/>
    <w:rsid w:val="005D34B1"/>
    <w:rsid w:val="005D5308"/>
    <w:rsid w:val="005D565E"/>
    <w:rsid w:val="005D5802"/>
    <w:rsid w:val="005D5D54"/>
    <w:rsid w:val="005D7119"/>
    <w:rsid w:val="005D7890"/>
    <w:rsid w:val="005E1BDA"/>
    <w:rsid w:val="005E313D"/>
    <w:rsid w:val="005E376E"/>
    <w:rsid w:val="005E565F"/>
    <w:rsid w:val="005E7019"/>
    <w:rsid w:val="005E7C78"/>
    <w:rsid w:val="005F0514"/>
    <w:rsid w:val="005F1858"/>
    <w:rsid w:val="005F18C5"/>
    <w:rsid w:val="005F3EB1"/>
    <w:rsid w:val="005F41C4"/>
    <w:rsid w:val="005F46D8"/>
    <w:rsid w:val="005F5469"/>
    <w:rsid w:val="005F7AAB"/>
    <w:rsid w:val="00600BE1"/>
    <w:rsid w:val="006030F6"/>
    <w:rsid w:val="0060408A"/>
    <w:rsid w:val="00604307"/>
    <w:rsid w:val="006044DA"/>
    <w:rsid w:val="006045F0"/>
    <w:rsid w:val="0060487F"/>
    <w:rsid w:val="00604CDA"/>
    <w:rsid w:val="00604EAD"/>
    <w:rsid w:val="00606408"/>
    <w:rsid w:val="00606E6F"/>
    <w:rsid w:val="00606F15"/>
    <w:rsid w:val="006104FB"/>
    <w:rsid w:val="006124C5"/>
    <w:rsid w:val="00612A2F"/>
    <w:rsid w:val="0061482A"/>
    <w:rsid w:val="006166D8"/>
    <w:rsid w:val="00616E05"/>
    <w:rsid w:val="0062054C"/>
    <w:rsid w:val="00622254"/>
    <w:rsid w:val="00622363"/>
    <w:rsid w:val="00624093"/>
    <w:rsid w:val="0062503F"/>
    <w:rsid w:val="0062588C"/>
    <w:rsid w:val="00627BA2"/>
    <w:rsid w:val="00630E1F"/>
    <w:rsid w:val="00630F20"/>
    <w:rsid w:val="00631BC9"/>
    <w:rsid w:val="006350D5"/>
    <w:rsid w:val="00635191"/>
    <w:rsid w:val="00635B43"/>
    <w:rsid w:val="00637B2C"/>
    <w:rsid w:val="006404A7"/>
    <w:rsid w:val="00641F0B"/>
    <w:rsid w:val="0064287A"/>
    <w:rsid w:val="0064335A"/>
    <w:rsid w:val="00643FC3"/>
    <w:rsid w:val="00643FD3"/>
    <w:rsid w:val="006448DE"/>
    <w:rsid w:val="00644B90"/>
    <w:rsid w:val="00645133"/>
    <w:rsid w:val="006451E4"/>
    <w:rsid w:val="0064553D"/>
    <w:rsid w:val="00645B33"/>
    <w:rsid w:val="00645D1E"/>
    <w:rsid w:val="00650942"/>
    <w:rsid w:val="00650E0D"/>
    <w:rsid w:val="0065105B"/>
    <w:rsid w:val="006516CB"/>
    <w:rsid w:val="006517A7"/>
    <w:rsid w:val="00652F37"/>
    <w:rsid w:val="006533EC"/>
    <w:rsid w:val="00654154"/>
    <w:rsid w:val="0065479A"/>
    <w:rsid w:val="00655088"/>
    <w:rsid w:val="00656141"/>
    <w:rsid w:val="006567A9"/>
    <w:rsid w:val="00656B23"/>
    <w:rsid w:val="00656FC8"/>
    <w:rsid w:val="00657057"/>
    <w:rsid w:val="006574CC"/>
    <w:rsid w:val="00657D66"/>
    <w:rsid w:val="00657E87"/>
    <w:rsid w:val="00660910"/>
    <w:rsid w:val="00660F6A"/>
    <w:rsid w:val="00661EE7"/>
    <w:rsid w:val="006620C5"/>
    <w:rsid w:val="006645DB"/>
    <w:rsid w:val="00664803"/>
    <w:rsid w:val="00664BC8"/>
    <w:rsid w:val="00665BA4"/>
    <w:rsid w:val="00666348"/>
    <w:rsid w:val="006663A1"/>
    <w:rsid w:val="006679C7"/>
    <w:rsid w:val="00667AF2"/>
    <w:rsid w:val="00670242"/>
    <w:rsid w:val="006710C9"/>
    <w:rsid w:val="00671F5F"/>
    <w:rsid w:val="00673CDD"/>
    <w:rsid w:val="006740E4"/>
    <w:rsid w:val="006741AC"/>
    <w:rsid w:val="006745CB"/>
    <w:rsid w:val="006747BA"/>
    <w:rsid w:val="00674D89"/>
    <w:rsid w:val="006759FA"/>
    <w:rsid w:val="00675E37"/>
    <w:rsid w:val="00675F55"/>
    <w:rsid w:val="00680054"/>
    <w:rsid w:val="0068174E"/>
    <w:rsid w:val="00681DCE"/>
    <w:rsid w:val="00682216"/>
    <w:rsid w:val="0068260E"/>
    <w:rsid w:val="006827F0"/>
    <w:rsid w:val="00683398"/>
    <w:rsid w:val="00683C47"/>
    <w:rsid w:val="00683D7F"/>
    <w:rsid w:val="00683E1E"/>
    <w:rsid w:val="0068471C"/>
    <w:rsid w:val="00685F86"/>
    <w:rsid w:val="006864A6"/>
    <w:rsid w:val="00686E0A"/>
    <w:rsid w:val="0068704B"/>
    <w:rsid w:val="00691BCC"/>
    <w:rsid w:val="0069316A"/>
    <w:rsid w:val="00693CA2"/>
    <w:rsid w:val="00693F4A"/>
    <w:rsid w:val="00694375"/>
    <w:rsid w:val="006943B9"/>
    <w:rsid w:val="006952B0"/>
    <w:rsid w:val="006953FB"/>
    <w:rsid w:val="00695A1C"/>
    <w:rsid w:val="00695BEF"/>
    <w:rsid w:val="006977F6"/>
    <w:rsid w:val="00697A13"/>
    <w:rsid w:val="006A109C"/>
    <w:rsid w:val="006A10F4"/>
    <w:rsid w:val="006A190E"/>
    <w:rsid w:val="006A2410"/>
    <w:rsid w:val="006A3561"/>
    <w:rsid w:val="006A3F9B"/>
    <w:rsid w:val="006A46F7"/>
    <w:rsid w:val="006A4CFF"/>
    <w:rsid w:val="006A726E"/>
    <w:rsid w:val="006A7ED6"/>
    <w:rsid w:val="006B0F92"/>
    <w:rsid w:val="006B18CD"/>
    <w:rsid w:val="006B1AFC"/>
    <w:rsid w:val="006B1CAA"/>
    <w:rsid w:val="006B1E28"/>
    <w:rsid w:val="006B1FE2"/>
    <w:rsid w:val="006B2799"/>
    <w:rsid w:val="006B344A"/>
    <w:rsid w:val="006B3C13"/>
    <w:rsid w:val="006B4100"/>
    <w:rsid w:val="006B424F"/>
    <w:rsid w:val="006B5AC2"/>
    <w:rsid w:val="006B78D8"/>
    <w:rsid w:val="006C0340"/>
    <w:rsid w:val="006C0C0D"/>
    <w:rsid w:val="006C113F"/>
    <w:rsid w:val="006C123E"/>
    <w:rsid w:val="006C1750"/>
    <w:rsid w:val="006C1752"/>
    <w:rsid w:val="006C2D41"/>
    <w:rsid w:val="006C4905"/>
    <w:rsid w:val="006C5547"/>
    <w:rsid w:val="006C56D4"/>
    <w:rsid w:val="006C5F30"/>
    <w:rsid w:val="006C6924"/>
    <w:rsid w:val="006C6BA8"/>
    <w:rsid w:val="006C7CA6"/>
    <w:rsid w:val="006D208B"/>
    <w:rsid w:val="006D3E8A"/>
    <w:rsid w:val="006D47A4"/>
    <w:rsid w:val="006D49FF"/>
    <w:rsid w:val="006D5247"/>
    <w:rsid w:val="006D592D"/>
    <w:rsid w:val="006D61F6"/>
    <w:rsid w:val="006D6781"/>
    <w:rsid w:val="006D6B9A"/>
    <w:rsid w:val="006D75BB"/>
    <w:rsid w:val="006E1CF2"/>
    <w:rsid w:val="006E279A"/>
    <w:rsid w:val="006E27B1"/>
    <w:rsid w:val="006E2B04"/>
    <w:rsid w:val="006E313B"/>
    <w:rsid w:val="006E489E"/>
    <w:rsid w:val="006E4D5F"/>
    <w:rsid w:val="006E54AC"/>
    <w:rsid w:val="006E58F2"/>
    <w:rsid w:val="006E7227"/>
    <w:rsid w:val="006E7B31"/>
    <w:rsid w:val="006F0120"/>
    <w:rsid w:val="006F09CB"/>
    <w:rsid w:val="006F0B6A"/>
    <w:rsid w:val="006F0DC7"/>
    <w:rsid w:val="006F398D"/>
    <w:rsid w:val="006F438E"/>
    <w:rsid w:val="006F5416"/>
    <w:rsid w:val="00700059"/>
    <w:rsid w:val="00700E03"/>
    <w:rsid w:val="00700F27"/>
    <w:rsid w:val="0070119D"/>
    <w:rsid w:val="00701A28"/>
    <w:rsid w:val="00701BEB"/>
    <w:rsid w:val="00704818"/>
    <w:rsid w:val="00705242"/>
    <w:rsid w:val="00706AD4"/>
    <w:rsid w:val="00707150"/>
    <w:rsid w:val="00707AC1"/>
    <w:rsid w:val="00707AE9"/>
    <w:rsid w:val="00710CE5"/>
    <w:rsid w:val="00711224"/>
    <w:rsid w:val="007112BD"/>
    <w:rsid w:val="0071159D"/>
    <w:rsid w:val="007122B1"/>
    <w:rsid w:val="007129B5"/>
    <w:rsid w:val="007140BE"/>
    <w:rsid w:val="0071505D"/>
    <w:rsid w:val="007157A4"/>
    <w:rsid w:val="007178A8"/>
    <w:rsid w:val="007208B8"/>
    <w:rsid w:val="007211F5"/>
    <w:rsid w:val="00721757"/>
    <w:rsid w:val="007225A9"/>
    <w:rsid w:val="0072283D"/>
    <w:rsid w:val="007232CB"/>
    <w:rsid w:val="00723946"/>
    <w:rsid w:val="007240E2"/>
    <w:rsid w:val="007248BA"/>
    <w:rsid w:val="007250FE"/>
    <w:rsid w:val="007256B5"/>
    <w:rsid w:val="00725BB5"/>
    <w:rsid w:val="007270F2"/>
    <w:rsid w:val="00727828"/>
    <w:rsid w:val="00730030"/>
    <w:rsid w:val="007302A5"/>
    <w:rsid w:val="00730711"/>
    <w:rsid w:val="00730AE8"/>
    <w:rsid w:val="00730F1B"/>
    <w:rsid w:val="007316A3"/>
    <w:rsid w:val="007317FA"/>
    <w:rsid w:val="00732CDD"/>
    <w:rsid w:val="007339BF"/>
    <w:rsid w:val="00735591"/>
    <w:rsid w:val="00736AFB"/>
    <w:rsid w:val="00737F89"/>
    <w:rsid w:val="00740EA1"/>
    <w:rsid w:val="00741493"/>
    <w:rsid w:val="00741A3D"/>
    <w:rsid w:val="0074220B"/>
    <w:rsid w:val="007427E1"/>
    <w:rsid w:val="00742EC2"/>
    <w:rsid w:val="00745508"/>
    <w:rsid w:val="007467FF"/>
    <w:rsid w:val="0075027A"/>
    <w:rsid w:val="00750971"/>
    <w:rsid w:val="00750BFF"/>
    <w:rsid w:val="00750C64"/>
    <w:rsid w:val="00752180"/>
    <w:rsid w:val="00753454"/>
    <w:rsid w:val="007534DF"/>
    <w:rsid w:val="00753CAB"/>
    <w:rsid w:val="00755202"/>
    <w:rsid w:val="007554BD"/>
    <w:rsid w:val="00755B99"/>
    <w:rsid w:val="00755D3A"/>
    <w:rsid w:val="007578D3"/>
    <w:rsid w:val="007609C6"/>
    <w:rsid w:val="00760EA4"/>
    <w:rsid w:val="00761600"/>
    <w:rsid w:val="0076175D"/>
    <w:rsid w:val="007617CE"/>
    <w:rsid w:val="00762F7C"/>
    <w:rsid w:val="00763B85"/>
    <w:rsid w:val="00764FD3"/>
    <w:rsid w:val="0076521E"/>
    <w:rsid w:val="007655D2"/>
    <w:rsid w:val="00765629"/>
    <w:rsid w:val="00765BF6"/>
    <w:rsid w:val="007661E9"/>
    <w:rsid w:val="007672C6"/>
    <w:rsid w:val="00767AD0"/>
    <w:rsid w:val="00771FF6"/>
    <w:rsid w:val="007732E9"/>
    <w:rsid w:val="00773605"/>
    <w:rsid w:val="00774E36"/>
    <w:rsid w:val="00775480"/>
    <w:rsid w:val="00776169"/>
    <w:rsid w:val="00776527"/>
    <w:rsid w:val="00776C89"/>
    <w:rsid w:val="0077762A"/>
    <w:rsid w:val="00780EF1"/>
    <w:rsid w:val="0078132B"/>
    <w:rsid w:val="00781398"/>
    <w:rsid w:val="00781C0F"/>
    <w:rsid w:val="00781F7A"/>
    <w:rsid w:val="00782B78"/>
    <w:rsid w:val="00782F4F"/>
    <w:rsid w:val="00783CCB"/>
    <w:rsid w:val="00783F57"/>
    <w:rsid w:val="0078437D"/>
    <w:rsid w:val="00785A69"/>
    <w:rsid w:val="007871C9"/>
    <w:rsid w:val="00787903"/>
    <w:rsid w:val="00787B25"/>
    <w:rsid w:val="00787F15"/>
    <w:rsid w:val="00790764"/>
    <w:rsid w:val="0079095D"/>
    <w:rsid w:val="00791B5A"/>
    <w:rsid w:val="00794183"/>
    <w:rsid w:val="0079453C"/>
    <w:rsid w:val="00794677"/>
    <w:rsid w:val="007948ED"/>
    <w:rsid w:val="007968D2"/>
    <w:rsid w:val="007970DC"/>
    <w:rsid w:val="00797445"/>
    <w:rsid w:val="007A17E3"/>
    <w:rsid w:val="007A2610"/>
    <w:rsid w:val="007A317C"/>
    <w:rsid w:val="007A516D"/>
    <w:rsid w:val="007A5250"/>
    <w:rsid w:val="007A7100"/>
    <w:rsid w:val="007B188F"/>
    <w:rsid w:val="007B356F"/>
    <w:rsid w:val="007B3A96"/>
    <w:rsid w:val="007B4059"/>
    <w:rsid w:val="007B4322"/>
    <w:rsid w:val="007B4428"/>
    <w:rsid w:val="007B583C"/>
    <w:rsid w:val="007B5A8A"/>
    <w:rsid w:val="007B6689"/>
    <w:rsid w:val="007B6F5E"/>
    <w:rsid w:val="007B71C6"/>
    <w:rsid w:val="007B7F13"/>
    <w:rsid w:val="007C174A"/>
    <w:rsid w:val="007C29D1"/>
    <w:rsid w:val="007C2E6E"/>
    <w:rsid w:val="007C443D"/>
    <w:rsid w:val="007C4E0E"/>
    <w:rsid w:val="007C5E1F"/>
    <w:rsid w:val="007C65E8"/>
    <w:rsid w:val="007C6BBD"/>
    <w:rsid w:val="007C7443"/>
    <w:rsid w:val="007C7F29"/>
    <w:rsid w:val="007D0553"/>
    <w:rsid w:val="007D15F4"/>
    <w:rsid w:val="007D2975"/>
    <w:rsid w:val="007D2DA7"/>
    <w:rsid w:val="007D342C"/>
    <w:rsid w:val="007D40DF"/>
    <w:rsid w:val="007D5B74"/>
    <w:rsid w:val="007D7139"/>
    <w:rsid w:val="007D7F01"/>
    <w:rsid w:val="007E1365"/>
    <w:rsid w:val="007E25C8"/>
    <w:rsid w:val="007E29B4"/>
    <w:rsid w:val="007E3625"/>
    <w:rsid w:val="007E435A"/>
    <w:rsid w:val="007E5D94"/>
    <w:rsid w:val="007E7E61"/>
    <w:rsid w:val="007F0845"/>
    <w:rsid w:val="007F24F4"/>
    <w:rsid w:val="007F307A"/>
    <w:rsid w:val="007F6620"/>
    <w:rsid w:val="007F708D"/>
    <w:rsid w:val="00801BFB"/>
    <w:rsid w:val="00801E13"/>
    <w:rsid w:val="00806686"/>
    <w:rsid w:val="00807B7B"/>
    <w:rsid w:val="00807C82"/>
    <w:rsid w:val="00811590"/>
    <w:rsid w:val="0081237C"/>
    <w:rsid w:val="008124FC"/>
    <w:rsid w:val="00813E3C"/>
    <w:rsid w:val="00814B15"/>
    <w:rsid w:val="0081562A"/>
    <w:rsid w:val="0081565E"/>
    <w:rsid w:val="008161DB"/>
    <w:rsid w:val="00816905"/>
    <w:rsid w:val="00817343"/>
    <w:rsid w:val="008207EF"/>
    <w:rsid w:val="00820A4A"/>
    <w:rsid w:val="00821277"/>
    <w:rsid w:val="00821777"/>
    <w:rsid w:val="008217F0"/>
    <w:rsid w:val="00821FF6"/>
    <w:rsid w:val="00822574"/>
    <w:rsid w:val="00823182"/>
    <w:rsid w:val="008241CD"/>
    <w:rsid w:val="00825C4D"/>
    <w:rsid w:val="00827DE6"/>
    <w:rsid w:val="00827EA6"/>
    <w:rsid w:val="0083143E"/>
    <w:rsid w:val="00831CDE"/>
    <w:rsid w:val="00832105"/>
    <w:rsid w:val="00833895"/>
    <w:rsid w:val="00833B3D"/>
    <w:rsid w:val="00833FF1"/>
    <w:rsid w:val="00834304"/>
    <w:rsid w:val="008343A4"/>
    <w:rsid w:val="00834710"/>
    <w:rsid w:val="00834FAA"/>
    <w:rsid w:val="00835C7A"/>
    <w:rsid w:val="00836086"/>
    <w:rsid w:val="0084234E"/>
    <w:rsid w:val="00844B49"/>
    <w:rsid w:val="00845975"/>
    <w:rsid w:val="008459FF"/>
    <w:rsid w:val="00846121"/>
    <w:rsid w:val="00846366"/>
    <w:rsid w:val="0084708F"/>
    <w:rsid w:val="008477C8"/>
    <w:rsid w:val="00847BA0"/>
    <w:rsid w:val="00850DE0"/>
    <w:rsid w:val="0085114D"/>
    <w:rsid w:val="00851BB5"/>
    <w:rsid w:val="00852217"/>
    <w:rsid w:val="0085343F"/>
    <w:rsid w:val="008539D1"/>
    <w:rsid w:val="00854AD0"/>
    <w:rsid w:val="00855408"/>
    <w:rsid w:val="00855A1F"/>
    <w:rsid w:val="00856069"/>
    <w:rsid w:val="00856D65"/>
    <w:rsid w:val="00857DDE"/>
    <w:rsid w:val="00860BA9"/>
    <w:rsid w:val="00861B41"/>
    <w:rsid w:val="00861BE3"/>
    <w:rsid w:val="00863434"/>
    <w:rsid w:val="00863B2B"/>
    <w:rsid w:val="00865C90"/>
    <w:rsid w:val="00865E4C"/>
    <w:rsid w:val="008701E4"/>
    <w:rsid w:val="0087040B"/>
    <w:rsid w:val="00871069"/>
    <w:rsid w:val="0087121C"/>
    <w:rsid w:val="00872C61"/>
    <w:rsid w:val="00875A32"/>
    <w:rsid w:val="00875E9E"/>
    <w:rsid w:val="00876086"/>
    <w:rsid w:val="008774DC"/>
    <w:rsid w:val="00877817"/>
    <w:rsid w:val="008804E9"/>
    <w:rsid w:val="00880D2A"/>
    <w:rsid w:val="0088128D"/>
    <w:rsid w:val="008815BC"/>
    <w:rsid w:val="0088160C"/>
    <w:rsid w:val="008819A3"/>
    <w:rsid w:val="008825B0"/>
    <w:rsid w:val="00883762"/>
    <w:rsid w:val="00883991"/>
    <w:rsid w:val="00884124"/>
    <w:rsid w:val="00884AD6"/>
    <w:rsid w:val="0088582F"/>
    <w:rsid w:val="00886EB0"/>
    <w:rsid w:val="008873D4"/>
    <w:rsid w:val="00887FC8"/>
    <w:rsid w:val="00891049"/>
    <w:rsid w:val="0089126C"/>
    <w:rsid w:val="008917FE"/>
    <w:rsid w:val="0089296D"/>
    <w:rsid w:val="00893E85"/>
    <w:rsid w:val="00894031"/>
    <w:rsid w:val="00895508"/>
    <w:rsid w:val="0089685F"/>
    <w:rsid w:val="0089721E"/>
    <w:rsid w:val="00897506"/>
    <w:rsid w:val="00897C11"/>
    <w:rsid w:val="008A0C81"/>
    <w:rsid w:val="008A60E8"/>
    <w:rsid w:val="008A64A6"/>
    <w:rsid w:val="008A6745"/>
    <w:rsid w:val="008A73F2"/>
    <w:rsid w:val="008A7557"/>
    <w:rsid w:val="008B1171"/>
    <w:rsid w:val="008B167B"/>
    <w:rsid w:val="008B2F54"/>
    <w:rsid w:val="008B2FE5"/>
    <w:rsid w:val="008B4316"/>
    <w:rsid w:val="008B4333"/>
    <w:rsid w:val="008B483B"/>
    <w:rsid w:val="008B4FDA"/>
    <w:rsid w:val="008B5523"/>
    <w:rsid w:val="008B7C02"/>
    <w:rsid w:val="008B7D2B"/>
    <w:rsid w:val="008C0049"/>
    <w:rsid w:val="008C0445"/>
    <w:rsid w:val="008C08D8"/>
    <w:rsid w:val="008C0E88"/>
    <w:rsid w:val="008C285F"/>
    <w:rsid w:val="008C53CB"/>
    <w:rsid w:val="008C7E99"/>
    <w:rsid w:val="008C7F67"/>
    <w:rsid w:val="008D12F1"/>
    <w:rsid w:val="008D13C5"/>
    <w:rsid w:val="008D17C7"/>
    <w:rsid w:val="008D1B4D"/>
    <w:rsid w:val="008D1E6A"/>
    <w:rsid w:val="008D27D2"/>
    <w:rsid w:val="008D2A16"/>
    <w:rsid w:val="008D34AF"/>
    <w:rsid w:val="008D5DC6"/>
    <w:rsid w:val="008D7813"/>
    <w:rsid w:val="008E1880"/>
    <w:rsid w:val="008E1A36"/>
    <w:rsid w:val="008E2C57"/>
    <w:rsid w:val="008E31FF"/>
    <w:rsid w:val="008E49ED"/>
    <w:rsid w:val="008E4A1C"/>
    <w:rsid w:val="008E5AE8"/>
    <w:rsid w:val="008E6BB0"/>
    <w:rsid w:val="008E6F06"/>
    <w:rsid w:val="008E7FC9"/>
    <w:rsid w:val="008F0128"/>
    <w:rsid w:val="008F029B"/>
    <w:rsid w:val="008F069A"/>
    <w:rsid w:val="008F2791"/>
    <w:rsid w:val="008F375E"/>
    <w:rsid w:val="008F3FC9"/>
    <w:rsid w:val="008F4385"/>
    <w:rsid w:val="008F4D23"/>
    <w:rsid w:val="008F585B"/>
    <w:rsid w:val="008F5994"/>
    <w:rsid w:val="008F7B77"/>
    <w:rsid w:val="009003A8"/>
    <w:rsid w:val="00900C93"/>
    <w:rsid w:val="00902233"/>
    <w:rsid w:val="00902500"/>
    <w:rsid w:val="00902DC8"/>
    <w:rsid w:val="00902EFF"/>
    <w:rsid w:val="00904752"/>
    <w:rsid w:val="00906401"/>
    <w:rsid w:val="0090670F"/>
    <w:rsid w:val="0091155E"/>
    <w:rsid w:val="00912634"/>
    <w:rsid w:val="00912A92"/>
    <w:rsid w:val="00915AAA"/>
    <w:rsid w:val="0091728D"/>
    <w:rsid w:val="009174FA"/>
    <w:rsid w:val="00917A40"/>
    <w:rsid w:val="009203C8"/>
    <w:rsid w:val="0092042D"/>
    <w:rsid w:val="00920A97"/>
    <w:rsid w:val="0092180B"/>
    <w:rsid w:val="00921F14"/>
    <w:rsid w:val="009231A3"/>
    <w:rsid w:val="00923F80"/>
    <w:rsid w:val="009240B9"/>
    <w:rsid w:val="00924AC8"/>
    <w:rsid w:val="0092597A"/>
    <w:rsid w:val="009272A4"/>
    <w:rsid w:val="00927BC1"/>
    <w:rsid w:val="00930FB1"/>
    <w:rsid w:val="009312E4"/>
    <w:rsid w:val="0093139F"/>
    <w:rsid w:val="00932443"/>
    <w:rsid w:val="009324EF"/>
    <w:rsid w:val="009328A9"/>
    <w:rsid w:val="00932E8F"/>
    <w:rsid w:val="00932F35"/>
    <w:rsid w:val="00933121"/>
    <w:rsid w:val="00934EB8"/>
    <w:rsid w:val="00935432"/>
    <w:rsid w:val="0093776B"/>
    <w:rsid w:val="00937AE2"/>
    <w:rsid w:val="00941670"/>
    <w:rsid w:val="0094207A"/>
    <w:rsid w:val="00942992"/>
    <w:rsid w:val="00942CF8"/>
    <w:rsid w:val="009432AC"/>
    <w:rsid w:val="009437A5"/>
    <w:rsid w:val="0094427A"/>
    <w:rsid w:val="00945245"/>
    <w:rsid w:val="00946FCD"/>
    <w:rsid w:val="0094731A"/>
    <w:rsid w:val="00951606"/>
    <w:rsid w:val="00951B96"/>
    <w:rsid w:val="00953DEB"/>
    <w:rsid w:val="0095691D"/>
    <w:rsid w:val="00956983"/>
    <w:rsid w:val="0095759C"/>
    <w:rsid w:val="009607D0"/>
    <w:rsid w:val="00960E8F"/>
    <w:rsid w:val="009612F1"/>
    <w:rsid w:val="009619DC"/>
    <w:rsid w:val="00961DA7"/>
    <w:rsid w:val="0096270C"/>
    <w:rsid w:val="0096364B"/>
    <w:rsid w:val="00964303"/>
    <w:rsid w:val="00964F05"/>
    <w:rsid w:val="00964F1A"/>
    <w:rsid w:val="009652BE"/>
    <w:rsid w:val="00966025"/>
    <w:rsid w:val="00966405"/>
    <w:rsid w:val="0096694C"/>
    <w:rsid w:val="00966AEE"/>
    <w:rsid w:val="00970158"/>
    <w:rsid w:val="0097032F"/>
    <w:rsid w:val="00971090"/>
    <w:rsid w:val="00971358"/>
    <w:rsid w:val="009721DB"/>
    <w:rsid w:val="00972205"/>
    <w:rsid w:val="00972A59"/>
    <w:rsid w:val="00972E4A"/>
    <w:rsid w:val="00973735"/>
    <w:rsid w:val="009743FF"/>
    <w:rsid w:val="009744E6"/>
    <w:rsid w:val="00974923"/>
    <w:rsid w:val="00975148"/>
    <w:rsid w:val="0097575C"/>
    <w:rsid w:val="00975C2D"/>
    <w:rsid w:val="00980D3D"/>
    <w:rsid w:val="009816FF"/>
    <w:rsid w:val="00981831"/>
    <w:rsid w:val="00981ED4"/>
    <w:rsid w:val="0098211F"/>
    <w:rsid w:val="00982ACD"/>
    <w:rsid w:val="00982BD0"/>
    <w:rsid w:val="0098402C"/>
    <w:rsid w:val="00985B99"/>
    <w:rsid w:val="00986ADB"/>
    <w:rsid w:val="00987A30"/>
    <w:rsid w:val="00990210"/>
    <w:rsid w:val="00992CF3"/>
    <w:rsid w:val="009938FB"/>
    <w:rsid w:val="00993D9C"/>
    <w:rsid w:val="00994868"/>
    <w:rsid w:val="009968D6"/>
    <w:rsid w:val="009A180C"/>
    <w:rsid w:val="009A1CAB"/>
    <w:rsid w:val="009A2AFC"/>
    <w:rsid w:val="009A5349"/>
    <w:rsid w:val="009A56B6"/>
    <w:rsid w:val="009A60D1"/>
    <w:rsid w:val="009A6D06"/>
    <w:rsid w:val="009A76A7"/>
    <w:rsid w:val="009B1932"/>
    <w:rsid w:val="009B1F0B"/>
    <w:rsid w:val="009B2782"/>
    <w:rsid w:val="009B4BAF"/>
    <w:rsid w:val="009B52F3"/>
    <w:rsid w:val="009B64D1"/>
    <w:rsid w:val="009B6FD3"/>
    <w:rsid w:val="009C05E8"/>
    <w:rsid w:val="009C0ED9"/>
    <w:rsid w:val="009C1750"/>
    <w:rsid w:val="009C2E29"/>
    <w:rsid w:val="009C554B"/>
    <w:rsid w:val="009C693C"/>
    <w:rsid w:val="009C719E"/>
    <w:rsid w:val="009C7A10"/>
    <w:rsid w:val="009D0223"/>
    <w:rsid w:val="009D0B58"/>
    <w:rsid w:val="009D1131"/>
    <w:rsid w:val="009D1237"/>
    <w:rsid w:val="009D2465"/>
    <w:rsid w:val="009D39BC"/>
    <w:rsid w:val="009D3ACD"/>
    <w:rsid w:val="009D4DC4"/>
    <w:rsid w:val="009D6235"/>
    <w:rsid w:val="009D77F7"/>
    <w:rsid w:val="009E0347"/>
    <w:rsid w:val="009E03A3"/>
    <w:rsid w:val="009E2524"/>
    <w:rsid w:val="009E3BDB"/>
    <w:rsid w:val="009E5273"/>
    <w:rsid w:val="009E55AD"/>
    <w:rsid w:val="009E5DDB"/>
    <w:rsid w:val="009F2CFA"/>
    <w:rsid w:val="009F3941"/>
    <w:rsid w:val="009F4CA7"/>
    <w:rsid w:val="009F4ECC"/>
    <w:rsid w:val="009F582C"/>
    <w:rsid w:val="009F67D6"/>
    <w:rsid w:val="009F698D"/>
    <w:rsid w:val="009F7085"/>
    <w:rsid w:val="009F7509"/>
    <w:rsid w:val="009F77D8"/>
    <w:rsid w:val="00A04321"/>
    <w:rsid w:val="00A0439C"/>
    <w:rsid w:val="00A05C22"/>
    <w:rsid w:val="00A06AA1"/>
    <w:rsid w:val="00A076D5"/>
    <w:rsid w:val="00A10D66"/>
    <w:rsid w:val="00A118C8"/>
    <w:rsid w:val="00A126CC"/>
    <w:rsid w:val="00A12E08"/>
    <w:rsid w:val="00A14114"/>
    <w:rsid w:val="00A1498C"/>
    <w:rsid w:val="00A14EFD"/>
    <w:rsid w:val="00A16413"/>
    <w:rsid w:val="00A16E1D"/>
    <w:rsid w:val="00A171A3"/>
    <w:rsid w:val="00A17D5B"/>
    <w:rsid w:val="00A20B57"/>
    <w:rsid w:val="00A23305"/>
    <w:rsid w:val="00A23E43"/>
    <w:rsid w:val="00A25216"/>
    <w:rsid w:val="00A260BE"/>
    <w:rsid w:val="00A279A0"/>
    <w:rsid w:val="00A30942"/>
    <w:rsid w:val="00A30F65"/>
    <w:rsid w:val="00A31FD4"/>
    <w:rsid w:val="00A331E6"/>
    <w:rsid w:val="00A33A89"/>
    <w:rsid w:val="00A345C6"/>
    <w:rsid w:val="00A34C23"/>
    <w:rsid w:val="00A37F31"/>
    <w:rsid w:val="00A4078F"/>
    <w:rsid w:val="00A40D93"/>
    <w:rsid w:val="00A40EAC"/>
    <w:rsid w:val="00A40FE0"/>
    <w:rsid w:val="00A41568"/>
    <w:rsid w:val="00A418BC"/>
    <w:rsid w:val="00A434DE"/>
    <w:rsid w:val="00A461F2"/>
    <w:rsid w:val="00A46DE0"/>
    <w:rsid w:val="00A5015F"/>
    <w:rsid w:val="00A508CB"/>
    <w:rsid w:val="00A50D73"/>
    <w:rsid w:val="00A50F37"/>
    <w:rsid w:val="00A51CDA"/>
    <w:rsid w:val="00A51ED9"/>
    <w:rsid w:val="00A52CAD"/>
    <w:rsid w:val="00A53FC7"/>
    <w:rsid w:val="00A54062"/>
    <w:rsid w:val="00A548FE"/>
    <w:rsid w:val="00A55588"/>
    <w:rsid w:val="00A55F61"/>
    <w:rsid w:val="00A60080"/>
    <w:rsid w:val="00A6148D"/>
    <w:rsid w:val="00A61517"/>
    <w:rsid w:val="00A62130"/>
    <w:rsid w:val="00A624C3"/>
    <w:rsid w:val="00A62CE1"/>
    <w:rsid w:val="00A62D32"/>
    <w:rsid w:val="00A64A96"/>
    <w:rsid w:val="00A66A9D"/>
    <w:rsid w:val="00A66E67"/>
    <w:rsid w:val="00A66F56"/>
    <w:rsid w:val="00A67213"/>
    <w:rsid w:val="00A6741E"/>
    <w:rsid w:val="00A70F6A"/>
    <w:rsid w:val="00A7106F"/>
    <w:rsid w:val="00A7237E"/>
    <w:rsid w:val="00A72902"/>
    <w:rsid w:val="00A75E40"/>
    <w:rsid w:val="00A7607F"/>
    <w:rsid w:val="00A776F6"/>
    <w:rsid w:val="00A77D1D"/>
    <w:rsid w:val="00A8051D"/>
    <w:rsid w:val="00A83420"/>
    <w:rsid w:val="00A83CE5"/>
    <w:rsid w:val="00A84A6A"/>
    <w:rsid w:val="00A857C0"/>
    <w:rsid w:val="00A857E5"/>
    <w:rsid w:val="00A8580D"/>
    <w:rsid w:val="00A86602"/>
    <w:rsid w:val="00A9048E"/>
    <w:rsid w:val="00A90F6C"/>
    <w:rsid w:val="00A90FED"/>
    <w:rsid w:val="00A935FE"/>
    <w:rsid w:val="00A9418D"/>
    <w:rsid w:val="00A95B59"/>
    <w:rsid w:val="00A9743E"/>
    <w:rsid w:val="00A97A8A"/>
    <w:rsid w:val="00AA029D"/>
    <w:rsid w:val="00AA0A71"/>
    <w:rsid w:val="00AA113D"/>
    <w:rsid w:val="00AA2996"/>
    <w:rsid w:val="00AA456D"/>
    <w:rsid w:val="00AA4ED2"/>
    <w:rsid w:val="00AA52BF"/>
    <w:rsid w:val="00AA559A"/>
    <w:rsid w:val="00AA708D"/>
    <w:rsid w:val="00AA77D2"/>
    <w:rsid w:val="00AA792F"/>
    <w:rsid w:val="00AA7980"/>
    <w:rsid w:val="00AB0284"/>
    <w:rsid w:val="00AB1182"/>
    <w:rsid w:val="00AB1E57"/>
    <w:rsid w:val="00AB29C6"/>
    <w:rsid w:val="00AB2AF1"/>
    <w:rsid w:val="00AB347D"/>
    <w:rsid w:val="00AB478F"/>
    <w:rsid w:val="00AC0091"/>
    <w:rsid w:val="00AC0732"/>
    <w:rsid w:val="00AC1E82"/>
    <w:rsid w:val="00AC224B"/>
    <w:rsid w:val="00AC2359"/>
    <w:rsid w:val="00AC2482"/>
    <w:rsid w:val="00AC2885"/>
    <w:rsid w:val="00AC2B78"/>
    <w:rsid w:val="00AC42FE"/>
    <w:rsid w:val="00AC45BD"/>
    <w:rsid w:val="00AC605E"/>
    <w:rsid w:val="00AD0253"/>
    <w:rsid w:val="00AD0771"/>
    <w:rsid w:val="00AD0D0E"/>
    <w:rsid w:val="00AD1119"/>
    <w:rsid w:val="00AD168E"/>
    <w:rsid w:val="00AD2F1C"/>
    <w:rsid w:val="00AD306C"/>
    <w:rsid w:val="00AD5A73"/>
    <w:rsid w:val="00AD68C4"/>
    <w:rsid w:val="00AD72A7"/>
    <w:rsid w:val="00AE09B3"/>
    <w:rsid w:val="00AE0EB9"/>
    <w:rsid w:val="00AE1A83"/>
    <w:rsid w:val="00AE291E"/>
    <w:rsid w:val="00AE4270"/>
    <w:rsid w:val="00AE4A31"/>
    <w:rsid w:val="00AE5F81"/>
    <w:rsid w:val="00AE6AD6"/>
    <w:rsid w:val="00AF0FB3"/>
    <w:rsid w:val="00AF104F"/>
    <w:rsid w:val="00AF108F"/>
    <w:rsid w:val="00AF24B2"/>
    <w:rsid w:val="00AF2957"/>
    <w:rsid w:val="00AF3E41"/>
    <w:rsid w:val="00AF5D0A"/>
    <w:rsid w:val="00AF6128"/>
    <w:rsid w:val="00AF685A"/>
    <w:rsid w:val="00B00034"/>
    <w:rsid w:val="00B003E4"/>
    <w:rsid w:val="00B00913"/>
    <w:rsid w:val="00B0140A"/>
    <w:rsid w:val="00B01593"/>
    <w:rsid w:val="00B0175C"/>
    <w:rsid w:val="00B023F2"/>
    <w:rsid w:val="00B02B19"/>
    <w:rsid w:val="00B035C6"/>
    <w:rsid w:val="00B04705"/>
    <w:rsid w:val="00B047A2"/>
    <w:rsid w:val="00B04A38"/>
    <w:rsid w:val="00B05641"/>
    <w:rsid w:val="00B073EF"/>
    <w:rsid w:val="00B07415"/>
    <w:rsid w:val="00B10A4D"/>
    <w:rsid w:val="00B11B62"/>
    <w:rsid w:val="00B11EEF"/>
    <w:rsid w:val="00B12572"/>
    <w:rsid w:val="00B12726"/>
    <w:rsid w:val="00B12947"/>
    <w:rsid w:val="00B131B0"/>
    <w:rsid w:val="00B13D2C"/>
    <w:rsid w:val="00B145D0"/>
    <w:rsid w:val="00B14BC1"/>
    <w:rsid w:val="00B15561"/>
    <w:rsid w:val="00B155A3"/>
    <w:rsid w:val="00B1568F"/>
    <w:rsid w:val="00B1631C"/>
    <w:rsid w:val="00B1681F"/>
    <w:rsid w:val="00B16ED9"/>
    <w:rsid w:val="00B17E42"/>
    <w:rsid w:val="00B17E71"/>
    <w:rsid w:val="00B17FDE"/>
    <w:rsid w:val="00B20BB1"/>
    <w:rsid w:val="00B21C3C"/>
    <w:rsid w:val="00B2379C"/>
    <w:rsid w:val="00B245FC"/>
    <w:rsid w:val="00B24748"/>
    <w:rsid w:val="00B247C9"/>
    <w:rsid w:val="00B24D78"/>
    <w:rsid w:val="00B2687D"/>
    <w:rsid w:val="00B268A6"/>
    <w:rsid w:val="00B27963"/>
    <w:rsid w:val="00B306DC"/>
    <w:rsid w:val="00B30D70"/>
    <w:rsid w:val="00B32DDB"/>
    <w:rsid w:val="00B33700"/>
    <w:rsid w:val="00B34528"/>
    <w:rsid w:val="00B34CC9"/>
    <w:rsid w:val="00B35999"/>
    <w:rsid w:val="00B35F2C"/>
    <w:rsid w:val="00B402A2"/>
    <w:rsid w:val="00B402FC"/>
    <w:rsid w:val="00B409F6"/>
    <w:rsid w:val="00B40C70"/>
    <w:rsid w:val="00B417F4"/>
    <w:rsid w:val="00B41B15"/>
    <w:rsid w:val="00B41E5E"/>
    <w:rsid w:val="00B421C9"/>
    <w:rsid w:val="00B43255"/>
    <w:rsid w:val="00B439DA"/>
    <w:rsid w:val="00B4440B"/>
    <w:rsid w:val="00B464AF"/>
    <w:rsid w:val="00B46604"/>
    <w:rsid w:val="00B46D77"/>
    <w:rsid w:val="00B50B58"/>
    <w:rsid w:val="00B51356"/>
    <w:rsid w:val="00B5179B"/>
    <w:rsid w:val="00B530CD"/>
    <w:rsid w:val="00B536DD"/>
    <w:rsid w:val="00B53D0B"/>
    <w:rsid w:val="00B53E3E"/>
    <w:rsid w:val="00B554E0"/>
    <w:rsid w:val="00B55B71"/>
    <w:rsid w:val="00B55F5E"/>
    <w:rsid w:val="00B5752E"/>
    <w:rsid w:val="00B57B76"/>
    <w:rsid w:val="00B60535"/>
    <w:rsid w:val="00B6122B"/>
    <w:rsid w:val="00B62355"/>
    <w:rsid w:val="00B63A11"/>
    <w:rsid w:val="00B63B6A"/>
    <w:rsid w:val="00B641C3"/>
    <w:rsid w:val="00B642BE"/>
    <w:rsid w:val="00B64C24"/>
    <w:rsid w:val="00B6608F"/>
    <w:rsid w:val="00B663D7"/>
    <w:rsid w:val="00B66DDC"/>
    <w:rsid w:val="00B67249"/>
    <w:rsid w:val="00B679FB"/>
    <w:rsid w:val="00B70C99"/>
    <w:rsid w:val="00B70E89"/>
    <w:rsid w:val="00B7145F"/>
    <w:rsid w:val="00B74213"/>
    <w:rsid w:val="00B75D58"/>
    <w:rsid w:val="00B76665"/>
    <w:rsid w:val="00B76D1E"/>
    <w:rsid w:val="00B770E4"/>
    <w:rsid w:val="00B7741A"/>
    <w:rsid w:val="00B77670"/>
    <w:rsid w:val="00B77F70"/>
    <w:rsid w:val="00B80227"/>
    <w:rsid w:val="00B804CF"/>
    <w:rsid w:val="00B80EC6"/>
    <w:rsid w:val="00B81258"/>
    <w:rsid w:val="00B81B29"/>
    <w:rsid w:val="00B83791"/>
    <w:rsid w:val="00B83A24"/>
    <w:rsid w:val="00B84CF6"/>
    <w:rsid w:val="00B85B42"/>
    <w:rsid w:val="00B87FEC"/>
    <w:rsid w:val="00B92D1D"/>
    <w:rsid w:val="00B93515"/>
    <w:rsid w:val="00B938C5"/>
    <w:rsid w:val="00B94078"/>
    <w:rsid w:val="00B952CB"/>
    <w:rsid w:val="00B95940"/>
    <w:rsid w:val="00B95A9F"/>
    <w:rsid w:val="00B96272"/>
    <w:rsid w:val="00B96613"/>
    <w:rsid w:val="00B97499"/>
    <w:rsid w:val="00B978C1"/>
    <w:rsid w:val="00B97B49"/>
    <w:rsid w:val="00BA007C"/>
    <w:rsid w:val="00BA066E"/>
    <w:rsid w:val="00BA0E9B"/>
    <w:rsid w:val="00BA11A1"/>
    <w:rsid w:val="00BA1627"/>
    <w:rsid w:val="00BA213E"/>
    <w:rsid w:val="00BA3A6A"/>
    <w:rsid w:val="00BA4175"/>
    <w:rsid w:val="00BA43A6"/>
    <w:rsid w:val="00BA50CC"/>
    <w:rsid w:val="00BA5149"/>
    <w:rsid w:val="00BA5C1D"/>
    <w:rsid w:val="00BA60B4"/>
    <w:rsid w:val="00BA6C2B"/>
    <w:rsid w:val="00BB099E"/>
    <w:rsid w:val="00BB0A40"/>
    <w:rsid w:val="00BB12BC"/>
    <w:rsid w:val="00BB14BF"/>
    <w:rsid w:val="00BB25B7"/>
    <w:rsid w:val="00BB2F43"/>
    <w:rsid w:val="00BB33C1"/>
    <w:rsid w:val="00BB46F3"/>
    <w:rsid w:val="00BB4C12"/>
    <w:rsid w:val="00BB4CB1"/>
    <w:rsid w:val="00BB4F98"/>
    <w:rsid w:val="00BC127C"/>
    <w:rsid w:val="00BC31C3"/>
    <w:rsid w:val="00BC3472"/>
    <w:rsid w:val="00BC4118"/>
    <w:rsid w:val="00BC595A"/>
    <w:rsid w:val="00BC5C12"/>
    <w:rsid w:val="00BC6349"/>
    <w:rsid w:val="00BC64FE"/>
    <w:rsid w:val="00BC6E6A"/>
    <w:rsid w:val="00BC7154"/>
    <w:rsid w:val="00BC731E"/>
    <w:rsid w:val="00BC7713"/>
    <w:rsid w:val="00BD05F4"/>
    <w:rsid w:val="00BD1281"/>
    <w:rsid w:val="00BD157E"/>
    <w:rsid w:val="00BD1E30"/>
    <w:rsid w:val="00BD366B"/>
    <w:rsid w:val="00BD4F61"/>
    <w:rsid w:val="00BD5003"/>
    <w:rsid w:val="00BD5976"/>
    <w:rsid w:val="00BD5BF6"/>
    <w:rsid w:val="00BD6D50"/>
    <w:rsid w:val="00BE06D1"/>
    <w:rsid w:val="00BE0A1D"/>
    <w:rsid w:val="00BE107D"/>
    <w:rsid w:val="00BE18B9"/>
    <w:rsid w:val="00BE2034"/>
    <w:rsid w:val="00BE2493"/>
    <w:rsid w:val="00BE2495"/>
    <w:rsid w:val="00BE2EB8"/>
    <w:rsid w:val="00BE7E97"/>
    <w:rsid w:val="00BF10F5"/>
    <w:rsid w:val="00BF1578"/>
    <w:rsid w:val="00BF2616"/>
    <w:rsid w:val="00BF403B"/>
    <w:rsid w:val="00BF41E2"/>
    <w:rsid w:val="00BF46DD"/>
    <w:rsid w:val="00BF68BB"/>
    <w:rsid w:val="00C01C7B"/>
    <w:rsid w:val="00C03723"/>
    <w:rsid w:val="00C047C7"/>
    <w:rsid w:val="00C05690"/>
    <w:rsid w:val="00C05D23"/>
    <w:rsid w:val="00C07FF2"/>
    <w:rsid w:val="00C10383"/>
    <w:rsid w:val="00C10613"/>
    <w:rsid w:val="00C106AE"/>
    <w:rsid w:val="00C1101A"/>
    <w:rsid w:val="00C1144F"/>
    <w:rsid w:val="00C13324"/>
    <w:rsid w:val="00C14D89"/>
    <w:rsid w:val="00C15D65"/>
    <w:rsid w:val="00C16030"/>
    <w:rsid w:val="00C16A6F"/>
    <w:rsid w:val="00C206B0"/>
    <w:rsid w:val="00C20ECF"/>
    <w:rsid w:val="00C21F94"/>
    <w:rsid w:val="00C232F2"/>
    <w:rsid w:val="00C24CBB"/>
    <w:rsid w:val="00C24F9F"/>
    <w:rsid w:val="00C253E5"/>
    <w:rsid w:val="00C25842"/>
    <w:rsid w:val="00C26052"/>
    <w:rsid w:val="00C2611D"/>
    <w:rsid w:val="00C27913"/>
    <w:rsid w:val="00C27D07"/>
    <w:rsid w:val="00C33B68"/>
    <w:rsid w:val="00C3459E"/>
    <w:rsid w:val="00C35666"/>
    <w:rsid w:val="00C3627A"/>
    <w:rsid w:val="00C36A79"/>
    <w:rsid w:val="00C379E5"/>
    <w:rsid w:val="00C37B47"/>
    <w:rsid w:val="00C401D2"/>
    <w:rsid w:val="00C405D4"/>
    <w:rsid w:val="00C40E78"/>
    <w:rsid w:val="00C41EDB"/>
    <w:rsid w:val="00C43327"/>
    <w:rsid w:val="00C437E2"/>
    <w:rsid w:val="00C438C9"/>
    <w:rsid w:val="00C43A79"/>
    <w:rsid w:val="00C446A2"/>
    <w:rsid w:val="00C4513B"/>
    <w:rsid w:val="00C46168"/>
    <w:rsid w:val="00C467CF"/>
    <w:rsid w:val="00C50278"/>
    <w:rsid w:val="00C50D23"/>
    <w:rsid w:val="00C50D32"/>
    <w:rsid w:val="00C52271"/>
    <w:rsid w:val="00C5390B"/>
    <w:rsid w:val="00C54697"/>
    <w:rsid w:val="00C5619B"/>
    <w:rsid w:val="00C561C8"/>
    <w:rsid w:val="00C611D4"/>
    <w:rsid w:val="00C615C3"/>
    <w:rsid w:val="00C6281A"/>
    <w:rsid w:val="00C641A6"/>
    <w:rsid w:val="00C64292"/>
    <w:rsid w:val="00C64A07"/>
    <w:rsid w:val="00C64EFA"/>
    <w:rsid w:val="00C65C3F"/>
    <w:rsid w:val="00C66688"/>
    <w:rsid w:val="00C66D7C"/>
    <w:rsid w:val="00C672E6"/>
    <w:rsid w:val="00C67D9A"/>
    <w:rsid w:val="00C71017"/>
    <w:rsid w:val="00C717F9"/>
    <w:rsid w:val="00C73885"/>
    <w:rsid w:val="00C747B1"/>
    <w:rsid w:val="00C74FFE"/>
    <w:rsid w:val="00C769D3"/>
    <w:rsid w:val="00C77514"/>
    <w:rsid w:val="00C800FC"/>
    <w:rsid w:val="00C805C5"/>
    <w:rsid w:val="00C80971"/>
    <w:rsid w:val="00C82191"/>
    <w:rsid w:val="00C83134"/>
    <w:rsid w:val="00C841AF"/>
    <w:rsid w:val="00C84212"/>
    <w:rsid w:val="00C85545"/>
    <w:rsid w:val="00C8791B"/>
    <w:rsid w:val="00C90CF4"/>
    <w:rsid w:val="00C91838"/>
    <w:rsid w:val="00C92EB6"/>
    <w:rsid w:val="00C93389"/>
    <w:rsid w:val="00C93F1A"/>
    <w:rsid w:val="00C94401"/>
    <w:rsid w:val="00C94B63"/>
    <w:rsid w:val="00C952FB"/>
    <w:rsid w:val="00C96C30"/>
    <w:rsid w:val="00C976FB"/>
    <w:rsid w:val="00C978AC"/>
    <w:rsid w:val="00C97B70"/>
    <w:rsid w:val="00CA0914"/>
    <w:rsid w:val="00CA115A"/>
    <w:rsid w:val="00CA32CC"/>
    <w:rsid w:val="00CA3633"/>
    <w:rsid w:val="00CA6180"/>
    <w:rsid w:val="00CA6AB4"/>
    <w:rsid w:val="00CB0C2D"/>
    <w:rsid w:val="00CB26CA"/>
    <w:rsid w:val="00CB2B1B"/>
    <w:rsid w:val="00CB4930"/>
    <w:rsid w:val="00CB49A7"/>
    <w:rsid w:val="00CB5CF9"/>
    <w:rsid w:val="00CB61A2"/>
    <w:rsid w:val="00CB6A56"/>
    <w:rsid w:val="00CC0A09"/>
    <w:rsid w:val="00CC1203"/>
    <w:rsid w:val="00CC136E"/>
    <w:rsid w:val="00CC2E7D"/>
    <w:rsid w:val="00CC2F52"/>
    <w:rsid w:val="00CC5675"/>
    <w:rsid w:val="00CC5DB8"/>
    <w:rsid w:val="00CD10A5"/>
    <w:rsid w:val="00CD2076"/>
    <w:rsid w:val="00CD2937"/>
    <w:rsid w:val="00CD29B5"/>
    <w:rsid w:val="00CD2ACE"/>
    <w:rsid w:val="00CD3186"/>
    <w:rsid w:val="00CD3285"/>
    <w:rsid w:val="00CD3E07"/>
    <w:rsid w:val="00CD5415"/>
    <w:rsid w:val="00CD5BA3"/>
    <w:rsid w:val="00CD6331"/>
    <w:rsid w:val="00CD6446"/>
    <w:rsid w:val="00CD6507"/>
    <w:rsid w:val="00CD7B25"/>
    <w:rsid w:val="00CE05F4"/>
    <w:rsid w:val="00CE0E88"/>
    <w:rsid w:val="00CE27D8"/>
    <w:rsid w:val="00CE34B8"/>
    <w:rsid w:val="00CE4FB5"/>
    <w:rsid w:val="00CE603A"/>
    <w:rsid w:val="00CE670B"/>
    <w:rsid w:val="00CE6CEA"/>
    <w:rsid w:val="00CE6F57"/>
    <w:rsid w:val="00CE75B2"/>
    <w:rsid w:val="00CE765C"/>
    <w:rsid w:val="00CE7F0B"/>
    <w:rsid w:val="00CF0CDC"/>
    <w:rsid w:val="00CF1FC5"/>
    <w:rsid w:val="00CF22AF"/>
    <w:rsid w:val="00CF3AEF"/>
    <w:rsid w:val="00CF4908"/>
    <w:rsid w:val="00CF4BAA"/>
    <w:rsid w:val="00CF51EC"/>
    <w:rsid w:val="00CF5C9F"/>
    <w:rsid w:val="00CF64BE"/>
    <w:rsid w:val="00CF672C"/>
    <w:rsid w:val="00CF702F"/>
    <w:rsid w:val="00CF73AE"/>
    <w:rsid w:val="00CF7A05"/>
    <w:rsid w:val="00CF7B9A"/>
    <w:rsid w:val="00CF7CDF"/>
    <w:rsid w:val="00D0029C"/>
    <w:rsid w:val="00D00BA2"/>
    <w:rsid w:val="00D01C1C"/>
    <w:rsid w:val="00D02BD2"/>
    <w:rsid w:val="00D03317"/>
    <w:rsid w:val="00D040DD"/>
    <w:rsid w:val="00D047B6"/>
    <w:rsid w:val="00D05CD0"/>
    <w:rsid w:val="00D0710C"/>
    <w:rsid w:val="00D071D3"/>
    <w:rsid w:val="00D075BE"/>
    <w:rsid w:val="00D078E6"/>
    <w:rsid w:val="00D10007"/>
    <w:rsid w:val="00D134DC"/>
    <w:rsid w:val="00D13986"/>
    <w:rsid w:val="00D141F9"/>
    <w:rsid w:val="00D1517D"/>
    <w:rsid w:val="00D15220"/>
    <w:rsid w:val="00D160F5"/>
    <w:rsid w:val="00D16C1E"/>
    <w:rsid w:val="00D16D70"/>
    <w:rsid w:val="00D17AE6"/>
    <w:rsid w:val="00D17B73"/>
    <w:rsid w:val="00D2104D"/>
    <w:rsid w:val="00D21D83"/>
    <w:rsid w:val="00D235B7"/>
    <w:rsid w:val="00D23F7E"/>
    <w:rsid w:val="00D250DC"/>
    <w:rsid w:val="00D25F28"/>
    <w:rsid w:val="00D26071"/>
    <w:rsid w:val="00D26105"/>
    <w:rsid w:val="00D2768B"/>
    <w:rsid w:val="00D27914"/>
    <w:rsid w:val="00D27973"/>
    <w:rsid w:val="00D30A70"/>
    <w:rsid w:val="00D3310D"/>
    <w:rsid w:val="00D33CAC"/>
    <w:rsid w:val="00D33E27"/>
    <w:rsid w:val="00D34CC3"/>
    <w:rsid w:val="00D35921"/>
    <w:rsid w:val="00D35E1A"/>
    <w:rsid w:val="00D40424"/>
    <w:rsid w:val="00D425AB"/>
    <w:rsid w:val="00D47CD1"/>
    <w:rsid w:val="00D505CE"/>
    <w:rsid w:val="00D50F46"/>
    <w:rsid w:val="00D51C64"/>
    <w:rsid w:val="00D52CA1"/>
    <w:rsid w:val="00D532B4"/>
    <w:rsid w:val="00D57677"/>
    <w:rsid w:val="00D61326"/>
    <w:rsid w:val="00D630F1"/>
    <w:rsid w:val="00D633D2"/>
    <w:rsid w:val="00D64DD7"/>
    <w:rsid w:val="00D66223"/>
    <w:rsid w:val="00D71625"/>
    <w:rsid w:val="00D71EEE"/>
    <w:rsid w:val="00D73087"/>
    <w:rsid w:val="00D74BD3"/>
    <w:rsid w:val="00D75FE8"/>
    <w:rsid w:val="00D76112"/>
    <w:rsid w:val="00D76A18"/>
    <w:rsid w:val="00D8064E"/>
    <w:rsid w:val="00D8084C"/>
    <w:rsid w:val="00D80E50"/>
    <w:rsid w:val="00D81BE1"/>
    <w:rsid w:val="00D81FB9"/>
    <w:rsid w:val="00D827C6"/>
    <w:rsid w:val="00D82B11"/>
    <w:rsid w:val="00D83602"/>
    <w:rsid w:val="00D84DC1"/>
    <w:rsid w:val="00D8530D"/>
    <w:rsid w:val="00D85BA9"/>
    <w:rsid w:val="00D85D5E"/>
    <w:rsid w:val="00D87B10"/>
    <w:rsid w:val="00D90C5E"/>
    <w:rsid w:val="00D91566"/>
    <w:rsid w:val="00D915EA"/>
    <w:rsid w:val="00D92C17"/>
    <w:rsid w:val="00D9395B"/>
    <w:rsid w:val="00D94D95"/>
    <w:rsid w:val="00DA0A29"/>
    <w:rsid w:val="00DA235F"/>
    <w:rsid w:val="00DA24D0"/>
    <w:rsid w:val="00DA3C0A"/>
    <w:rsid w:val="00DA4C6E"/>
    <w:rsid w:val="00DA4E06"/>
    <w:rsid w:val="00DA4F20"/>
    <w:rsid w:val="00DA538E"/>
    <w:rsid w:val="00DA56D1"/>
    <w:rsid w:val="00DA7C0C"/>
    <w:rsid w:val="00DB08A9"/>
    <w:rsid w:val="00DB1312"/>
    <w:rsid w:val="00DB2EC8"/>
    <w:rsid w:val="00DB3858"/>
    <w:rsid w:val="00DB3F5C"/>
    <w:rsid w:val="00DB5E34"/>
    <w:rsid w:val="00DB759B"/>
    <w:rsid w:val="00DC0071"/>
    <w:rsid w:val="00DC1EF0"/>
    <w:rsid w:val="00DC5B3B"/>
    <w:rsid w:val="00DC713A"/>
    <w:rsid w:val="00DC7665"/>
    <w:rsid w:val="00DC774F"/>
    <w:rsid w:val="00DD0698"/>
    <w:rsid w:val="00DD129F"/>
    <w:rsid w:val="00DD1A46"/>
    <w:rsid w:val="00DD1D26"/>
    <w:rsid w:val="00DD27EF"/>
    <w:rsid w:val="00DD3153"/>
    <w:rsid w:val="00DD39A2"/>
    <w:rsid w:val="00DD5277"/>
    <w:rsid w:val="00DD5290"/>
    <w:rsid w:val="00DD5E62"/>
    <w:rsid w:val="00DE02BD"/>
    <w:rsid w:val="00DE0F3B"/>
    <w:rsid w:val="00DE2FD1"/>
    <w:rsid w:val="00DE3A08"/>
    <w:rsid w:val="00DF0CD6"/>
    <w:rsid w:val="00DF1F61"/>
    <w:rsid w:val="00DF42FF"/>
    <w:rsid w:val="00DF4435"/>
    <w:rsid w:val="00DF66E4"/>
    <w:rsid w:val="00DF6EF2"/>
    <w:rsid w:val="00DF7A52"/>
    <w:rsid w:val="00E00AB3"/>
    <w:rsid w:val="00E016D0"/>
    <w:rsid w:val="00E01C0E"/>
    <w:rsid w:val="00E02005"/>
    <w:rsid w:val="00E03F9A"/>
    <w:rsid w:val="00E04694"/>
    <w:rsid w:val="00E05A22"/>
    <w:rsid w:val="00E06132"/>
    <w:rsid w:val="00E11C33"/>
    <w:rsid w:val="00E12773"/>
    <w:rsid w:val="00E12B1E"/>
    <w:rsid w:val="00E136C1"/>
    <w:rsid w:val="00E13DC6"/>
    <w:rsid w:val="00E14EAC"/>
    <w:rsid w:val="00E15588"/>
    <w:rsid w:val="00E16B15"/>
    <w:rsid w:val="00E16F6F"/>
    <w:rsid w:val="00E17262"/>
    <w:rsid w:val="00E176F0"/>
    <w:rsid w:val="00E200D3"/>
    <w:rsid w:val="00E20290"/>
    <w:rsid w:val="00E20EAB"/>
    <w:rsid w:val="00E24AEA"/>
    <w:rsid w:val="00E24BA4"/>
    <w:rsid w:val="00E253A2"/>
    <w:rsid w:val="00E25D89"/>
    <w:rsid w:val="00E275EB"/>
    <w:rsid w:val="00E31220"/>
    <w:rsid w:val="00E3178F"/>
    <w:rsid w:val="00E328D2"/>
    <w:rsid w:val="00E3309D"/>
    <w:rsid w:val="00E3500A"/>
    <w:rsid w:val="00E36743"/>
    <w:rsid w:val="00E40373"/>
    <w:rsid w:val="00E40C69"/>
    <w:rsid w:val="00E40EF7"/>
    <w:rsid w:val="00E42FAF"/>
    <w:rsid w:val="00E44B44"/>
    <w:rsid w:val="00E46138"/>
    <w:rsid w:val="00E46470"/>
    <w:rsid w:val="00E47622"/>
    <w:rsid w:val="00E47EBA"/>
    <w:rsid w:val="00E50156"/>
    <w:rsid w:val="00E51643"/>
    <w:rsid w:val="00E527B2"/>
    <w:rsid w:val="00E53470"/>
    <w:rsid w:val="00E53883"/>
    <w:rsid w:val="00E539F6"/>
    <w:rsid w:val="00E54419"/>
    <w:rsid w:val="00E55345"/>
    <w:rsid w:val="00E57E83"/>
    <w:rsid w:val="00E613FA"/>
    <w:rsid w:val="00E6149A"/>
    <w:rsid w:val="00E61F4D"/>
    <w:rsid w:val="00E6289D"/>
    <w:rsid w:val="00E63EAC"/>
    <w:rsid w:val="00E64094"/>
    <w:rsid w:val="00E6519D"/>
    <w:rsid w:val="00E65BE3"/>
    <w:rsid w:val="00E67696"/>
    <w:rsid w:val="00E678F3"/>
    <w:rsid w:val="00E67C58"/>
    <w:rsid w:val="00E71A58"/>
    <w:rsid w:val="00E72A7A"/>
    <w:rsid w:val="00E7523C"/>
    <w:rsid w:val="00E75466"/>
    <w:rsid w:val="00E75B0D"/>
    <w:rsid w:val="00E75C94"/>
    <w:rsid w:val="00E762AD"/>
    <w:rsid w:val="00E76A3F"/>
    <w:rsid w:val="00E77E5C"/>
    <w:rsid w:val="00E80746"/>
    <w:rsid w:val="00E80B5C"/>
    <w:rsid w:val="00E80B8A"/>
    <w:rsid w:val="00E82E50"/>
    <w:rsid w:val="00E83143"/>
    <w:rsid w:val="00E84330"/>
    <w:rsid w:val="00E84959"/>
    <w:rsid w:val="00E85536"/>
    <w:rsid w:val="00E85E57"/>
    <w:rsid w:val="00E867C3"/>
    <w:rsid w:val="00E87952"/>
    <w:rsid w:val="00E879FB"/>
    <w:rsid w:val="00E914EF"/>
    <w:rsid w:val="00E92DFE"/>
    <w:rsid w:val="00E93820"/>
    <w:rsid w:val="00E94A86"/>
    <w:rsid w:val="00E955AA"/>
    <w:rsid w:val="00E96143"/>
    <w:rsid w:val="00E963D6"/>
    <w:rsid w:val="00E97C66"/>
    <w:rsid w:val="00EA0987"/>
    <w:rsid w:val="00EA0C68"/>
    <w:rsid w:val="00EA1095"/>
    <w:rsid w:val="00EA32BC"/>
    <w:rsid w:val="00EB2447"/>
    <w:rsid w:val="00EB4258"/>
    <w:rsid w:val="00EB42ED"/>
    <w:rsid w:val="00EB4511"/>
    <w:rsid w:val="00EB46EF"/>
    <w:rsid w:val="00EB4A3B"/>
    <w:rsid w:val="00EB4B95"/>
    <w:rsid w:val="00EB5AFB"/>
    <w:rsid w:val="00EB7212"/>
    <w:rsid w:val="00EB77C9"/>
    <w:rsid w:val="00EC03D7"/>
    <w:rsid w:val="00EC0DB3"/>
    <w:rsid w:val="00EC115D"/>
    <w:rsid w:val="00EC17DB"/>
    <w:rsid w:val="00EC1F2D"/>
    <w:rsid w:val="00EC2996"/>
    <w:rsid w:val="00EC34DF"/>
    <w:rsid w:val="00EC40E8"/>
    <w:rsid w:val="00EC51BB"/>
    <w:rsid w:val="00EC6630"/>
    <w:rsid w:val="00EC7F02"/>
    <w:rsid w:val="00ED0337"/>
    <w:rsid w:val="00ED03A0"/>
    <w:rsid w:val="00ED0E37"/>
    <w:rsid w:val="00ED2AE4"/>
    <w:rsid w:val="00ED3ECA"/>
    <w:rsid w:val="00ED59D0"/>
    <w:rsid w:val="00ED62C6"/>
    <w:rsid w:val="00ED64C1"/>
    <w:rsid w:val="00ED7B4E"/>
    <w:rsid w:val="00EE09CB"/>
    <w:rsid w:val="00EE10D0"/>
    <w:rsid w:val="00EE2A7B"/>
    <w:rsid w:val="00EE3446"/>
    <w:rsid w:val="00EE3E78"/>
    <w:rsid w:val="00EE4B1B"/>
    <w:rsid w:val="00EE515A"/>
    <w:rsid w:val="00EE6242"/>
    <w:rsid w:val="00EE7F19"/>
    <w:rsid w:val="00EE7FAB"/>
    <w:rsid w:val="00EF150D"/>
    <w:rsid w:val="00EF1C85"/>
    <w:rsid w:val="00EF1F5A"/>
    <w:rsid w:val="00EF325E"/>
    <w:rsid w:val="00EF333C"/>
    <w:rsid w:val="00EF3538"/>
    <w:rsid w:val="00EF47BF"/>
    <w:rsid w:val="00EF48AB"/>
    <w:rsid w:val="00EF6A41"/>
    <w:rsid w:val="00EF7BC2"/>
    <w:rsid w:val="00F0185A"/>
    <w:rsid w:val="00F01B67"/>
    <w:rsid w:val="00F02A9B"/>
    <w:rsid w:val="00F04811"/>
    <w:rsid w:val="00F0488C"/>
    <w:rsid w:val="00F04F38"/>
    <w:rsid w:val="00F05157"/>
    <w:rsid w:val="00F05A59"/>
    <w:rsid w:val="00F07110"/>
    <w:rsid w:val="00F10432"/>
    <w:rsid w:val="00F10F11"/>
    <w:rsid w:val="00F12233"/>
    <w:rsid w:val="00F1277D"/>
    <w:rsid w:val="00F12B0B"/>
    <w:rsid w:val="00F12E85"/>
    <w:rsid w:val="00F14A26"/>
    <w:rsid w:val="00F15AAA"/>
    <w:rsid w:val="00F15BEF"/>
    <w:rsid w:val="00F169B9"/>
    <w:rsid w:val="00F17893"/>
    <w:rsid w:val="00F214D6"/>
    <w:rsid w:val="00F21BF9"/>
    <w:rsid w:val="00F22047"/>
    <w:rsid w:val="00F24407"/>
    <w:rsid w:val="00F24931"/>
    <w:rsid w:val="00F24A18"/>
    <w:rsid w:val="00F24FAA"/>
    <w:rsid w:val="00F25368"/>
    <w:rsid w:val="00F256FA"/>
    <w:rsid w:val="00F25C3D"/>
    <w:rsid w:val="00F25D36"/>
    <w:rsid w:val="00F26B70"/>
    <w:rsid w:val="00F2764F"/>
    <w:rsid w:val="00F2776B"/>
    <w:rsid w:val="00F27853"/>
    <w:rsid w:val="00F27C9E"/>
    <w:rsid w:val="00F30E9D"/>
    <w:rsid w:val="00F32A0E"/>
    <w:rsid w:val="00F32A3C"/>
    <w:rsid w:val="00F3364D"/>
    <w:rsid w:val="00F33667"/>
    <w:rsid w:val="00F33D7E"/>
    <w:rsid w:val="00F3443C"/>
    <w:rsid w:val="00F3462D"/>
    <w:rsid w:val="00F3571A"/>
    <w:rsid w:val="00F361AD"/>
    <w:rsid w:val="00F403B3"/>
    <w:rsid w:val="00F4214D"/>
    <w:rsid w:val="00F42496"/>
    <w:rsid w:val="00F437CC"/>
    <w:rsid w:val="00F44537"/>
    <w:rsid w:val="00F44B6A"/>
    <w:rsid w:val="00F45E99"/>
    <w:rsid w:val="00F4688D"/>
    <w:rsid w:val="00F47067"/>
    <w:rsid w:val="00F47341"/>
    <w:rsid w:val="00F51BF8"/>
    <w:rsid w:val="00F51CA5"/>
    <w:rsid w:val="00F51D7D"/>
    <w:rsid w:val="00F525EB"/>
    <w:rsid w:val="00F52E00"/>
    <w:rsid w:val="00F530F8"/>
    <w:rsid w:val="00F542D6"/>
    <w:rsid w:val="00F55D41"/>
    <w:rsid w:val="00F55E62"/>
    <w:rsid w:val="00F55EF3"/>
    <w:rsid w:val="00F567AD"/>
    <w:rsid w:val="00F5766E"/>
    <w:rsid w:val="00F57EF6"/>
    <w:rsid w:val="00F6132C"/>
    <w:rsid w:val="00F62DAD"/>
    <w:rsid w:val="00F62F30"/>
    <w:rsid w:val="00F63DDE"/>
    <w:rsid w:val="00F63FB7"/>
    <w:rsid w:val="00F6421B"/>
    <w:rsid w:val="00F649D2"/>
    <w:rsid w:val="00F6602B"/>
    <w:rsid w:val="00F6699E"/>
    <w:rsid w:val="00F678E2"/>
    <w:rsid w:val="00F70DA3"/>
    <w:rsid w:val="00F71ED4"/>
    <w:rsid w:val="00F726D3"/>
    <w:rsid w:val="00F72A27"/>
    <w:rsid w:val="00F7396B"/>
    <w:rsid w:val="00F73A03"/>
    <w:rsid w:val="00F73A0C"/>
    <w:rsid w:val="00F73DC2"/>
    <w:rsid w:val="00F74580"/>
    <w:rsid w:val="00F747FB"/>
    <w:rsid w:val="00F74C5B"/>
    <w:rsid w:val="00F756DB"/>
    <w:rsid w:val="00F8143E"/>
    <w:rsid w:val="00F8279A"/>
    <w:rsid w:val="00F82A88"/>
    <w:rsid w:val="00F83FCE"/>
    <w:rsid w:val="00F842CA"/>
    <w:rsid w:val="00F84381"/>
    <w:rsid w:val="00F84A11"/>
    <w:rsid w:val="00F84E7D"/>
    <w:rsid w:val="00F85066"/>
    <w:rsid w:val="00F857FF"/>
    <w:rsid w:val="00F858E6"/>
    <w:rsid w:val="00F86294"/>
    <w:rsid w:val="00F87A4D"/>
    <w:rsid w:val="00F9005D"/>
    <w:rsid w:val="00F91C37"/>
    <w:rsid w:val="00F934BA"/>
    <w:rsid w:val="00F9438D"/>
    <w:rsid w:val="00F97562"/>
    <w:rsid w:val="00F9785E"/>
    <w:rsid w:val="00FA040D"/>
    <w:rsid w:val="00FA0D8F"/>
    <w:rsid w:val="00FA1025"/>
    <w:rsid w:val="00FA2CFE"/>
    <w:rsid w:val="00FA38CB"/>
    <w:rsid w:val="00FA5AA6"/>
    <w:rsid w:val="00FA5B81"/>
    <w:rsid w:val="00FA5D4D"/>
    <w:rsid w:val="00FA60E1"/>
    <w:rsid w:val="00FA7AAE"/>
    <w:rsid w:val="00FA7F2F"/>
    <w:rsid w:val="00FB0B0C"/>
    <w:rsid w:val="00FB0CE3"/>
    <w:rsid w:val="00FB0EE2"/>
    <w:rsid w:val="00FB1FE2"/>
    <w:rsid w:val="00FB2A15"/>
    <w:rsid w:val="00FB4820"/>
    <w:rsid w:val="00FB4E50"/>
    <w:rsid w:val="00FB5207"/>
    <w:rsid w:val="00FB542E"/>
    <w:rsid w:val="00FB612F"/>
    <w:rsid w:val="00FB613E"/>
    <w:rsid w:val="00FC0E5F"/>
    <w:rsid w:val="00FC11AF"/>
    <w:rsid w:val="00FC1A95"/>
    <w:rsid w:val="00FC270D"/>
    <w:rsid w:val="00FC3B85"/>
    <w:rsid w:val="00FC3F37"/>
    <w:rsid w:val="00FC56DE"/>
    <w:rsid w:val="00FC58D0"/>
    <w:rsid w:val="00FC6545"/>
    <w:rsid w:val="00FC684B"/>
    <w:rsid w:val="00FC7989"/>
    <w:rsid w:val="00FC7F37"/>
    <w:rsid w:val="00FD1407"/>
    <w:rsid w:val="00FD18EA"/>
    <w:rsid w:val="00FD1CBA"/>
    <w:rsid w:val="00FD2E17"/>
    <w:rsid w:val="00FD3265"/>
    <w:rsid w:val="00FD4559"/>
    <w:rsid w:val="00FD4AAD"/>
    <w:rsid w:val="00FE2EB4"/>
    <w:rsid w:val="00FE2F78"/>
    <w:rsid w:val="00FE3A47"/>
    <w:rsid w:val="00FE40D5"/>
    <w:rsid w:val="00FE59C6"/>
    <w:rsid w:val="00FE6150"/>
    <w:rsid w:val="00FF226F"/>
    <w:rsid w:val="00FF2E5E"/>
    <w:rsid w:val="00FF2FD7"/>
    <w:rsid w:val="00FF38D1"/>
    <w:rsid w:val="00FF6933"/>
    <w:rsid w:val="00FF6D79"/>
    <w:rsid w:val="00FF6FB2"/>
    <w:rsid w:val="00FF719E"/>
    <w:rsid w:val="00FF730D"/>
    <w:rsid w:val="00FF735D"/>
    <w:rsid w:val="00FF7B9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16D78745"/>
  <w15:docId w15:val="{FC3C9807-8A20-484D-A937-0CB633FC8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64FA0"/>
    <w:pPr>
      <w:spacing w:after="240" w:line="276" w:lineRule="auto"/>
      <w:jc w:val="both"/>
    </w:pPr>
    <w:rPr>
      <w:rFonts w:ascii="Arial" w:eastAsia="Times New Roman" w:hAnsi="Arial"/>
      <w:szCs w:val="24"/>
      <w:lang w:val="en-GB" w:eastAsia="cs-CZ"/>
    </w:rPr>
  </w:style>
  <w:style w:type="paragraph" w:styleId="Nadpis1">
    <w:name w:val="heading 1"/>
    <w:next w:val="Normln"/>
    <w:link w:val="Nadpis1Char"/>
    <w:uiPriority w:val="9"/>
    <w:qFormat/>
    <w:rsid w:val="00EA0987"/>
    <w:pPr>
      <w:keepNext/>
      <w:keepLines/>
      <w:spacing w:after="100" w:line="276" w:lineRule="auto"/>
      <w:contextualSpacing/>
      <w:outlineLvl w:val="0"/>
    </w:pPr>
    <w:rPr>
      <w:rFonts w:ascii="Arial" w:eastAsia="MS Gothic" w:hAnsi="Arial"/>
      <w:b/>
      <w:bCs/>
      <w:color w:val="86BF5E"/>
      <w:sz w:val="32"/>
      <w:szCs w:val="28"/>
      <w:lang w:eastAsia="cs-CZ"/>
    </w:rPr>
  </w:style>
  <w:style w:type="paragraph" w:styleId="Nadpis2">
    <w:name w:val="heading 2"/>
    <w:next w:val="Normln"/>
    <w:link w:val="Nadpis2Char"/>
    <w:uiPriority w:val="9"/>
    <w:qFormat/>
    <w:rsid w:val="00EA0987"/>
    <w:pPr>
      <w:keepNext/>
      <w:keepLines/>
      <w:spacing w:line="276" w:lineRule="auto"/>
      <w:outlineLvl w:val="1"/>
    </w:pPr>
    <w:rPr>
      <w:rFonts w:ascii="Arial" w:eastAsia="MS Gothic" w:hAnsi="Arial"/>
      <w:b/>
      <w:bCs/>
      <w:color w:val="86BF5E"/>
      <w:sz w:val="28"/>
      <w:szCs w:val="26"/>
      <w:lang w:eastAsia="cs-CZ"/>
    </w:rPr>
  </w:style>
  <w:style w:type="paragraph" w:styleId="Nadpis3">
    <w:name w:val="heading 3"/>
    <w:next w:val="Normln"/>
    <w:link w:val="Nadpis3Char"/>
    <w:uiPriority w:val="9"/>
    <w:qFormat/>
    <w:rsid w:val="00EA0987"/>
    <w:pPr>
      <w:keepNext/>
      <w:keepLines/>
      <w:spacing w:line="276" w:lineRule="auto"/>
      <w:outlineLvl w:val="2"/>
    </w:pPr>
    <w:rPr>
      <w:rFonts w:ascii="Arial" w:eastAsia="MS Gothic" w:hAnsi="Arial"/>
      <w:b/>
      <w:bCs/>
      <w:color w:val="86BF5E"/>
      <w:sz w:val="24"/>
      <w:szCs w:val="24"/>
      <w:lang w:eastAsia="cs-CZ"/>
    </w:rPr>
  </w:style>
  <w:style w:type="paragraph" w:styleId="Nadpis4">
    <w:name w:val="heading 4"/>
    <w:next w:val="Normln"/>
    <w:link w:val="Nadpis4Char"/>
    <w:uiPriority w:val="9"/>
    <w:qFormat/>
    <w:rsid w:val="0041041D"/>
    <w:pPr>
      <w:keepNext/>
      <w:keepLines/>
      <w:spacing w:line="276" w:lineRule="auto"/>
      <w:outlineLvl w:val="3"/>
    </w:pPr>
    <w:rPr>
      <w:rFonts w:ascii="Arial" w:eastAsia="MS Gothic" w:hAnsi="Arial"/>
      <w:b/>
      <w:bCs/>
      <w:iCs/>
      <w:color w:val="86BF5E"/>
      <w:szCs w:val="24"/>
      <w:lang w:eastAsia="cs-CZ"/>
    </w:rPr>
  </w:style>
  <w:style w:type="paragraph" w:styleId="Nadpis5">
    <w:name w:val="heading 5"/>
    <w:basedOn w:val="Normln"/>
    <w:next w:val="Normln"/>
    <w:link w:val="Nadpis5Char"/>
    <w:uiPriority w:val="9"/>
    <w:semiHidden/>
    <w:unhideWhenUsed/>
    <w:rsid w:val="007A516D"/>
    <w:pPr>
      <w:keepNext/>
      <w:keepLines/>
      <w:numPr>
        <w:ilvl w:val="4"/>
        <w:numId w:val="14"/>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7A516D"/>
    <w:pPr>
      <w:keepNext/>
      <w:keepLines/>
      <w:numPr>
        <w:ilvl w:val="5"/>
        <w:numId w:val="14"/>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7A516D"/>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7A516D"/>
    <w:pPr>
      <w:keepNext/>
      <w:keepLines/>
      <w:numPr>
        <w:ilvl w:val="7"/>
        <w:numId w:val="14"/>
      </w:numPr>
      <w:spacing w:before="200" w:after="0"/>
      <w:outlineLvl w:val="7"/>
    </w:pPr>
    <w:rPr>
      <w:rFonts w:asciiTheme="majorHAnsi" w:eastAsiaTheme="majorEastAsia" w:hAnsiTheme="majorHAnsi" w:cstheme="majorBidi"/>
      <w:color w:val="404040" w:themeColor="text1" w:themeTint="BF"/>
      <w:szCs w:val="20"/>
    </w:rPr>
  </w:style>
  <w:style w:type="paragraph" w:styleId="Nadpis9">
    <w:name w:val="heading 9"/>
    <w:basedOn w:val="Normln"/>
    <w:next w:val="Normln"/>
    <w:link w:val="Nadpis9Char"/>
    <w:uiPriority w:val="9"/>
    <w:semiHidden/>
    <w:unhideWhenUsed/>
    <w:qFormat/>
    <w:rsid w:val="007A516D"/>
    <w:pPr>
      <w:numPr>
        <w:ilvl w:val="8"/>
        <w:numId w:val="14"/>
      </w:num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qFormat/>
    <w:rsid w:val="00EA0987"/>
    <w:rPr>
      <w:rFonts w:ascii="Arial" w:eastAsia="MS Gothic" w:hAnsi="Arial"/>
      <w:b/>
      <w:bCs/>
      <w:color w:val="86BF5E"/>
      <w:sz w:val="32"/>
      <w:szCs w:val="28"/>
      <w:lang w:eastAsia="cs-CZ"/>
    </w:rPr>
  </w:style>
  <w:style w:type="character" w:customStyle="1" w:styleId="Nadpis2Char">
    <w:name w:val="Nadpis 2 Char"/>
    <w:link w:val="Nadpis2"/>
    <w:uiPriority w:val="9"/>
    <w:rsid w:val="00EA0987"/>
    <w:rPr>
      <w:rFonts w:ascii="Arial" w:eastAsia="MS Gothic" w:hAnsi="Arial"/>
      <w:b/>
      <w:bCs/>
      <w:color w:val="86BF5E"/>
      <w:sz w:val="28"/>
      <w:szCs w:val="26"/>
      <w:lang w:eastAsia="cs-CZ"/>
    </w:rPr>
  </w:style>
  <w:style w:type="character" w:customStyle="1" w:styleId="Nadpis3Char">
    <w:name w:val="Nadpis 3 Char"/>
    <w:link w:val="Nadpis3"/>
    <w:uiPriority w:val="9"/>
    <w:rsid w:val="00EA0987"/>
    <w:rPr>
      <w:rFonts w:ascii="Arial" w:eastAsia="MS Gothic" w:hAnsi="Arial"/>
      <w:b/>
      <w:bCs/>
      <w:color w:val="86BF5E"/>
      <w:sz w:val="24"/>
      <w:szCs w:val="24"/>
      <w:lang w:eastAsia="cs-CZ"/>
    </w:rPr>
  </w:style>
  <w:style w:type="character" w:customStyle="1" w:styleId="Nadpis4Char">
    <w:name w:val="Nadpis 4 Char"/>
    <w:link w:val="Nadpis4"/>
    <w:uiPriority w:val="9"/>
    <w:rsid w:val="0041041D"/>
    <w:rPr>
      <w:rFonts w:ascii="Arial" w:eastAsia="MS Gothic" w:hAnsi="Arial"/>
      <w:b/>
      <w:bCs/>
      <w:iCs/>
      <w:color w:val="86BF5E"/>
      <w:szCs w:val="24"/>
      <w:lang w:eastAsia="cs-CZ"/>
    </w:rPr>
  </w:style>
  <w:style w:type="character" w:customStyle="1" w:styleId="Nadpis9Char">
    <w:name w:val="Nadpis 9 Char"/>
    <w:link w:val="Nadpis9"/>
    <w:uiPriority w:val="9"/>
    <w:semiHidden/>
    <w:rsid w:val="007A516D"/>
    <w:rPr>
      <w:rFonts w:ascii="Cambria" w:eastAsia="Times New Roman" w:hAnsi="Cambria"/>
      <w:sz w:val="22"/>
      <w:szCs w:val="22"/>
      <w:lang w:eastAsia="cs-CZ"/>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lang w:val="x-none" w:eastAsia="x-none"/>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0A57D4"/>
    <w:pPr>
      <w:spacing w:after="80" w:line="288" w:lineRule="auto"/>
    </w:pPr>
    <w:rPr>
      <w:rFonts w:ascii="Arial" w:eastAsia="Times New Roman" w:hAnsi="Arial"/>
      <w:b/>
      <w:color w:val="86BF5E"/>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A-Box1">
    <w:name w:val="A-Box 1"/>
    <w:next w:val="Normln"/>
    <w:qFormat/>
    <w:rsid w:val="00EA0987"/>
    <w:pPr>
      <w:shd w:val="clear" w:color="auto" w:fill="F0F6E9"/>
      <w:spacing w:before="240" w:after="240" w:line="276" w:lineRule="auto"/>
      <w:contextualSpacing/>
      <w:jc w:val="both"/>
    </w:pPr>
    <w:rPr>
      <w:rFonts w:ascii="Arial" w:hAnsi="Arial" w:cs="Arial"/>
      <w:lang w:eastAsia="cs-CZ"/>
    </w:rPr>
  </w:style>
  <w:style w:type="paragraph" w:customStyle="1" w:styleId="A-Box2">
    <w:name w:val="A-Box 2"/>
    <w:next w:val="Normln"/>
    <w:qFormat/>
    <w:rsid w:val="00EA0987"/>
    <w:pPr>
      <w:spacing w:before="240" w:after="240" w:line="276" w:lineRule="auto"/>
      <w:contextualSpacing/>
      <w:jc w:val="both"/>
    </w:pPr>
    <w:rPr>
      <w:rFonts w:ascii="Arial" w:hAnsi="Arial" w:cs="Arial"/>
      <w:color w:val="86BF5E"/>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0A57D4"/>
    <w:pPr>
      <w:spacing w:after="40"/>
      <w:contextualSpacing/>
    </w:pPr>
    <w:rPr>
      <w:b/>
      <w:caps/>
      <w:sz w:val="24"/>
    </w:rPr>
  </w:style>
  <w:style w:type="paragraph" w:customStyle="1" w:styleId="TLKontakty">
    <w:name w:val="TL Kontakty"/>
    <w:qFormat/>
    <w:rsid w:val="000A57D4"/>
    <w:pPr>
      <w:spacing w:after="160" w:line="259" w:lineRule="auto"/>
      <w:contextualSpacing/>
    </w:pPr>
    <w:rPr>
      <w:rFonts w:ascii="Arial" w:eastAsia="Times New Roman" w:hAnsi="Arial"/>
      <w:b/>
      <w:color w:val="86BF5E"/>
      <w:lang w:eastAsia="cs-CZ"/>
    </w:rPr>
  </w:style>
  <w:style w:type="paragraph" w:styleId="Nzev">
    <w:name w:val="Title"/>
    <w:link w:val="NzevChar"/>
    <w:uiPriority w:val="10"/>
    <w:qFormat/>
    <w:rsid w:val="001E6062"/>
    <w:pPr>
      <w:spacing w:line="288" w:lineRule="auto"/>
    </w:pPr>
    <w:rPr>
      <w:rFonts w:ascii="Arial" w:eastAsia="Times New Roman" w:hAnsi="Arial"/>
      <w:b/>
      <w:bCs/>
      <w:caps/>
      <w:color w:val="000000" w:themeColor="text1"/>
      <w:kern w:val="28"/>
      <w:sz w:val="56"/>
      <w:szCs w:val="32"/>
      <w:lang w:eastAsia="cs-CZ"/>
    </w:rPr>
  </w:style>
  <w:style w:type="character" w:customStyle="1" w:styleId="NzevChar">
    <w:name w:val="Název Char"/>
    <w:link w:val="Nzev"/>
    <w:uiPriority w:val="10"/>
    <w:rsid w:val="001E6062"/>
    <w:rPr>
      <w:rFonts w:ascii="Arial" w:eastAsia="Times New Roman" w:hAnsi="Arial"/>
      <w:b/>
      <w:bCs/>
      <w:caps/>
      <w:color w:val="000000" w:themeColor="text1"/>
      <w:kern w:val="28"/>
      <w:sz w:val="56"/>
      <w:szCs w:val="32"/>
      <w:lang w:eastAsia="cs-CZ"/>
    </w:rPr>
  </w:style>
  <w:style w:type="paragraph" w:styleId="Podnadpis">
    <w:name w:val="Subtitle"/>
    <w:link w:val="PodnadpisChar"/>
    <w:uiPriority w:val="11"/>
    <w:qFormat/>
    <w:rsid w:val="001E6062"/>
    <w:pPr>
      <w:spacing w:line="288" w:lineRule="auto"/>
    </w:pPr>
    <w:rPr>
      <w:rFonts w:ascii="Arial" w:eastAsia="Times New Roman" w:hAnsi="Arial" w:cs="Arial"/>
      <w:b/>
      <w:color w:val="000000" w:themeColor="text1"/>
      <w:sz w:val="28"/>
      <w:szCs w:val="24"/>
      <w:lang w:eastAsia="cs-CZ"/>
    </w:rPr>
  </w:style>
  <w:style w:type="character" w:customStyle="1" w:styleId="PodnadpisChar">
    <w:name w:val="Podnadpis Char"/>
    <w:link w:val="Podnadpis"/>
    <w:uiPriority w:val="11"/>
    <w:rsid w:val="001E6062"/>
    <w:rPr>
      <w:rFonts w:ascii="Arial" w:eastAsia="Times New Roman" w:hAnsi="Arial" w:cs="Arial"/>
      <w:b/>
      <w:color w:val="000000" w:themeColor="text1"/>
      <w:sz w:val="28"/>
      <w:szCs w:val="24"/>
      <w:lang w:eastAsia="cs-CZ"/>
    </w:rPr>
  </w:style>
  <w:style w:type="paragraph" w:styleId="Obsah2">
    <w:name w:val="toc 2"/>
    <w:basedOn w:val="Obsahpoloky"/>
    <w:next w:val="Obsahpoloky"/>
    <w:autoRedefine/>
    <w:uiPriority w:val="39"/>
    <w:unhideWhenUsed/>
    <w:rsid w:val="00FC1A95"/>
    <w:pPr>
      <w:ind w:left="200"/>
    </w:pPr>
  </w:style>
  <w:style w:type="paragraph" w:styleId="Obsah3">
    <w:name w:val="toc 3"/>
    <w:basedOn w:val="Obsahpoloky"/>
    <w:next w:val="Obsahpoloky"/>
    <w:autoRedefine/>
    <w:uiPriority w:val="39"/>
    <w:unhideWhenUsed/>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customStyle="1" w:styleId="Nadpis5Char">
    <w:name w:val="Nadpis 5 Char"/>
    <w:basedOn w:val="Standardnpsmoodstavce"/>
    <w:link w:val="Nadpis5"/>
    <w:uiPriority w:val="9"/>
    <w:semiHidden/>
    <w:rsid w:val="007A516D"/>
    <w:rPr>
      <w:rFonts w:asciiTheme="majorHAnsi" w:eastAsiaTheme="majorEastAsia" w:hAnsiTheme="majorHAnsi" w:cstheme="majorBidi"/>
      <w:color w:val="243F60" w:themeColor="accent1" w:themeShade="7F"/>
      <w:szCs w:val="24"/>
      <w:lang w:eastAsia="cs-CZ"/>
    </w:rPr>
  </w:style>
  <w:style w:type="character" w:customStyle="1" w:styleId="Nadpis6Char">
    <w:name w:val="Nadpis 6 Char"/>
    <w:basedOn w:val="Standardnpsmoodstavce"/>
    <w:link w:val="Nadpis6"/>
    <w:uiPriority w:val="9"/>
    <w:semiHidden/>
    <w:rsid w:val="007A516D"/>
    <w:rPr>
      <w:rFonts w:asciiTheme="majorHAnsi" w:eastAsiaTheme="majorEastAsia" w:hAnsiTheme="majorHAnsi" w:cstheme="majorBidi"/>
      <w:i/>
      <w:iCs/>
      <w:color w:val="243F60" w:themeColor="accent1" w:themeShade="7F"/>
      <w:szCs w:val="24"/>
      <w:lang w:eastAsia="cs-CZ"/>
    </w:rPr>
  </w:style>
  <w:style w:type="character" w:customStyle="1" w:styleId="Nadpis7Char">
    <w:name w:val="Nadpis 7 Char"/>
    <w:basedOn w:val="Standardnpsmoodstavce"/>
    <w:link w:val="Nadpis7"/>
    <w:uiPriority w:val="9"/>
    <w:semiHidden/>
    <w:rsid w:val="007A516D"/>
    <w:rPr>
      <w:rFonts w:asciiTheme="majorHAnsi" w:eastAsiaTheme="majorEastAsia" w:hAnsiTheme="majorHAnsi" w:cstheme="majorBidi"/>
      <w:i/>
      <w:iCs/>
      <w:color w:val="404040" w:themeColor="text1" w:themeTint="BF"/>
      <w:szCs w:val="24"/>
      <w:lang w:eastAsia="cs-CZ"/>
    </w:rPr>
  </w:style>
  <w:style w:type="character" w:customStyle="1" w:styleId="Nadpis8Char">
    <w:name w:val="Nadpis 8 Char"/>
    <w:basedOn w:val="Standardnpsmoodstavce"/>
    <w:link w:val="Nadpis8"/>
    <w:uiPriority w:val="9"/>
    <w:semiHidden/>
    <w:rsid w:val="007A516D"/>
    <w:rPr>
      <w:rFonts w:asciiTheme="majorHAnsi" w:eastAsiaTheme="majorEastAsia" w:hAnsiTheme="majorHAnsi" w:cstheme="majorBidi"/>
      <w:color w:val="404040" w:themeColor="text1" w:themeTint="BF"/>
      <w:lang w:eastAsia="cs-CZ"/>
    </w:rPr>
  </w:style>
  <w:style w:type="paragraph" w:styleId="Textpoznpodarou">
    <w:name w:val="footnote text"/>
    <w:aliases w:val="Text pozn. pod čarou_martin_ang"/>
    <w:basedOn w:val="Normln"/>
    <w:link w:val="TextpoznpodarouChar"/>
    <w:qFormat/>
    <w:rsid w:val="008E7FC9"/>
    <w:pPr>
      <w:spacing w:after="0" w:line="240" w:lineRule="auto"/>
      <w:jc w:val="left"/>
    </w:pPr>
    <w:rPr>
      <w:rFonts w:eastAsia="Calibri"/>
      <w:szCs w:val="20"/>
    </w:rPr>
  </w:style>
  <w:style w:type="character" w:customStyle="1" w:styleId="TextpoznpodarouChar">
    <w:name w:val="Text pozn. pod čarou Char"/>
    <w:aliases w:val="Text pozn. pod čarou_martin_ang Char"/>
    <w:basedOn w:val="Standardnpsmoodstavce"/>
    <w:link w:val="Textpoznpodarou"/>
    <w:qFormat/>
    <w:rsid w:val="008E7FC9"/>
    <w:rPr>
      <w:rFonts w:ascii="Arial" w:hAnsi="Arial"/>
      <w:lang w:eastAsia="cs-CZ"/>
    </w:rPr>
  </w:style>
  <w:style w:type="paragraph" w:styleId="Bezmezer">
    <w:name w:val="No Spacing"/>
    <w:uiPriority w:val="1"/>
    <w:qFormat/>
    <w:rsid w:val="00AD68C4"/>
    <w:pPr>
      <w:jc w:val="both"/>
    </w:pPr>
    <w:rPr>
      <w:rFonts w:ascii="Arial" w:eastAsia="Times New Roman" w:hAnsi="Arial"/>
      <w:szCs w:val="24"/>
      <w:lang w:eastAsia="cs-CZ"/>
    </w:rPr>
  </w:style>
  <w:style w:type="paragraph" w:customStyle="1" w:styleId="Marginlie">
    <w:name w:val="Marginálie"/>
    <w:basedOn w:val="Normln"/>
    <w:qFormat/>
    <w:rsid w:val="0089296D"/>
    <w:pPr>
      <w:spacing w:after="0"/>
      <w:jc w:val="left"/>
    </w:pPr>
    <w:rPr>
      <w:spacing w:val="-2"/>
      <w:sz w:val="16"/>
      <w:szCs w:val="16"/>
    </w:rPr>
  </w:style>
  <w:style w:type="paragraph" w:styleId="Odstavecseseznamem">
    <w:name w:val="List Paragraph"/>
    <w:basedOn w:val="Normln"/>
    <w:link w:val="OdstavecseseznamemChar"/>
    <w:uiPriority w:val="34"/>
    <w:qFormat/>
    <w:rsid w:val="006B0F92"/>
    <w:pPr>
      <w:ind w:left="720"/>
      <w:contextualSpacing/>
    </w:pPr>
  </w:style>
  <w:style w:type="paragraph" w:customStyle="1" w:styleId="Normalodrka">
    <w:name w:val="Normal odrážka"/>
    <w:qFormat/>
    <w:rsid w:val="006B0F92"/>
    <w:pPr>
      <w:numPr>
        <w:numId w:val="20"/>
      </w:numPr>
      <w:spacing w:after="240" w:line="276" w:lineRule="auto"/>
      <w:ind w:left="357" w:hanging="357"/>
      <w:jc w:val="both"/>
    </w:pPr>
    <w:rPr>
      <w:rFonts w:ascii="Arial" w:eastAsia="Times New Roman" w:hAnsi="Arial"/>
      <w:szCs w:val="24"/>
      <w:lang w:eastAsia="cs-CZ"/>
    </w:rPr>
  </w:style>
  <w:style w:type="paragraph" w:customStyle="1" w:styleId="Box1">
    <w:name w:val="Box 1"/>
    <w:next w:val="Normln"/>
    <w:qFormat/>
    <w:rsid w:val="00EA0987"/>
    <w:pPr>
      <w:shd w:val="clear" w:color="auto" w:fill="F0F6E9"/>
      <w:spacing w:before="240" w:after="240" w:line="276" w:lineRule="auto"/>
      <w:ind w:left="709"/>
      <w:contextualSpacing/>
      <w:jc w:val="both"/>
    </w:pPr>
    <w:rPr>
      <w:rFonts w:ascii="Arial" w:hAnsi="Arial" w:cs="Arial"/>
      <w:lang w:eastAsia="cs-CZ"/>
    </w:rPr>
  </w:style>
  <w:style w:type="paragraph" w:customStyle="1" w:styleId="Box2">
    <w:name w:val="Box 2"/>
    <w:next w:val="Normln"/>
    <w:qFormat/>
    <w:rsid w:val="00EA0987"/>
    <w:pPr>
      <w:spacing w:before="240" w:after="240" w:line="276" w:lineRule="auto"/>
      <w:ind w:left="709"/>
      <w:contextualSpacing/>
      <w:jc w:val="both"/>
    </w:pPr>
    <w:rPr>
      <w:rFonts w:ascii="Arial" w:hAnsi="Arial" w:cs="Arial"/>
      <w:b/>
      <w:color w:val="86BF5E"/>
      <w:lang w:eastAsia="cs-CZ"/>
    </w:rPr>
  </w:style>
  <w:style w:type="character" w:styleId="Zdraznnintenzivn">
    <w:name w:val="Intense Emphasis"/>
    <w:basedOn w:val="Standardnpsmoodstavce"/>
    <w:uiPriority w:val="21"/>
    <w:qFormat/>
    <w:rsid w:val="001E6062"/>
    <w:rPr>
      <w:i/>
      <w:iCs/>
      <w:color w:val="000000" w:themeColor="text1"/>
    </w:rPr>
  </w:style>
  <w:style w:type="character" w:styleId="Odkazintenzivn">
    <w:name w:val="Intense Reference"/>
    <w:basedOn w:val="Standardnpsmoodstavce"/>
    <w:uiPriority w:val="32"/>
    <w:qFormat/>
    <w:rsid w:val="001E6062"/>
    <w:rPr>
      <w:b/>
      <w:bCs/>
      <w:smallCaps/>
      <w:color w:val="000000" w:themeColor="text1"/>
      <w:spacing w:val="5"/>
    </w:rPr>
  </w:style>
  <w:style w:type="character" w:styleId="Znakapoznpodarou">
    <w:name w:val="footnote reference"/>
    <w:basedOn w:val="Standardnpsmoodstavce"/>
    <w:rsid w:val="009324EF"/>
    <w:rPr>
      <w:rFonts w:cs="Times New Roman"/>
      <w:vertAlign w:val="superscript"/>
    </w:rPr>
  </w:style>
  <w:style w:type="paragraph" w:customStyle="1" w:styleId="Nadpis11">
    <w:name w:val="Nadpis 11"/>
    <w:basedOn w:val="Normln"/>
    <w:uiPriority w:val="9"/>
    <w:qFormat/>
    <w:rsid w:val="009324EF"/>
    <w:pPr>
      <w:keepNext/>
      <w:keepLines/>
      <w:spacing w:after="100"/>
      <w:contextualSpacing/>
      <w:jc w:val="left"/>
      <w:outlineLvl w:val="0"/>
    </w:pPr>
    <w:rPr>
      <w:rFonts w:eastAsia="MS Gothic"/>
      <w:b/>
      <w:bCs/>
      <w:color w:val="71818C"/>
      <w:sz w:val="32"/>
      <w:szCs w:val="28"/>
    </w:rPr>
  </w:style>
  <w:style w:type="paragraph" w:customStyle="1" w:styleId="Textpoznpodarou1">
    <w:name w:val="Text pozn. pod čarou1"/>
    <w:basedOn w:val="Normln"/>
    <w:qFormat/>
    <w:rsid w:val="009324EF"/>
    <w:pPr>
      <w:spacing w:after="0" w:line="240" w:lineRule="auto"/>
      <w:jc w:val="left"/>
    </w:pPr>
    <w:rPr>
      <w:rFonts w:eastAsia="Calibri"/>
      <w:szCs w:val="20"/>
    </w:rPr>
  </w:style>
  <w:style w:type="character" w:styleId="Zdraznn">
    <w:name w:val="Emphasis"/>
    <w:basedOn w:val="Standardnpsmoodstavce"/>
    <w:uiPriority w:val="20"/>
    <w:qFormat/>
    <w:rsid w:val="009324EF"/>
    <w:rPr>
      <w:i/>
      <w:iCs/>
    </w:rPr>
  </w:style>
  <w:style w:type="character" w:customStyle="1" w:styleId="normaltextrun">
    <w:name w:val="normaltextrun"/>
    <w:basedOn w:val="Standardnpsmoodstavce"/>
    <w:rsid w:val="009324EF"/>
  </w:style>
  <w:style w:type="paragraph" w:customStyle="1" w:styleId="paragraph">
    <w:name w:val="paragraph"/>
    <w:basedOn w:val="Normln"/>
    <w:rsid w:val="009324EF"/>
    <w:pPr>
      <w:spacing w:before="100" w:beforeAutospacing="1" w:after="100" w:afterAutospacing="1" w:line="240" w:lineRule="auto"/>
      <w:jc w:val="left"/>
    </w:pPr>
    <w:rPr>
      <w:rFonts w:ascii="Times New Roman" w:hAnsi="Times New Roman"/>
      <w:sz w:val="24"/>
    </w:rPr>
  </w:style>
  <w:style w:type="character" w:customStyle="1" w:styleId="eop">
    <w:name w:val="eop"/>
    <w:basedOn w:val="Standardnpsmoodstavce"/>
    <w:rsid w:val="009324EF"/>
  </w:style>
  <w:style w:type="table" w:styleId="Mkatabulky">
    <w:name w:val="Table Grid"/>
    <w:basedOn w:val="Normlntabulka"/>
    <w:uiPriority w:val="59"/>
    <w:rsid w:val="009324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dpisobsahu">
    <w:name w:val="TOC Heading"/>
    <w:basedOn w:val="Nadpis1"/>
    <w:next w:val="Normln"/>
    <w:uiPriority w:val="39"/>
    <w:unhideWhenUsed/>
    <w:qFormat/>
    <w:rsid w:val="009324EF"/>
    <w:pPr>
      <w:spacing w:before="240" w:after="0" w:line="259" w:lineRule="auto"/>
      <w:contextualSpacing w:val="0"/>
      <w:outlineLvl w:val="9"/>
    </w:pPr>
    <w:rPr>
      <w:rFonts w:asciiTheme="majorHAnsi" w:eastAsiaTheme="majorEastAsia" w:hAnsiTheme="majorHAnsi" w:cstheme="majorBidi"/>
      <w:b w:val="0"/>
      <w:bCs w:val="0"/>
      <w:color w:val="365F91" w:themeColor="accent1" w:themeShade="BF"/>
      <w:szCs w:val="32"/>
    </w:rPr>
  </w:style>
  <w:style w:type="character" w:styleId="Odkaznakoment">
    <w:name w:val="annotation reference"/>
    <w:basedOn w:val="Standardnpsmoodstavce"/>
    <w:uiPriority w:val="99"/>
    <w:semiHidden/>
    <w:unhideWhenUsed/>
    <w:rsid w:val="009324EF"/>
    <w:rPr>
      <w:sz w:val="16"/>
      <w:szCs w:val="16"/>
    </w:rPr>
  </w:style>
  <w:style w:type="paragraph" w:styleId="Textkomente">
    <w:name w:val="annotation text"/>
    <w:basedOn w:val="Normln"/>
    <w:link w:val="TextkomenteChar"/>
    <w:uiPriority w:val="99"/>
    <w:unhideWhenUsed/>
    <w:rsid w:val="009324EF"/>
    <w:pPr>
      <w:spacing w:line="240" w:lineRule="auto"/>
    </w:pPr>
    <w:rPr>
      <w:szCs w:val="20"/>
    </w:rPr>
  </w:style>
  <w:style w:type="character" w:customStyle="1" w:styleId="TextkomenteChar">
    <w:name w:val="Text komentáře Char"/>
    <w:basedOn w:val="Standardnpsmoodstavce"/>
    <w:link w:val="Textkomente"/>
    <w:uiPriority w:val="99"/>
    <w:rsid w:val="009324EF"/>
    <w:rPr>
      <w:rFonts w:ascii="Arial" w:eastAsia="Times New Roman" w:hAnsi="Arial"/>
      <w:lang w:eastAsia="cs-CZ"/>
    </w:rPr>
  </w:style>
  <w:style w:type="paragraph" w:styleId="Pedmtkomente">
    <w:name w:val="annotation subject"/>
    <w:basedOn w:val="Textkomente"/>
    <w:next w:val="Textkomente"/>
    <w:link w:val="PedmtkomenteChar"/>
    <w:uiPriority w:val="99"/>
    <w:semiHidden/>
    <w:unhideWhenUsed/>
    <w:rsid w:val="009324EF"/>
    <w:rPr>
      <w:b/>
      <w:bCs/>
    </w:rPr>
  </w:style>
  <w:style w:type="character" w:customStyle="1" w:styleId="PedmtkomenteChar">
    <w:name w:val="Předmět komentáře Char"/>
    <w:basedOn w:val="TextkomenteChar"/>
    <w:link w:val="Pedmtkomente"/>
    <w:uiPriority w:val="99"/>
    <w:semiHidden/>
    <w:rsid w:val="009324EF"/>
    <w:rPr>
      <w:rFonts w:ascii="Arial" w:eastAsia="Times New Roman" w:hAnsi="Arial"/>
      <w:b/>
      <w:bCs/>
      <w:lang w:eastAsia="cs-CZ"/>
    </w:rPr>
  </w:style>
  <w:style w:type="paragraph" w:styleId="Rozloendokumentu">
    <w:name w:val="Document Map"/>
    <w:basedOn w:val="Normln"/>
    <w:link w:val="RozloendokumentuChar"/>
    <w:uiPriority w:val="99"/>
    <w:semiHidden/>
    <w:rsid w:val="009324EF"/>
    <w:pPr>
      <w:spacing w:after="0" w:line="288" w:lineRule="auto"/>
      <w:jc w:val="left"/>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9324EF"/>
    <w:rPr>
      <w:rFonts w:ascii="Tahoma" w:hAnsi="Tahoma" w:cs="Tahoma"/>
      <w:sz w:val="16"/>
      <w:szCs w:val="16"/>
      <w:lang w:eastAsia="cs-CZ"/>
    </w:rPr>
  </w:style>
  <w:style w:type="paragraph" w:customStyle="1" w:styleId="Nadpis12">
    <w:name w:val="Nadpis 12"/>
    <w:basedOn w:val="Normln"/>
    <w:uiPriority w:val="9"/>
    <w:qFormat/>
    <w:rsid w:val="009324EF"/>
    <w:pPr>
      <w:keepNext/>
      <w:keepLines/>
      <w:spacing w:after="100"/>
      <w:contextualSpacing/>
      <w:jc w:val="left"/>
      <w:outlineLvl w:val="0"/>
    </w:pPr>
    <w:rPr>
      <w:rFonts w:eastAsia="MS Gothic"/>
      <w:b/>
      <w:bCs/>
      <w:color w:val="71818C"/>
      <w:sz w:val="32"/>
      <w:szCs w:val="28"/>
    </w:rPr>
  </w:style>
  <w:style w:type="character" w:customStyle="1" w:styleId="spelle">
    <w:name w:val="spelle"/>
    <w:basedOn w:val="Standardnpsmoodstavce"/>
    <w:rsid w:val="009324EF"/>
  </w:style>
  <w:style w:type="paragraph" w:styleId="Revize">
    <w:name w:val="Revision"/>
    <w:hidden/>
    <w:uiPriority w:val="99"/>
    <w:semiHidden/>
    <w:rsid w:val="009324EF"/>
    <w:rPr>
      <w:rFonts w:ascii="Arial" w:eastAsia="Times New Roman" w:hAnsi="Arial"/>
      <w:szCs w:val="24"/>
      <w:lang w:eastAsia="cs-CZ"/>
    </w:rPr>
  </w:style>
  <w:style w:type="character" w:customStyle="1" w:styleId="odkaz-style-wrapper">
    <w:name w:val="odkaz-style-wrapper"/>
    <w:basedOn w:val="Standardnpsmoodstavce"/>
    <w:rsid w:val="009324EF"/>
  </w:style>
  <w:style w:type="character" w:customStyle="1" w:styleId="tabulka">
    <w:name w:val="tabulka"/>
    <w:basedOn w:val="Standardnpsmoodstavce"/>
    <w:rsid w:val="009324EF"/>
  </w:style>
  <w:style w:type="paragraph" w:customStyle="1" w:styleId="Default">
    <w:name w:val="Default"/>
    <w:rsid w:val="009324EF"/>
    <w:pPr>
      <w:autoSpaceDE w:val="0"/>
      <w:autoSpaceDN w:val="0"/>
      <w:adjustRightInd w:val="0"/>
    </w:pPr>
    <w:rPr>
      <w:rFonts w:cs="Calibri"/>
      <w:color w:val="000000"/>
      <w:sz w:val="24"/>
      <w:szCs w:val="24"/>
    </w:rPr>
  </w:style>
  <w:style w:type="paragraph" w:styleId="Normlnweb">
    <w:name w:val="Normal (Web)"/>
    <w:basedOn w:val="Normln"/>
    <w:uiPriority w:val="99"/>
    <w:semiHidden/>
    <w:unhideWhenUsed/>
    <w:rsid w:val="009324EF"/>
    <w:pPr>
      <w:spacing w:before="100" w:beforeAutospacing="1" w:after="100" w:afterAutospacing="1" w:line="240" w:lineRule="auto"/>
      <w:jc w:val="left"/>
    </w:pPr>
    <w:rPr>
      <w:rFonts w:ascii="Times New Roman" w:hAnsi="Times New Roman"/>
      <w:sz w:val="24"/>
    </w:rPr>
  </w:style>
  <w:style w:type="paragraph" w:styleId="FormtovanvHTML">
    <w:name w:val="HTML Preformatted"/>
    <w:basedOn w:val="Normln"/>
    <w:link w:val="FormtovanvHTMLChar"/>
    <w:uiPriority w:val="99"/>
    <w:semiHidden/>
    <w:unhideWhenUsed/>
    <w:rsid w:val="00932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Cs w:val="20"/>
    </w:rPr>
  </w:style>
  <w:style w:type="character" w:customStyle="1" w:styleId="FormtovanvHTMLChar">
    <w:name w:val="Formátovaný v HTML Char"/>
    <w:basedOn w:val="Standardnpsmoodstavce"/>
    <w:link w:val="FormtovanvHTML"/>
    <w:uiPriority w:val="99"/>
    <w:semiHidden/>
    <w:rsid w:val="009324EF"/>
    <w:rPr>
      <w:rFonts w:ascii="Courier New" w:eastAsia="Times New Roman" w:hAnsi="Courier New" w:cs="Courier New"/>
      <w:lang w:eastAsia="cs-CZ"/>
    </w:rPr>
  </w:style>
  <w:style w:type="paragraph" w:customStyle="1" w:styleId="cay">
    <w:name w:val="c_ay"/>
    <w:basedOn w:val="Normln"/>
    <w:rsid w:val="009324EF"/>
    <w:pPr>
      <w:spacing w:before="100" w:beforeAutospacing="1" w:after="100" w:afterAutospacing="1" w:line="240" w:lineRule="auto"/>
      <w:jc w:val="left"/>
    </w:pPr>
    <w:rPr>
      <w:rFonts w:ascii="Times New Roman" w:hAnsi="Times New Roman"/>
      <w:sz w:val="24"/>
    </w:rPr>
  </w:style>
  <w:style w:type="character" w:customStyle="1" w:styleId="cew">
    <w:name w:val="c_ew"/>
    <w:basedOn w:val="Standardnpsmoodstavce"/>
    <w:rsid w:val="009324EF"/>
  </w:style>
  <w:style w:type="character" w:styleId="Sledovanodkaz">
    <w:name w:val="FollowedHyperlink"/>
    <w:basedOn w:val="Standardnpsmoodstavce"/>
    <w:uiPriority w:val="99"/>
    <w:semiHidden/>
    <w:unhideWhenUsed/>
    <w:rsid w:val="009324EF"/>
    <w:rPr>
      <w:color w:val="800080" w:themeColor="followedHyperlink"/>
      <w:u w:val="single"/>
    </w:rPr>
  </w:style>
  <w:style w:type="character" w:customStyle="1" w:styleId="cfu">
    <w:name w:val="c_fu"/>
    <w:basedOn w:val="Standardnpsmoodstavce"/>
    <w:rsid w:val="009324EF"/>
  </w:style>
  <w:style w:type="character" w:customStyle="1" w:styleId="OdstavecseseznamemChar">
    <w:name w:val="Odstavec se seznamem Char"/>
    <w:basedOn w:val="Standardnpsmoodstavce"/>
    <w:link w:val="Odstavecseseznamem"/>
    <w:uiPriority w:val="34"/>
    <w:rsid w:val="009324EF"/>
    <w:rPr>
      <w:rFonts w:ascii="Arial" w:eastAsia="Times New Roman" w:hAnsi="Arial"/>
      <w:szCs w:val="24"/>
      <w:lang w:eastAsia="cs-CZ"/>
    </w:rPr>
  </w:style>
  <w:style w:type="paragraph" w:styleId="Textvysvtlivek">
    <w:name w:val="endnote text"/>
    <w:basedOn w:val="Normln"/>
    <w:link w:val="TextvysvtlivekChar"/>
    <w:uiPriority w:val="99"/>
    <w:semiHidden/>
    <w:unhideWhenUsed/>
    <w:rsid w:val="00BB2F43"/>
    <w:pPr>
      <w:spacing w:after="0" w:line="240" w:lineRule="auto"/>
    </w:pPr>
    <w:rPr>
      <w:szCs w:val="20"/>
    </w:rPr>
  </w:style>
  <w:style w:type="character" w:customStyle="1" w:styleId="TextvysvtlivekChar">
    <w:name w:val="Text vysvětlivek Char"/>
    <w:basedOn w:val="Standardnpsmoodstavce"/>
    <w:link w:val="Textvysvtlivek"/>
    <w:uiPriority w:val="99"/>
    <w:semiHidden/>
    <w:rsid w:val="00BB2F43"/>
    <w:rPr>
      <w:rFonts w:ascii="Arial" w:eastAsia="Times New Roman" w:hAnsi="Arial"/>
      <w:lang w:eastAsia="cs-CZ"/>
    </w:rPr>
  </w:style>
  <w:style w:type="character" w:styleId="Odkaznavysvtlivky">
    <w:name w:val="endnote reference"/>
    <w:basedOn w:val="Standardnpsmoodstavce"/>
    <w:uiPriority w:val="99"/>
    <w:semiHidden/>
    <w:unhideWhenUsed/>
    <w:rsid w:val="00BB2F43"/>
    <w:rPr>
      <w:vertAlign w:val="superscript"/>
    </w:rPr>
  </w:style>
  <w:style w:type="character" w:customStyle="1" w:styleId="ts-alignment-element">
    <w:name w:val="ts-alignment-element"/>
    <w:basedOn w:val="Standardnpsmoodstavce"/>
    <w:rsid w:val="00EB4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112676334">
      <w:bodyDiv w:val="1"/>
      <w:marLeft w:val="0"/>
      <w:marRight w:val="0"/>
      <w:marTop w:val="0"/>
      <w:marBottom w:val="0"/>
      <w:divBdr>
        <w:top w:val="none" w:sz="0" w:space="0" w:color="auto"/>
        <w:left w:val="none" w:sz="0" w:space="0" w:color="auto"/>
        <w:bottom w:val="none" w:sz="0" w:space="0" w:color="auto"/>
        <w:right w:val="none" w:sz="0" w:space="0" w:color="auto"/>
      </w:divBdr>
    </w:div>
    <w:div w:id="243729605">
      <w:bodyDiv w:val="1"/>
      <w:marLeft w:val="0"/>
      <w:marRight w:val="0"/>
      <w:marTop w:val="0"/>
      <w:marBottom w:val="0"/>
      <w:divBdr>
        <w:top w:val="none" w:sz="0" w:space="0" w:color="auto"/>
        <w:left w:val="none" w:sz="0" w:space="0" w:color="auto"/>
        <w:bottom w:val="none" w:sz="0" w:space="0" w:color="auto"/>
        <w:right w:val="none" w:sz="0" w:space="0" w:color="auto"/>
      </w:divBdr>
    </w:div>
    <w:div w:id="255015632">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883518353">
      <w:bodyDiv w:val="1"/>
      <w:marLeft w:val="0"/>
      <w:marRight w:val="0"/>
      <w:marTop w:val="0"/>
      <w:marBottom w:val="0"/>
      <w:divBdr>
        <w:top w:val="none" w:sz="0" w:space="0" w:color="auto"/>
        <w:left w:val="none" w:sz="0" w:space="0" w:color="auto"/>
        <w:bottom w:val="none" w:sz="0" w:space="0" w:color="auto"/>
        <w:right w:val="none" w:sz="0" w:space="0" w:color="auto"/>
      </w:divBdr>
    </w:div>
    <w:div w:id="932319695">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276136441">
      <w:bodyDiv w:val="1"/>
      <w:marLeft w:val="0"/>
      <w:marRight w:val="0"/>
      <w:marTop w:val="0"/>
      <w:marBottom w:val="0"/>
      <w:divBdr>
        <w:top w:val="none" w:sz="0" w:space="0" w:color="auto"/>
        <w:left w:val="none" w:sz="0" w:space="0" w:color="auto"/>
        <w:bottom w:val="none" w:sz="0" w:space="0" w:color="auto"/>
        <w:right w:val="none" w:sz="0" w:space="0" w:color="auto"/>
      </w:divBdr>
    </w:div>
    <w:div w:id="1283000633">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56962653">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bojnikova31519.CZSO\Downloads\Form_c444_Publikace_regiony%20a%20zeme%20-%20analyzy.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czsocz-my.sharepoint.com/personal/karolina_zabojnikova_czso_cz/Documents/Dokumenty/Anal&#253;za/Q/2026Q2/eng/Makroanal&#253;za%20grafy_eng.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https://czsocz-my.sharepoint.com/personal/karolina_zabojnikova_czso_cz/Documents/Dokumenty/Anal&#253;za/Q/2026Q2/eng/Makroanal&#253;za%20grafy_eng.xlsx"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https://czsocz-my.sharepoint.com/personal/karolina_zabojnikova_czso_cz/Documents/Dokumenty/Anal&#253;za/Q/2026Q2/eng/Makroanal&#253;za%20grafy_eng.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oleObject" Target="https://czsocz-my.sharepoint.com/personal/karolina_zabojnikova_czso_cz/Documents/Dokumenty/Anal&#253;za/Q/2026Q2/eng/Makroanal&#253;za%20grafy_eng.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948352704928246E-2"/>
          <c:y val="2.8458510079622041E-2"/>
          <c:w val="0.93956464282120367"/>
          <c:h val="0.6497469886299676"/>
        </c:manualLayout>
      </c:layout>
      <c:barChart>
        <c:barDir val="col"/>
        <c:grouping val="stacked"/>
        <c:varyColors val="0"/>
        <c:ser>
          <c:idx val="1"/>
          <c:order val="0"/>
          <c:tx>
            <c:strRef>
              <c:f>'souhrnná výkonnost 3'!$F$5</c:f>
              <c:strCache>
                <c:ptCount val="1"/>
                <c:pt idx="0">
                  <c:v>Foreign trade balance</c:v>
                </c:pt>
              </c:strCache>
            </c:strRef>
          </c:tx>
          <c:spPr>
            <a:solidFill>
              <a:srgbClr val="86BF5E"/>
            </a:solidFill>
            <a:ln>
              <a:noFill/>
            </a:ln>
          </c:spPr>
          <c:invertIfNegative val="0"/>
          <c:cat>
            <c:multiLvlStrRef>
              <c:f>'souhrnná výkonnost 3'!$A$18:$B$39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3'!$F$18:$F$39</c:f>
              <c:numCache>
                <c:formatCode>#\ ##0.0</c:formatCode>
                <c:ptCount val="22"/>
                <c:pt idx="0">
                  <c:v>-1.572114852316302</c:v>
                </c:pt>
                <c:pt idx="1">
                  <c:v>-1.5138299604773375</c:v>
                </c:pt>
                <c:pt idx="2">
                  <c:v>-1.7542886615440048</c:v>
                </c:pt>
                <c:pt idx="3">
                  <c:v>1.2696539341890052</c:v>
                </c:pt>
                <c:pt idx="4">
                  <c:v>0.22964932571003693</c:v>
                </c:pt>
                <c:pt idx="5">
                  <c:v>-0.11004697577581091</c:v>
                </c:pt>
                <c:pt idx="6">
                  <c:v>1.9732589332036894</c:v>
                </c:pt>
                <c:pt idx="7">
                  <c:v>-0.54920361460869893</c:v>
                </c:pt>
                <c:pt idx="8">
                  <c:v>0.10096096945202841</c:v>
                </c:pt>
                <c:pt idx="9">
                  <c:v>0.63158358948084747</c:v>
                </c:pt>
                <c:pt idx="10">
                  <c:v>-0.28357108599465985</c:v>
                </c:pt>
                <c:pt idx="11">
                  <c:v>1.4519103347850035</c:v>
                </c:pt>
                <c:pt idx="12">
                  <c:v>-0.19084875573963384</c:v>
                </c:pt>
                <c:pt idx="13">
                  <c:v>-0.20909274122971575</c:v>
                </c:pt>
                <c:pt idx="14">
                  <c:v>-0.1689383816891461</c:v>
                </c:pt>
                <c:pt idx="15">
                  <c:v>-0.39576395450318369</c:v>
                </c:pt>
                <c:pt idx="16">
                  <c:v>0.65040380033904144</c:v>
                </c:pt>
                <c:pt idx="17">
                  <c:v>-0.43012996800353942</c:v>
                </c:pt>
                <c:pt idx="18">
                  <c:v>0.10028620043318404</c:v>
                </c:pt>
                <c:pt idx="19">
                  <c:v>0.20815671873668223</c:v>
                </c:pt>
                <c:pt idx="20">
                  <c:v>-0.6963979442632191</c:v>
                </c:pt>
                <c:pt idx="21">
                  <c:v>0.63475841760430651</c:v>
                </c:pt>
              </c:numCache>
            </c:numRef>
          </c:val>
          <c:extLst>
            <c:ext xmlns:c16="http://schemas.microsoft.com/office/drawing/2014/chart" uri="{C3380CC4-5D6E-409C-BE32-E72D297353CC}">
              <c16:uniqueId val="{00000000-516A-458A-81EC-EE9A6F01748A}"/>
            </c:ext>
          </c:extLst>
        </c:ser>
        <c:ser>
          <c:idx val="2"/>
          <c:order val="1"/>
          <c:tx>
            <c:strRef>
              <c:f>'souhrnná výkonnost 3'!$H$5</c:f>
              <c:strCache>
                <c:ptCount val="1"/>
                <c:pt idx="0">
                  <c:v>Change in inventories</c:v>
                </c:pt>
              </c:strCache>
            </c:strRef>
          </c:tx>
          <c:spPr>
            <a:solidFill>
              <a:srgbClr val="D8A7B7"/>
            </a:solidFill>
            <a:ln>
              <a:noFill/>
            </a:ln>
          </c:spPr>
          <c:invertIfNegative val="0"/>
          <c:cat>
            <c:multiLvlStrRef>
              <c:f>'souhrnná výkonnost 3'!$A$18:$B$39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3'!$H$18:$H$39</c:f>
              <c:numCache>
                <c:formatCode>#\ ##0.0</c:formatCode>
                <c:ptCount val="22"/>
                <c:pt idx="0">
                  <c:v>1.3365945277321665</c:v>
                </c:pt>
                <c:pt idx="1">
                  <c:v>-0.36695188614329377</c:v>
                </c:pt>
                <c:pt idx="2">
                  <c:v>1.1659783844974942</c:v>
                </c:pt>
                <c:pt idx="3">
                  <c:v>-0.72306063816145894</c:v>
                </c:pt>
                <c:pt idx="4">
                  <c:v>0.58332729431417452</c:v>
                </c:pt>
                <c:pt idx="5">
                  <c:v>0.60971730412013903</c:v>
                </c:pt>
                <c:pt idx="6">
                  <c:v>-1.1821207849855591</c:v>
                </c:pt>
                <c:pt idx="7">
                  <c:v>1.0031296712860207</c:v>
                </c:pt>
                <c:pt idx="8">
                  <c:v>-4.1757091292765766E-2</c:v>
                </c:pt>
                <c:pt idx="9">
                  <c:v>-1.1730403412974955</c:v>
                </c:pt>
                <c:pt idx="10">
                  <c:v>-0.18219801876103775</c:v>
                </c:pt>
                <c:pt idx="11">
                  <c:v>-2.0781369736726605</c:v>
                </c:pt>
                <c:pt idx="12">
                  <c:v>0.46550063094222882</c:v>
                </c:pt>
                <c:pt idx="13">
                  <c:v>0.70101021726914592</c:v>
                </c:pt>
                <c:pt idx="14">
                  <c:v>0.71413244296712086</c:v>
                </c:pt>
                <c:pt idx="15">
                  <c:v>0.80114565530051229</c:v>
                </c:pt>
                <c:pt idx="16">
                  <c:v>-0.72524720114282126</c:v>
                </c:pt>
                <c:pt idx="17">
                  <c:v>0.2762174716761655</c:v>
                </c:pt>
                <c:pt idx="18">
                  <c:v>-0.23757589644799904</c:v>
                </c:pt>
                <c:pt idx="19">
                  <c:v>-0.39101279007341094</c:v>
                </c:pt>
                <c:pt idx="20">
                  <c:v>0.30410441362448765</c:v>
                </c:pt>
                <c:pt idx="21">
                  <c:v>-0.99500932312229962</c:v>
                </c:pt>
              </c:numCache>
            </c:numRef>
          </c:val>
          <c:extLst>
            <c:ext xmlns:c16="http://schemas.microsoft.com/office/drawing/2014/chart" uri="{C3380CC4-5D6E-409C-BE32-E72D297353CC}">
              <c16:uniqueId val="{00000001-516A-458A-81EC-EE9A6F01748A}"/>
            </c:ext>
          </c:extLst>
        </c:ser>
        <c:ser>
          <c:idx val="3"/>
          <c:order val="2"/>
          <c:tx>
            <c:strRef>
              <c:f>'souhrnná výkonnost 3'!$G$5</c:f>
              <c:strCache>
                <c:ptCount val="1"/>
                <c:pt idx="0">
                  <c:v>Gross fixed capital formation</c:v>
                </c:pt>
              </c:strCache>
            </c:strRef>
          </c:tx>
          <c:spPr>
            <a:solidFill>
              <a:srgbClr val="BC5B80"/>
            </a:solidFill>
            <a:ln>
              <a:noFill/>
            </a:ln>
          </c:spPr>
          <c:invertIfNegative val="0"/>
          <c:cat>
            <c:multiLvlStrRef>
              <c:f>'souhrnná výkonnost 3'!$A$18:$B$39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3'!$G$18:$G$39</c:f>
              <c:numCache>
                <c:formatCode>#\ ##0.0</c:formatCode>
                <c:ptCount val="22"/>
                <c:pt idx="0">
                  <c:v>0.57512775567585606</c:v>
                </c:pt>
                <c:pt idx="1">
                  <c:v>0.4817190165773777</c:v>
                </c:pt>
                <c:pt idx="2">
                  <c:v>0.76091094174649998</c:v>
                </c:pt>
                <c:pt idx="3">
                  <c:v>0.17096756690074219</c:v>
                </c:pt>
                <c:pt idx="4">
                  <c:v>0.59615671823006411</c:v>
                </c:pt>
                <c:pt idx="5">
                  <c:v>-8.4731040096779439E-2</c:v>
                </c:pt>
                <c:pt idx="6">
                  <c:v>0.22983978431866303</c:v>
                </c:pt>
                <c:pt idx="7">
                  <c:v>0.11167423587798433</c:v>
                </c:pt>
                <c:pt idx="8">
                  <c:v>9.4351221814449521E-2</c:v>
                </c:pt>
                <c:pt idx="9">
                  <c:v>0.40404018591700336</c:v>
                </c:pt>
                <c:pt idx="10">
                  <c:v>0.19262671310157786</c:v>
                </c:pt>
                <c:pt idx="11">
                  <c:v>0.32325650926501154</c:v>
                </c:pt>
                <c:pt idx="12">
                  <c:v>-0.76968968658976133</c:v>
                </c:pt>
                <c:pt idx="13">
                  <c:v>-0.13004039873506257</c:v>
                </c:pt>
                <c:pt idx="14">
                  <c:v>-0.3146999491756089</c:v>
                </c:pt>
                <c:pt idx="15">
                  <c:v>-0.16734511323324033</c:v>
                </c:pt>
                <c:pt idx="16">
                  <c:v>0.68507477777387193</c:v>
                </c:pt>
                <c:pt idx="17">
                  <c:v>0.16970587959768244</c:v>
                </c:pt>
                <c:pt idx="18">
                  <c:v>0.42825752813640633</c:v>
                </c:pt>
                <c:pt idx="19">
                  <c:v>0.40258782266780163</c:v>
                </c:pt>
                <c:pt idx="20">
                  <c:v>0.42862490167304917</c:v>
                </c:pt>
                <c:pt idx="21">
                  <c:v>0.41766453537062265</c:v>
                </c:pt>
              </c:numCache>
            </c:numRef>
          </c:val>
          <c:extLst>
            <c:ext xmlns:c16="http://schemas.microsoft.com/office/drawing/2014/chart" uri="{C3380CC4-5D6E-409C-BE32-E72D297353CC}">
              <c16:uniqueId val="{00000002-516A-458A-81EC-EE9A6F01748A}"/>
            </c:ext>
          </c:extLst>
        </c:ser>
        <c:ser>
          <c:idx val="5"/>
          <c:order val="4"/>
          <c:tx>
            <c:strRef>
              <c:f>'souhrnná výkonnost 3'!$D$5</c:f>
              <c:strCache>
                <c:ptCount val="1"/>
                <c:pt idx="0">
                  <c:v>Final consumption expenditure of households (inc. non-profit inst.)</c:v>
                </c:pt>
              </c:strCache>
            </c:strRef>
          </c:tx>
          <c:spPr>
            <a:solidFill>
              <a:srgbClr val="009CB5"/>
            </a:solidFill>
            <a:ln>
              <a:noFill/>
            </a:ln>
          </c:spPr>
          <c:invertIfNegative val="0"/>
          <c:cat>
            <c:multiLvlStrRef>
              <c:f>'souhrnná výkonnost 3'!$A$18:$B$39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3'!$D$18:$D$39</c:f>
              <c:numCache>
                <c:formatCode>#\ ##0.0</c:formatCode>
                <c:ptCount val="22"/>
                <c:pt idx="0">
                  <c:v>0.59367883203516825</c:v>
                </c:pt>
                <c:pt idx="1">
                  <c:v>2.8540577195452901</c:v>
                </c:pt>
                <c:pt idx="2">
                  <c:v>0.69899115314300364</c:v>
                </c:pt>
                <c:pt idx="3">
                  <c:v>-0.33115993559977402</c:v>
                </c:pt>
                <c:pt idx="4">
                  <c:v>0.11335665498909482</c:v>
                </c:pt>
                <c:pt idx="5">
                  <c:v>-0.26852017086466601</c:v>
                </c:pt>
                <c:pt idx="6">
                  <c:v>-0.82682588617400865</c:v>
                </c:pt>
                <c:pt idx="7">
                  <c:v>-1.1227844164807612</c:v>
                </c:pt>
                <c:pt idx="8">
                  <c:v>-0.33643210303489929</c:v>
                </c:pt>
                <c:pt idx="9">
                  <c:v>0.59167689443727067</c:v>
                </c:pt>
                <c:pt idx="10">
                  <c:v>-0.26478594755725626</c:v>
                </c:pt>
                <c:pt idx="11">
                  <c:v>0.26745135339500464</c:v>
                </c:pt>
                <c:pt idx="12">
                  <c:v>0.8284391474389422</c:v>
                </c:pt>
                <c:pt idx="13">
                  <c:v>-0.24950839388697255</c:v>
                </c:pt>
                <c:pt idx="14">
                  <c:v>0.35503202784406535</c:v>
                </c:pt>
                <c:pt idx="15">
                  <c:v>0.33574916520873399</c:v>
                </c:pt>
                <c:pt idx="16">
                  <c:v>3.2179231663109827E-2</c:v>
                </c:pt>
                <c:pt idx="17">
                  <c:v>0.42414614114302979</c:v>
                </c:pt>
                <c:pt idx="18">
                  <c:v>0.23687845360611126</c:v>
                </c:pt>
                <c:pt idx="19">
                  <c:v>0.47639542925898271</c:v>
                </c:pt>
                <c:pt idx="20">
                  <c:v>0.15113023045996615</c:v>
                </c:pt>
                <c:pt idx="21">
                  <c:v>0.2526653407638349</c:v>
                </c:pt>
              </c:numCache>
            </c:numRef>
          </c:val>
          <c:extLst>
            <c:ext xmlns:c16="http://schemas.microsoft.com/office/drawing/2014/chart" uri="{C3380CC4-5D6E-409C-BE32-E72D297353CC}">
              <c16:uniqueId val="{00000003-516A-458A-81EC-EE9A6F01748A}"/>
            </c:ext>
          </c:extLst>
        </c:ser>
        <c:ser>
          <c:idx val="4"/>
          <c:order val="5"/>
          <c:tx>
            <c:strRef>
              <c:f>'souhrnná výkonnost 3'!$E$5</c:f>
              <c:strCache>
                <c:ptCount val="1"/>
                <c:pt idx="0">
                  <c:v>Final consumption expenditure of government institutions</c:v>
                </c:pt>
              </c:strCache>
            </c:strRef>
          </c:tx>
          <c:spPr>
            <a:solidFill>
              <a:srgbClr val="9FC9D7"/>
            </a:solidFill>
            <a:ln>
              <a:noFill/>
            </a:ln>
          </c:spPr>
          <c:invertIfNegative val="0"/>
          <c:cat>
            <c:multiLvlStrRef>
              <c:f>'souhrnná výkonnost 3'!$A$18:$B$39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3'!$E$18:$E$39</c:f>
              <c:numCache>
                <c:formatCode>#\ ##0.0</c:formatCode>
                <c:ptCount val="22"/>
                <c:pt idx="0">
                  <c:v>-0.92875095384869155</c:v>
                </c:pt>
                <c:pt idx="1">
                  <c:v>-2.9787360236476428E-2</c:v>
                </c:pt>
                <c:pt idx="2">
                  <c:v>0.80775044990006306</c:v>
                </c:pt>
                <c:pt idx="3">
                  <c:v>0.15816803848621536</c:v>
                </c:pt>
                <c:pt idx="4">
                  <c:v>-0.55971693206488571</c:v>
                </c:pt>
                <c:pt idx="5">
                  <c:v>0.12731563941259708</c:v>
                </c:pt>
                <c:pt idx="6">
                  <c:v>-4.7188199945732347E-2</c:v>
                </c:pt>
                <c:pt idx="7">
                  <c:v>0.20946156961033643</c:v>
                </c:pt>
                <c:pt idx="8">
                  <c:v>0.29278143423784864</c:v>
                </c:pt>
                <c:pt idx="9">
                  <c:v>-2.0320691458915133E-2</c:v>
                </c:pt>
                <c:pt idx="10">
                  <c:v>0.13263607190554347</c:v>
                </c:pt>
                <c:pt idx="11">
                  <c:v>0.22319251770780366</c:v>
                </c:pt>
                <c:pt idx="12">
                  <c:v>8.9996058469672388E-2</c:v>
                </c:pt>
                <c:pt idx="13">
                  <c:v>0.1392190059853684</c:v>
                </c:pt>
                <c:pt idx="14">
                  <c:v>5.579128676255779E-2</c:v>
                </c:pt>
                <c:pt idx="15">
                  <c:v>0.12746134722536551</c:v>
                </c:pt>
                <c:pt idx="16">
                  <c:v>0.10843878809630265</c:v>
                </c:pt>
                <c:pt idx="17">
                  <c:v>0.11118221212668528</c:v>
                </c:pt>
                <c:pt idx="18">
                  <c:v>0.14583067599553443</c:v>
                </c:pt>
                <c:pt idx="19">
                  <c:v>-9.1340841717672174E-3</c:v>
                </c:pt>
                <c:pt idx="20">
                  <c:v>1.3229649501889318E-2</c:v>
                </c:pt>
                <c:pt idx="21">
                  <c:v>2.9115298987551885E-2</c:v>
                </c:pt>
              </c:numCache>
            </c:numRef>
          </c:val>
          <c:extLst>
            <c:ext xmlns:c16="http://schemas.microsoft.com/office/drawing/2014/chart" uri="{C3380CC4-5D6E-409C-BE32-E72D297353CC}">
              <c16:uniqueId val="{00000004-516A-458A-81EC-EE9A6F01748A}"/>
            </c:ext>
          </c:extLst>
        </c:ser>
        <c:dLbls>
          <c:showLegendKey val="0"/>
          <c:showVal val="0"/>
          <c:showCatName val="0"/>
          <c:showSerName val="0"/>
          <c:showPercent val="0"/>
          <c:showBubbleSize val="0"/>
        </c:dLbls>
        <c:gapWidth val="90"/>
        <c:overlap val="100"/>
        <c:axId val="115206784"/>
        <c:axId val="115286400"/>
      </c:barChart>
      <c:lineChart>
        <c:grouping val="standard"/>
        <c:varyColors val="0"/>
        <c:ser>
          <c:idx val="0"/>
          <c:order val="3"/>
          <c:tx>
            <c:strRef>
              <c:f>'souhrnná výkonnost 3'!$C$5</c:f>
              <c:strCache>
                <c:ptCount val="1"/>
                <c:pt idx="0">
                  <c:v>GDP</c:v>
                </c:pt>
              </c:strCache>
            </c:strRef>
          </c:tx>
          <c:spPr>
            <a:ln>
              <a:solidFill>
                <a:prstClr val="black"/>
              </a:solidFill>
            </a:ln>
          </c:spPr>
          <c:marker>
            <c:symbol val="none"/>
          </c:marker>
          <c:cat>
            <c:multiLvlStrRef>
              <c:f>'souhrnná výkonnost 3'!$A$18:$B$39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3'!$C$18:$C$39</c:f>
              <c:numCache>
                <c:formatCode>#\ ##0.0</c:formatCode>
                <c:ptCount val="22"/>
                <c:pt idx="0">
                  <c:v>2.9256757030054814E-2</c:v>
                </c:pt>
                <c:pt idx="1">
                  <c:v>1.4365987982629065</c:v>
                </c:pt>
                <c:pt idx="2">
                  <c:v>1.7350211172300334</c:v>
                </c:pt>
                <c:pt idx="3">
                  <c:v>0.61863116182236411</c:v>
                </c:pt>
                <c:pt idx="4">
                  <c:v>0.94875441098109548</c:v>
                </c:pt>
                <c:pt idx="5">
                  <c:v>0.30648557421844203</c:v>
                </c:pt>
                <c:pt idx="6">
                  <c:v>0.13614145379075637</c:v>
                </c:pt>
                <c:pt idx="7">
                  <c:v>-0.38584978486377963</c:v>
                </c:pt>
                <c:pt idx="8">
                  <c:v>0.18557572813413969</c:v>
                </c:pt>
                <c:pt idx="9">
                  <c:v>0.39906973522346334</c:v>
                </c:pt>
                <c:pt idx="10">
                  <c:v>-0.41332662130082554</c:v>
                </c:pt>
                <c:pt idx="11">
                  <c:v>0.28629565623481312</c:v>
                </c:pt>
                <c:pt idx="12">
                  <c:v>0.31752509529270867</c:v>
                </c:pt>
                <c:pt idx="13">
                  <c:v>0.28457474789659898</c:v>
                </c:pt>
                <c:pt idx="14">
                  <c:v>0.65495991780097995</c:v>
                </c:pt>
                <c:pt idx="15">
                  <c:v>0.71449823096783405</c:v>
                </c:pt>
                <c:pt idx="16">
                  <c:v>0.79121664847778561</c:v>
                </c:pt>
                <c:pt idx="17">
                  <c:v>0.57697752637686506</c:v>
                </c:pt>
                <c:pt idx="18">
                  <c:v>0.69505842784639071</c:v>
                </c:pt>
                <c:pt idx="19">
                  <c:v>0.70408558888750861</c:v>
                </c:pt>
                <c:pt idx="20">
                  <c:v>0.17584321765021116</c:v>
                </c:pt>
                <c:pt idx="21">
                  <c:v>0.35795161775615725</c:v>
                </c:pt>
              </c:numCache>
            </c:numRef>
          </c:val>
          <c:smooth val="0"/>
          <c:extLst>
            <c:ext xmlns:c16="http://schemas.microsoft.com/office/drawing/2014/chart" uri="{C3380CC4-5D6E-409C-BE32-E72D297353CC}">
              <c16:uniqueId val="{00000005-516A-458A-81EC-EE9A6F01748A}"/>
            </c:ext>
          </c:extLst>
        </c:ser>
        <c:dLbls>
          <c:showLegendKey val="0"/>
          <c:showVal val="0"/>
          <c:showCatName val="0"/>
          <c:showSerName val="0"/>
          <c:showPercent val="0"/>
          <c:showBubbleSize val="0"/>
        </c:dLbls>
        <c:marker val="1"/>
        <c:smooth val="0"/>
        <c:axId val="115206784"/>
        <c:axId val="115286400"/>
      </c:lineChart>
      <c:catAx>
        <c:axId val="115206784"/>
        <c:scaling>
          <c:orientation val="minMax"/>
        </c:scaling>
        <c:delete val="0"/>
        <c:axPos val="b"/>
        <c:numFmt formatCode="General" sourceLinked="1"/>
        <c:majorTickMark val="out"/>
        <c:minorTickMark val="none"/>
        <c:tickLblPos val="low"/>
        <c:spPr>
          <a:ln>
            <a:solidFill>
              <a:schemeClr val="tx1"/>
            </a:solidFill>
          </a:ln>
        </c:spPr>
        <c:txPr>
          <a:bodyPr rot="0" vert="horz"/>
          <a:lstStyle/>
          <a:p>
            <a:pPr>
              <a:defRPr/>
            </a:pPr>
            <a:endParaRPr lang="cs-CZ"/>
          </a:p>
        </c:txPr>
        <c:crossAx val="115286400"/>
        <c:crosses val="autoZero"/>
        <c:auto val="1"/>
        <c:lblAlgn val="ctr"/>
        <c:lblOffset val="100"/>
        <c:noMultiLvlLbl val="0"/>
      </c:catAx>
      <c:valAx>
        <c:axId val="115286400"/>
        <c:scaling>
          <c:orientation val="minMax"/>
        </c:scaling>
        <c:delete val="0"/>
        <c:axPos val="l"/>
        <c:majorGridlines>
          <c:spPr>
            <a:ln w="6350">
              <a:solidFill>
                <a:schemeClr val="bg1">
                  <a:lumMod val="75000"/>
                </a:schemeClr>
              </a:solidFill>
            </a:ln>
          </c:spPr>
        </c:majorGridlines>
        <c:numFmt formatCode="#,##0" sourceLinked="0"/>
        <c:majorTickMark val="out"/>
        <c:minorTickMark val="none"/>
        <c:tickLblPos val="nextTo"/>
        <c:spPr>
          <a:ln>
            <a:solidFill>
              <a:schemeClr val="tx1"/>
            </a:solidFill>
          </a:ln>
        </c:spPr>
        <c:crossAx val="115206784"/>
        <c:crosses val="autoZero"/>
        <c:crossBetween val="between"/>
      </c:valAx>
      <c:spPr>
        <a:ln>
          <a:solidFill>
            <a:schemeClr val="tx1"/>
          </a:solidFill>
        </a:ln>
      </c:spPr>
    </c:plotArea>
    <c:legend>
      <c:legendPos val="b"/>
      <c:layout>
        <c:manualLayout>
          <c:xMode val="edge"/>
          <c:yMode val="edge"/>
          <c:x val="4.4890533261655555E-2"/>
          <c:y val="0.79320564268309435"/>
          <c:w val="0.93417449324858493"/>
          <c:h val="0.18842888440597819"/>
        </c:manualLayout>
      </c:layout>
      <c:overlay val="0"/>
      <c:spPr>
        <a:ln w="6350">
          <a:solidFill>
            <a:schemeClr val="tx1"/>
          </a:solidFill>
        </a:ln>
      </c:spPr>
    </c:legend>
    <c:plotVisOnly val="1"/>
    <c:dispBlanksAs val="gap"/>
    <c:showDLblsOverMax val="0"/>
  </c:chart>
  <c:spPr>
    <a:ln>
      <a:noFill/>
    </a:ln>
  </c:spPr>
  <c:txPr>
    <a:bodyPr/>
    <a:lstStyle/>
    <a:p>
      <a:pPr>
        <a:defRPr sz="800" baseline="0">
          <a:latin typeface="Arial" pitchFamily="34" charset="0"/>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'HDP EU'!$C$3</c:f>
              <c:strCache>
                <c:ptCount val="1"/>
                <c:pt idx="0">
                  <c:v>Quarter-on-quarter</c:v>
                </c:pt>
              </c:strCache>
            </c:strRef>
          </c:tx>
          <c:spPr>
            <a:solidFill>
              <a:srgbClr val="009CB5"/>
            </a:solidFill>
            <a:ln>
              <a:noFill/>
            </a:ln>
            <a:effectLst/>
          </c:spPr>
          <c:invertIfNegative val="0"/>
          <c:dPt>
            <c:idx val="28"/>
            <c:invertIfNegative val="0"/>
            <c:bubble3D val="0"/>
            <c:spPr>
              <a:solidFill>
                <a:srgbClr val="009CB5"/>
              </a:solidFill>
              <a:ln>
                <a:noFill/>
              </a:ln>
              <a:effectLst/>
            </c:spPr>
            <c:extLst>
              <c:ext xmlns:c16="http://schemas.microsoft.com/office/drawing/2014/chart" uri="{C3380CC4-5D6E-409C-BE32-E72D297353CC}">
                <c16:uniqueId val="{00000001-5C46-4292-AF33-603A213F18CE}"/>
              </c:ext>
            </c:extLst>
          </c:dPt>
          <c:cat>
            <c:strRef>
              <c:f>'HDP EU'!$B$4:$B$31</c:f>
              <c:strCache>
                <c:ptCount val="28"/>
                <c:pt idx="0">
                  <c:v>EU</c:v>
                </c:pt>
                <c:pt idx="1">
                  <c:v>CZ</c:v>
                </c:pt>
                <c:pt idx="3">
                  <c:v>MT</c:v>
                </c:pt>
                <c:pt idx="4">
                  <c:v>SI</c:v>
                </c:pt>
                <c:pt idx="5">
                  <c:v>DK</c:v>
                </c:pt>
                <c:pt idx="6">
                  <c:v>LT</c:v>
                </c:pt>
                <c:pt idx="7">
                  <c:v>PL</c:v>
                </c:pt>
                <c:pt idx="8">
                  <c:v>CY</c:v>
                </c:pt>
                <c:pt idx="9">
                  <c:v>SE</c:v>
                </c:pt>
                <c:pt idx="10">
                  <c:v>LV</c:v>
                </c:pt>
                <c:pt idx="11">
                  <c:v>BG</c:v>
                </c:pt>
                <c:pt idx="12">
                  <c:v>ES</c:v>
                </c:pt>
                <c:pt idx="13">
                  <c:v>PT</c:v>
                </c:pt>
                <c:pt idx="14">
                  <c:v>GR</c:v>
                </c:pt>
                <c:pt idx="15">
                  <c:v>EE</c:v>
                </c:pt>
                <c:pt idx="16">
                  <c:v>HR</c:v>
                </c:pt>
                <c:pt idx="17">
                  <c:v>HU</c:v>
                </c:pt>
                <c:pt idx="18">
                  <c:v>FI</c:v>
                </c:pt>
                <c:pt idx="19">
                  <c:v>NL</c:v>
                </c:pt>
                <c:pt idx="20">
                  <c:v>DE</c:v>
                </c:pt>
                <c:pt idx="21">
                  <c:v>IT</c:v>
                </c:pt>
                <c:pt idx="22">
                  <c:v>SK</c:v>
                </c:pt>
                <c:pt idx="23">
                  <c:v>BE</c:v>
                </c:pt>
                <c:pt idx="24">
                  <c:v>FR</c:v>
                </c:pt>
                <c:pt idx="25">
                  <c:v>AT</c:v>
                </c:pt>
                <c:pt idx="26">
                  <c:v>IE</c:v>
                </c:pt>
                <c:pt idx="27">
                  <c:v>RO</c:v>
                </c:pt>
              </c:strCache>
            </c:strRef>
          </c:cat>
          <c:val>
            <c:numRef>
              <c:f>'HDP EU'!$C$4:$C$31</c:f>
              <c:numCache>
                <c:formatCode>#\ ##0.##########</c:formatCode>
                <c:ptCount val="28"/>
                <c:pt idx="0">
                  <c:v>0.7</c:v>
                </c:pt>
                <c:pt idx="1">
                  <c:v>0.4</c:v>
                </c:pt>
                <c:pt idx="3">
                  <c:v>1.1000000000000001</c:v>
                </c:pt>
                <c:pt idx="4">
                  <c:v>1.8</c:v>
                </c:pt>
                <c:pt idx="5">
                  <c:v>0.3</c:v>
                </c:pt>
                <c:pt idx="6">
                  <c:v>1.7</c:v>
                </c:pt>
                <c:pt idx="7" formatCode="#\ ##0.0">
                  <c:v>1</c:v>
                </c:pt>
                <c:pt idx="8">
                  <c:v>0.8</c:v>
                </c:pt>
                <c:pt idx="9">
                  <c:v>1.6</c:v>
                </c:pt>
                <c:pt idx="10">
                  <c:v>0.7</c:v>
                </c:pt>
                <c:pt idx="11">
                  <c:v>0.7</c:v>
                </c:pt>
                <c:pt idx="12">
                  <c:v>0.7</c:v>
                </c:pt>
                <c:pt idx="13">
                  <c:v>0.8</c:v>
                </c:pt>
                <c:pt idx="14">
                  <c:v>0.3</c:v>
                </c:pt>
                <c:pt idx="15">
                  <c:v>0.3</c:v>
                </c:pt>
                <c:pt idx="16">
                  <c:v>0.4</c:v>
                </c:pt>
                <c:pt idx="17">
                  <c:v>0.5</c:v>
                </c:pt>
                <c:pt idx="18">
                  <c:v>0.4</c:v>
                </c:pt>
                <c:pt idx="19">
                  <c:v>0.4</c:v>
                </c:pt>
                <c:pt idx="20">
                  <c:v>0.3</c:v>
                </c:pt>
                <c:pt idx="21">
                  <c:v>0.2</c:v>
                </c:pt>
                <c:pt idx="22">
                  <c:v>0.2</c:v>
                </c:pt>
                <c:pt idx="23" formatCode="#\ ##0.0">
                  <c:v>0</c:v>
                </c:pt>
                <c:pt idx="24" formatCode="#\ ##0.0">
                  <c:v>0</c:v>
                </c:pt>
                <c:pt idx="25">
                  <c:v>-0.1</c:v>
                </c:pt>
                <c:pt idx="26">
                  <c:v>10.199999999999999</c:v>
                </c:pt>
                <c:pt idx="27" formatCode="#\ ##0.0">
                  <c:v>0</c:v>
                </c:pt>
              </c:numCache>
            </c:numRef>
          </c:val>
          <c:extLst>
            <c:ext xmlns:c16="http://schemas.microsoft.com/office/drawing/2014/chart" uri="{C3380CC4-5D6E-409C-BE32-E72D297353CC}">
              <c16:uniqueId val="{00000002-5C46-4292-AF33-603A213F18CE}"/>
            </c:ext>
          </c:extLst>
        </c:ser>
        <c:ser>
          <c:idx val="1"/>
          <c:order val="1"/>
          <c:tx>
            <c:strRef>
              <c:f>'HDP EU'!$D$3</c:f>
              <c:strCache>
                <c:ptCount val="1"/>
                <c:pt idx="0">
                  <c:v>Year-on-year</c:v>
                </c:pt>
              </c:strCache>
            </c:strRef>
          </c:tx>
          <c:spPr>
            <a:solidFill>
              <a:srgbClr val="BC5B80"/>
            </a:solidFill>
            <a:ln>
              <a:noFill/>
            </a:ln>
            <a:effectLst/>
          </c:spPr>
          <c:invertIfNegative val="0"/>
          <c:cat>
            <c:strRef>
              <c:f>'HDP EU'!$B$4:$B$31</c:f>
              <c:strCache>
                <c:ptCount val="28"/>
                <c:pt idx="0">
                  <c:v>EU</c:v>
                </c:pt>
                <c:pt idx="1">
                  <c:v>CZ</c:v>
                </c:pt>
                <c:pt idx="3">
                  <c:v>MT</c:v>
                </c:pt>
                <c:pt idx="4">
                  <c:v>SI</c:v>
                </c:pt>
                <c:pt idx="5">
                  <c:v>DK</c:v>
                </c:pt>
                <c:pt idx="6">
                  <c:v>LT</c:v>
                </c:pt>
                <c:pt idx="7">
                  <c:v>PL</c:v>
                </c:pt>
                <c:pt idx="8">
                  <c:v>CY</c:v>
                </c:pt>
                <c:pt idx="9">
                  <c:v>SE</c:v>
                </c:pt>
                <c:pt idx="10">
                  <c:v>LV</c:v>
                </c:pt>
                <c:pt idx="11">
                  <c:v>BG</c:v>
                </c:pt>
                <c:pt idx="12">
                  <c:v>ES</c:v>
                </c:pt>
                <c:pt idx="13">
                  <c:v>PT</c:v>
                </c:pt>
                <c:pt idx="14">
                  <c:v>GR</c:v>
                </c:pt>
                <c:pt idx="15">
                  <c:v>EE</c:v>
                </c:pt>
                <c:pt idx="16">
                  <c:v>HR</c:v>
                </c:pt>
                <c:pt idx="17">
                  <c:v>HU</c:v>
                </c:pt>
                <c:pt idx="18">
                  <c:v>FI</c:v>
                </c:pt>
                <c:pt idx="19">
                  <c:v>NL</c:v>
                </c:pt>
                <c:pt idx="20">
                  <c:v>DE</c:v>
                </c:pt>
                <c:pt idx="21">
                  <c:v>IT</c:v>
                </c:pt>
                <c:pt idx="22">
                  <c:v>SK</c:v>
                </c:pt>
                <c:pt idx="23">
                  <c:v>BE</c:v>
                </c:pt>
                <c:pt idx="24">
                  <c:v>FR</c:v>
                </c:pt>
                <c:pt idx="25">
                  <c:v>AT</c:v>
                </c:pt>
                <c:pt idx="26">
                  <c:v>IE</c:v>
                </c:pt>
                <c:pt idx="27">
                  <c:v>RO</c:v>
                </c:pt>
              </c:strCache>
            </c:strRef>
          </c:cat>
          <c:val>
            <c:numRef>
              <c:f>'HDP EU'!$D$4:$D$31</c:f>
              <c:numCache>
                <c:formatCode>#\ ##0.##########</c:formatCode>
                <c:ptCount val="28"/>
                <c:pt idx="0">
                  <c:v>1.4</c:v>
                </c:pt>
                <c:pt idx="1">
                  <c:v>1.9</c:v>
                </c:pt>
                <c:pt idx="3" formatCode="#\ ##0.0">
                  <c:v>5</c:v>
                </c:pt>
                <c:pt idx="4">
                  <c:v>4.8</c:v>
                </c:pt>
                <c:pt idx="5">
                  <c:v>4.5999999999999996</c:v>
                </c:pt>
                <c:pt idx="6">
                  <c:v>3.8</c:v>
                </c:pt>
                <c:pt idx="7">
                  <c:v>3.8</c:v>
                </c:pt>
                <c:pt idx="8">
                  <c:v>3.3</c:v>
                </c:pt>
                <c:pt idx="9">
                  <c:v>3.2</c:v>
                </c:pt>
                <c:pt idx="10" formatCode="#\ ##0.0">
                  <c:v>3</c:v>
                </c:pt>
                <c:pt idx="11">
                  <c:v>2.8</c:v>
                </c:pt>
                <c:pt idx="12">
                  <c:v>2.7</c:v>
                </c:pt>
                <c:pt idx="13">
                  <c:v>2.5</c:v>
                </c:pt>
                <c:pt idx="14">
                  <c:v>1.9</c:v>
                </c:pt>
                <c:pt idx="15">
                  <c:v>1.8</c:v>
                </c:pt>
                <c:pt idx="16">
                  <c:v>1.7</c:v>
                </c:pt>
                <c:pt idx="17">
                  <c:v>1.7</c:v>
                </c:pt>
                <c:pt idx="18">
                  <c:v>1.6</c:v>
                </c:pt>
                <c:pt idx="19">
                  <c:v>1.5</c:v>
                </c:pt>
                <c:pt idx="20" formatCode="#\ ##0.0">
                  <c:v>1</c:v>
                </c:pt>
                <c:pt idx="21" formatCode="#\ ##0.0">
                  <c:v>1</c:v>
                </c:pt>
                <c:pt idx="22">
                  <c:v>0.9</c:v>
                </c:pt>
                <c:pt idx="23">
                  <c:v>0.5</c:v>
                </c:pt>
                <c:pt idx="24">
                  <c:v>0.5</c:v>
                </c:pt>
                <c:pt idx="25">
                  <c:v>0.4</c:v>
                </c:pt>
                <c:pt idx="26">
                  <c:v>-0.4</c:v>
                </c:pt>
                <c:pt idx="27" formatCode="#\ ##0.0">
                  <c:v>-2</c:v>
                </c:pt>
              </c:numCache>
            </c:numRef>
          </c:val>
          <c:extLst>
            <c:ext xmlns:c16="http://schemas.microsoft.com/office/drawing/2014/chart" uri="{C3380CC4-5D6E-409C-BE32-E72D297353CC}">
              <c16:uniqueId val="{00000003-5C46-4292-AF33-603A213F18CE}"/>
            </c:ext>
          </c:extLst>
        </c:ser>
        <c:dLbls>
          <c:showLegendKey val="0"/>
          <c:showVal val="0"/>
          <c:showCatName val="0"/>
          <c:showSerName val="0"/>
          <c:showPercent val="0"/>
          <c:showBubbleSize val="0"/>
        </c:dLbls>
        <c:gapWidth val="89"/>
        <c:overlap val="-27"/>
        <c:axId val="879411855"/>
        <c:axId val="588021199"/>
      </c:barChart>
      <c:catAx>
        <c:axId val="879411855"/>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crossAx val="588021199"/>
        <c:crosses val="autoZero"/>
        <c:auto val="1"/>
        <c:lblAlgn val="ctr"/>
        <c:lblOffset val="100"/>
        <c:noMultiLvlLbl val="0"/>
      </c:catAx>
      <c:valAx>
        <c:axId val="58802119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crossAx val="879411855"/>
        <c:crosses val="autoZero"/>
        <c:crossBetween val="between"/>
      </c:valAx>
      <c:spPr>
        <a:noFill/>
        <a:ln>
          <a:solidFill>
            <a:schemeClr val="tx1"/>
          </a:solidFill>
        </a:ln>
        <a:effectLst/>
      </c:spPr>
    </c:plotArea>
    <c:legend>
      <c:legendPos val="b"/>
      <c:layout>
        <c:manualLayout>
          <c:xMode val="edge"/>
          <c:yMode val="edge"/>
          <c:x val="5.1237546437014517E-2"/>
          <c:y val="0.90194851851851854"/>
          <c:w val="0.91897015366430279"/>
          <c:h val="6.9829259259259258E-2"/>
        </c:manualLayout>
      </c:layout>
      <c:overlay val="0"/>
      <c:spPr>
        <a:no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baseline="0">
          <a:solidFill>
            <a:sysClr val="windowText" lastClr="000000"/>
          </a:solidFill>
          <a:latin typeface="Arial" panose="020B0604020202020204" pitchFamily="34" charset="0"/>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836457277946645E-2"/>
          <c:y val="3.9316672295395698E-2"/>
          <c:w val="0.89767603850050659"/>
          <c:h val="0.62669734323989645"/>
        </c:manualLayout>
      </c:layout>
      <c:barChart>
        <c:barDir val="col"/>
        <c:grouping val="stacked"/>
        <c:varyColors val="0"/>
        <c:ser>
          <c:idx val="5"/>
          <c:order val="0"/>
          <c:tx>
            <c:strRef>
              <c:f>investice!$H$4</c:f>
              <c:strCache>
                <c:ptCount val="1"/>
                <c:pt idx="0">
                  <c:v>Cultivated biological resources</c:v>
                </c:pt>
              </c:strCache>
            </c:strRef>
          </c:tx>
          <c:spPr>
            <a:solidFill>
              <a:srgbClr val="86BF5E"/>
            </a:solidFill>
            <a:ln>
              <a:noFill/>
            </a:ln>
            <a:effectLst/>
          </c:spPr>
          <c:invertIfNegative val="0"/>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investice!$H$5:$H$26</c:f>
              <c:numCache>
                <c:formatCode>0.0</c:formatCode>
                <c:ptCount val="22"/>
                <c:pt idx="0">
                  <c:v>3.0738538301111971E-2</c:v>
                </c:pt>
                <c:pt idx="1">
                  <c:v>-3.2588274859741119E-2</c:v>
                </c:pt>
                <c:pt idx="2">
                  <c:v>2.3666265410798637E-2</c:v>
                </c:pt>
                <c:pt idx="3">
                  <c:v>-2.7370117131170539E-2</c:v>
                </c:pt>
                <c:pt idx="4">
                  <c:v>6.2812038273908272E-2</c:v>
                </c:pt>
                <c:pt idx="5">
                  <c:v>-7.2101621392254622E-2</c:v>
                </c:pt>
                <c:pt idx="6">
                  <c:v>5.5358903631902143E-2</c:v>
                </c:pt>
                <c:pt idx="7">
                  <c:v>-6.5931180157547176E-2</c:v>
                </c:pt>
                <c:pt idx="8">
                  <c:v>-8.9204503858158507E-2</c:v>
                </c:pt>
                <c:pt idx="9">
                  <c:v>1.2988487575960894E-2</c:v>
                </c:pt>
                <c:pt idx="10">
                  <c:v>-3.6292215592629198E-2</c:v>
                </c:pt>
                <c:pt idx="11">
                  <c:v>8.3790062665832069E-2</c:v>
                </c:pt>
                <c:pt idx="12">
                  <c:v>-2.338570151249213E-2</c:v>
                </c:pt>
                <c:pt idx="13">
                  <c:v>1.8808328856882668E-2</c:v>
                </c:pt>
                <c:pt idx="14">
                  <c:v>-2.5065309301931134E-2</c:v>
                </c:pt>
                <c:pt idx="15">
                  <c:v>6.174304115924991E-2</c:v>
                </c:pt>
                <c:pt idx="16">
                  <c:v>-5.0156568662491595E-2</c:v>
                </c:pt>
                <c:pt idx="17">
                  <c:v>3.1297615632434196E-2</c:v>
                </c:pt>
                <c:pt idx="18">
                  <c:v>-3.0833757901778867E-2</c:v>
                </c:pt>
                <c:pt idx="19">
                  <c:v>-2.8820989809435586E-2</c:v>
                </c:pt>
                <c:pt idx="20">
                  <c:v>4.6243030540614724E-2</c:v>
                </c:pt>
                <c:pt idx="21">
                  <c:v>0.1321260276374068</c:v>
                </c:pt>
              </c:numCache>
            </c:numRef>
          </c:val>
          <c:extLst>
            <c:ext xmlns:c16="http://schemas.microsoft.com/office/drawing/2014/chart" uri="{C3380CC4-5D6E-409C-BE32-E72D297353CC}">
              <c16:uniqueId val="{00000000-2558-4442-B648-C06ADAE24A12}"/>
            </c:ext>
          </c:extLst>
        </c:ser>
        <c:ser>
          <c:idx val="3"/>
          <c:order val="2"/>
          <c:tx>
            <c:strRef>
              <c:f>investice!$F$4</c:f>
              <c:strCache>
                <c:ptCount val="1"/>
                <c:pt idx="0">
                  <c:v>Transport equipment</c:v>
                </c:pt>
              </c:strCache>
            </c:strRef>
          </c:tx>
          <c:spPr>
            <a:solidFill>
              <a:srgbClr val="174F70"/>
            </a:solidFill>
            <a:ln>
              <a:noFill/>
            </a:ln>
            <a:effectLst/>
          </c:spPr>
          <c:invertIfNegative val="0"/>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investice!$F$5:$F$26</c:f>
              <c:numCache>
                <c:formatCode>0.0</c:formatCode>
                <c:ptCount val="22"/>
                <c:pt idx="0">
                  <c:v>0.77609299860059067</c:v>
                </c:pt>
                <c:pt idx="1">
                  <c:v>0.56446383547894274</c:v>
                </c:pt>
                <c:pt idx="2">
                  <c:v>0.37311608531634627</c:v>
                </c:pt>
                <c:pt idx="3">
                  <c:v>0.51119654689773886</c:v>
                </c:pt>
                <c:pt idx="4">
                  <c:v>-0.19167104503118937</c:v>
                </c:pt>
                <c:pt idx="5">
                  <c:v>-0.11103691265491474</c:v>
                </c:pt>
                <c:pt idx="6">
                  <c:v>0.45333123567521166</c:v>
                </c:pt>
                <c:pt idx="7">
                  <c:v>-0.22224034181840396</c:v>
                </c:pt>
                <c:pt idx="8">
                  <c:v>0.82607867560831527</c:v>
                </c:pt>
                <c:pt idx="9">
                  <c:v>0.75961577603220709</c:v>
                </c:pt>
                <c:pt idx="10">
                  <c:v>-0.15675858772258128</c:v>
                </c:pt>
                <c:pt idx="11">
                  <c:v>0.50030620918446667</c:v>
                </c:pt>
                <c:pt idx="12">
                  <c:v>-0.17553544828982826</c:v>
                </c:pt>
                <c:pt idx="13">
                  <c:v>-0.36959996978171888</c:v>
                </c:pt>
                <c:pt idx="14">
                  <c:v>0.25757953269403411</c:v>
                </c:pt>
                <c:pt idx="15">
                  <c:v>-0.25631880901370541</c:v>
                </c:pt>
                <c:pt idx="16">
                  <c:v>-0.16760212733727109</c:v>
                </c:pt>
                <c:pt idx="17">
                  <c:v>-6.4469987669966589E-2</c:v>
                </c:pt>
                <c:pt idx="18">
                  <c:v>-9.2106083470221936E-2</c:v>
                </c:pt>
                <c:pt idx="19">
                  <c:v>-0.31806113441215506</c:v>
                </c:pt>
                <c:pt idx="20">
                  <c:v>2.5108822185522284</c:v>
                </c:pt>
                <c:pt idx="21">
                  <c:v>-0.5007882228404188</c:v>
                </c:pt>
              </c:numCache>
            </c:numRef>
          </c:val>
          <c:extLst>
            <c:ext xmlns:c16="http://schemas.microsoft.com/office/drawing/2014/chart" uri="{C3380CC4-5D6E-409C-BE32-E72D297353CC}">
              <c16:uniqueId val="{00000001-2558-4442-B648-C06ADAE24A12}"/>
            </c:ext>
          </c:extLst>
        </c:ser>
        <c:ser>
          <c:idx val="4"/>
          <c:order val="3"/>
          <c:tx>
            <c:strRef>
              <c:f>investice!$G$4</c:f>
              <c:strCache>
                <c:ptCount val="1"/>
                <c:pt idx="0">
                  <c:v>ICT, other machinery and equipment, weapons systems</c:v>
                </c:pt>
              </c:strCache>
            </c:strRef>
          </c:tx>
          <c:spPr>
            <a:solidFill>
              <a:srgbClr val="009CB5"/>
            </a:solidFill>
            <a:ln>
              <a:noFill/>
            </a:ln>
            <a:effectLst/>
          </c:spPr>
          <c:invertIfNegative val="0"/>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investice!$G$5:$G$26</c:f>
              <c:numCache>
                <c:formatCode>0.0</c:formatCode>
                <c:ptCount val="22"/>
                <c:pt idx="0">
                  <c:v>1.2952583739919341</c:v>
                </c:pt>
                <c:pt idx="1">
                  <c:v>1.0363583441354891</c:v>
                </c:pt>
                <c:pt idx="2">
                  <c:v>0.7454825739739257</c:v>
                </c:pt>
                <c:pt idx="3">
                  <c:v>0.37119645183751565</c:v>
                </c:pt>
                <c:pt idx="4">
                  <c:v>1.5739586681827347</c:v>
                </c:pt>
                <c:pt idx="5">
                  <c:v>0.593357979104434</c:v>
                </c:pt>
                <c:pt idx="6">
                  <c:v>1.0387707860470698</c:v>
                </c:pt>
                <c:pt idx="7">
                  <c:v>0.35060305766036448</c:v>
                </c:pt>
                <c:pt idx="8">
                  <c:v>-0.29970535590131087</c:v>
                </c:pt>
                <c:pt idx="9">
                  <c:v>0.37921483272770068</c:v>
                </c:pt>
                <c:pt idx="10">
                  <c:v>0.66213414853158969</c:v>
                </c:pt>
                <c:pt idx="11">
                  <c:v>5.7311593244073348E-3</c:v>
                </c:pt>
                <c:pt idx="12">
                  <c:v>-3.1291694782267667</c:v>
                </c:pt>
                <c:pt idx="13">
                  <c:v>-9.4791601576193221E-2</c:v>
                </c:pt>
                <c:pt idx="14">
                  <c:v>0.11089947264874424</c:v>
                </c:pt>
                <c:pt idx="15">
                  <c:v>0.21056734493342372</c:v>
                </c:pt>
                <c:pt idx="16">
                  <c:v>0.10795844601621753</c:v>
                </c:pt>
                <c:pt idx="17">
                  <c:v>0.26349843303742343</c:v>
                </c:pt>
                <c:pt idx="18">
                  <c:v>-3.8078566347798715E-2</c:v>
                </c:pt>
                <c:pt idx="19">
                  <c:v>0.4874525041303901</c:v>
                </c:pt>
                <c:pt idx="20">
                  <c:v>0.61097034787427906</c:v>
                </c:pt>
                <c:pt idx="21">
                  <c:v>-1.8109020040757153</c:v>
                </c:pt>
              </c:numCache>
            </c:numRef>
          </c:val>
          <c:extLst>
            <c:ext xmlns:c16="http://schemas.microsoft.com/office/drawing/2014/chart" uri="{C3380CC4-5D6E-409C-BE32-E72D297353CC}">
              <c16:uniqueId val="{00000002-2558-4442-B648-C06ADAE24A12}"/>
            </c:ext>
          </c:extLst>
        </c:ser>
        <c:ser>
          <c:idx val="6"/>
          <c:order val="4"/>
          <c:tx>
            <c:strRef>
              <c:f>investice!$I$4</c:f>
              <c:strCache>
                <c:ptCount val="1"/>
                <c:pt idx="0">
                  <c:v>Intellectual property products</c:v>
                </c:pt>
              </c:strCache>
            </c:strRef>
          </c:tx>
          <c:spPr>
            <a:solidFill>
              <a:srgbClr val="CC9610"/>
            </a:solidFill>
            <a:ln>
              <a:noFill/>
            </a:ln>
            <a:effectLst/>
          </c:spPr>
          <c:invertIfNegative val="0"/>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investice!$I$5:$I$26</c:f>
              <c:numCache>
                <c:formatCode>0.0</c:formatCode>
                <c:ptCount val="22"/>
                <c:pt idx="0">
                  <c:v>0.12533711964176303</c:v>
                </c:pt>
                <c:pt idx="1">
                  <c:v>0.3319508920336906</c:v>
                </c:pt>
                <c:pt idx="2">
                  <c:v>0.43922049774535071</c:v>
                </c:pt>
                <c:pt idx="3">
                  <c:v>0.15277140780745296</c:v>
                </c:pt>
                <c:pt idx="4">
                  <c:v>0.62885267705109427</c:v>
                </c:pt>
                <c:pt idx="5">
                  <c:v>7.203237397670359E-2</c:v>
                </c:pt>
                <c:pt idx="6">
                  <c:v>0.51266926269511004</c:v>
                </c:pt>
                <c:pt idx="7">
                  <c:v>0.21466980083176232</c:v>
                </c:pt>
                <c:pt idx="8">
                  <c:v>-0.58446104570148061</c:v>
                </c:pt>
                <c:pt idx="9">
                  <c:v>9.6229411574107998E-2</c:v>
                </c:pt>
                <c:pt idx="10">
                  <c:v>-7.0364111207940117E-2</c:v>
                </c:pt>
                <c:pt idx="11">
                  <c:v>0.37420674127269804</c:v>
                </c:pt>
                <c:pt idx="12">
                  <c:v>0.12244498567945532</c:v>
                </c:pt>
                <c:pt idx="13">
                  <c:v>0.2298657693502234</c:v>
                </c:pt>
                <c:pt idx="14">
                  <c:v>0.56672697853624654</c:v>
                </c:pt>
                <c:pt idx="15">
                  <c:v>-0.40263662863543853</c:v>
                </c:pt>
                <c:pt idx="16">
                  <c:v>0.71402868194331248</c:v>
                </c:pt>
                <c:pt idx="17">
                  <c:v>0.3766019548163535</c:v>
                </c:pt>
                <c:pt idx="18">
                  <c:v>-0.47316020455836544</c:v>
                </c:pt>
                <c:pt idx="19">
                  <c:v>0.86548826473649065</c:v>
                </c:pt>
                <c:pt idx="20">
                  <c:v>-0.75209494938812582</c:v>
                </c:pt>
                <c:pt idx="21">
                  <c:v>0.64858742119975954</c:v>
                </c:pt>
              </c:numCache>
            </c:numRef>
          </c:val>
          <c:extLst>
            <c:ext xmlns:c16="http://schemas.microsoft.com/office/drawing/2014/chart" uri="{C3380CC4-5D6E-409C-BE32-E72D297353CC}">
              <c16:uniqueId val="{00000003-2558-4442-B648-C06ADAE24A12}"/>
            </c:ext>
          </c:extLst>
        </c:ser>
        <c:ser>
          <c:idx val="2"/>
          <c:order val="5"/>
          <c:tx>
            <c:strRef>
              <c:f>investice!$E$4</c:f>
              <c:strCache>
                <c:ptCount val="1"/>
                <c:pt idx="0">
                  <c:v>Other buildings and structures</c:v>
                </c:pt>
              </c:strCache>
            </c:strRef>
          </c:tx>
          <c:spPr>
            <a:solidFill>
              <a:srgbClr val="D8A7B7"/>
            </a:solidFill>
            <a:ln>
              <a:noFill/>
            </a:ln>
            <a:effectLst/>
          </c:spPr>
          <c:invertIfNegative val="0"/>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investice!$E$5:$E$26</c:f>
              <c:numCache>
                <c:formatCode>0.0</c:formatCode>
                <c:ptCount val="22"/>
                <c:pt idx="0">
                  <c:v>0.73197354447088037</c:v>
                </c:pt>
                <c:pt idx="1">
                  <c:v>-0.41413613498233887</c:v>
                </c:pt>
                <c:pt idx="2">
                  <c:v>0.11590214489191845</c:v>
                </c:pt>
                <c:pt idx="3">
                  <c:v>0.12323325373311775</c:v>
                </c:pt>
                <c:pt idx="4">
                  <c:v>-0.49808922298804303</c:v>
                </c:pt>
                <c:pt idx="5">
                  <c:v>0.30590713776964479</c:v>
                </c:pt>
                <c:pt idx="6">
                  <c:v>0.56632813347407407</c:v>
                </c:pt>
                <c:pt idx="7">
                  <c:v>-1.1738716923079755</c:v>
                </c:pt>
                <c:pt idx="8">
                  <c:v>1.9413950503077628</c:v>
                </c:pt>
                <c:pt idx="9">
                  <c:v>0.42462350808406035</c:v>
                </c:pt>
                <c:pt idx="10">
                  <c:v>-2.2812623963593386E-2</c:v>
                </c:pt>
                <c:pt idx="11">
                  <c:v>0.29639862597044186</c:v>
                </c:pt>
                <c:pt idx="12">
                  <c:v>-0.52659258033607392</c:v>
                </c:pt>
                <c:pt idx="13">
                  <c:v>2.9195472967904541E-2</c:v>
                </c:pt>
                <c:pt idx="14">
                  <c:v>-4.3811179474178077E-2</c:v>
                </c:pt>
                <c:pt idx="15">
                  <c:v>0.38005644338110667</c:v>
                </c:pt>
                <c:pt idx="16">
                  <c:v>0.26895156338973253</c:v>
                </c:pt>
                <c:pt idx="17">
                  <c:v>0.53557739926960857</c:v>
                </c:pt>
                <c:pt idx="18">
                  <c:v>1.0850514165995224</c:v>
                </c:pt>
                <c:pt idx="19">
                  <c:v>0.86510225527061868</c:v>
                </c:pt>
                <c:pt idx="20">
                  <c:v>0.19518510160490096</c:v>
                </c:pt>
                <c:pt idx="21">
                  <c:v>1.1633048662590477</c:v>
                </c:pt>
              </c:numCache>
            </c:numRef>
          </c:val>
          <c:extLst>
            <c:ext xmlns:c16="http://schemas.microsoft.com/office/drawing/2014/chart" uri="{C3380CC4-5D6E-409C-BE32-E72D297353CC}">
              <c16:uniqueId val="{00000004-2558-4442-B648-C06ADAE24A12}"/>
            </c:ext>
          </c:extLst>
        </c:ser>
        <c:ser>
          <c:idx val="1"/>
          <c:order val="6"/>
          <c:tx>
            <c:strRef>
              <c:f>investice!$D$4</c:f>
              <c:strCache>
                <c:ptCount val="1"/>
                <c:pt idx="0">
                  <c:v>Dwellings</c:v>
                </c:pt>
              </c:strCache>
            </c:strRef>
          </c:tx>
          <c:spPr>
            <a:solidFill>
              <a:srgbClr val="BC5B80"/>
            </a:solidFill>
            <a:ln>
              <a:noFill/>
            </a:ln>
            <a:effectLst/>
          </c:spPr>
          <c:invertIfNegative val="0"/>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investice!$D$5:$D$26</c:f>
              <c:numCache>
                <c:formatCode>0.0</c:formatCode>
                <c:ptCount val="22"/>
                <c:pt idx="0">
                  <c:v>-0.47948976626078499</c:v>
                </c:pt>
                <c:pt idx="1">
                  <c:v>1.2329652559766819</c:v>
                </c:pt>
                <c:pt idx="2">
                  <c:v>1.0028720168513254</c:v>
                </c:pt>
                <c:pt idx="3">
                  <c:v>-0.32048566237340076</c:v>
                </c:pt>
                <c:pt idx="4">
                  <c:v>1.1372882106634921</c:v>
                </c:pt>
                <c:pt idx="5">
                  <c:v>-0.76746072654484498</c:v>
                </c:pt>
                <c:pt idx="6">
                  <c:v>-1.5325965609005514</c:v>
                </c:pt>
                <c:pt idx="7">
                  <c:v>1.7185076572677638</c:v>
                </c:pt>
                <c:pt idx="8">
                  <c:v>0.1690157749724884</c:v>
                </c:pt>
                <c:pt idx="9">
                  <c:v>-0.29899559127628916</c:v>
                </c:pt>
                <c:pt idx="10">
                  <c:v>-0.11317175128899748</c:v>
                </c:pt>
                <c:pt idx="11">
                  <c:v>-0.23515852597416698</c:v>
                </c:pt>
                <c:pt idx="12">
                  <c:v>0.58870904408774427</c:v>
                </c:pt>
                <c:pt idx="13">
                  <c:v>-0.16751710746024906</c:v>
                </c:pt>
                <c:pt idx="14">
                  <c:v>-1.3509046720392508</c:v>
                </c:pt>
                <c:pt idx="15">
                  <c:v>-0.7051766902429748</c:v>
                </c:pt>
                <c:pt idx="16">
                  <c:v>1.2076639110303695</c:v>
                </c:pt>
                <c:pt idx="17">
                  <c:v>-0.20268838032769212</c:v>
                </c:pt>
                <c:pt idx="18">
                  <c:v>1.3731476227040436</c:v>
                </c:pt>
                <c:pt idx="19">
                  <c:v>-0.20290896470853864</c:v>
                </c:pt>
                <c:pt idx="20">
                  <c:v>-0.68794507441219388</c:v>
                </c:pt>
                <c:pt idx="21">
                  <c:v>1.899336655411068</c:v>
                </c:pt>
              </c:numCache>
            </c:numRef>
          </c:val>
          <c:extLst>
            <c:ext xmlns:c16="http://schemas.microsoft.com/office/drawing/2014/chart" uri="{C3380CC4-5D6E-409C-BE32-E72D297353CC}">
              <c16:uniqueId val="{00000005-2558-4442-B648-C06ADAE24A12}"/>
            </c:ext>
          </c:extLst>
        </c:ser>
        <c:dLbls>
          <c:showLegendKey val="0"/>
          <c:showVal val="0"/>
          <c:showCatName val="0"/>
          <c:showSerName val="0"/>
          <c:showPercent val="0"/>
          <c:showBubbleSize val="0"/>
        </c:dLbls>
        <c:gapWidth val="96"/>
        <c:overlap val="100"/>
        <c:axId val="844820719"/>
        <c:axId val="588086959"/>
      </c:barChart>
      <c:lineChart>
        <c:grouping val="standard"/>
        <c:varyColors val="0"/>
        <c:ser>
          <c:idx val="0"/>
          <c:order val="1"/>
          <c:tx>
            <c:strRef>
              <c:f>investice!$C$4</c:f>
              <c:strCache>
                <c:ptCount val="1"/>
                <c:pt idx="0">
                  <c:v>Gross fixed capital formation</c:v>
                </c:pt>
              </c:strCache>
            </c:strRef>
          </c:tx>
          <c:spPr>
            <a:ln w="19050" cap="rnd">
              <a:solidFill>
                <a:schemeClr val="tx1"/>
              </a:solidFill>
              <a:round/>
            </a:ln>
            <a:effectLst/>
          </c:spPr>
          <c:marker>
            <c:symbol val="none"/>
          </c:marker>
          <c:cat>
            <c:multiLvlStrRef>
              <c:f>investice!$A$5:$B$26</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investice!$C$5:$C$26</c:f>
              <c:numCache>
                <c:formatCode>0.0</c:formatCode>
                <c:ptCount val="22"/>
                <c:pt idx="0">
                  <c:v>2.4977204560262578</c:v>
                </c:pt>
                <c:pt idx="1">
                  <c:v>2.7307703358155209</c:v>
                </c:pt>
                <c:pt idx="2">
                  <c:v>2.6983529698917437</c:v>
                </c:pt>
                <c:pt idx="3">
                  <c:v>0.87392028757670914</c:v>
                </c:pt>
                <c:pt idx="4">
                  <c:v>2.7498649092652556</c:v>
                </c:pt>
                <c:pt idx="5">
                  <c:v>3.9211010268246582E-2</c:v>
                </c:pt>
                <c:pt idx="6">
                  <c:v>1.1705973094828295</c:v>
                </c:pt>
                <c:pt idx="7">
                  <c:v>0.79727219176220387</c:v>
                </c:pt>
                <c:pt idx="8">
                  <c:v>1.841165372165122</c:v>
                </c:pt>
                <c:pt idx="9">
                  <c:v>1.3707704243002894</c:v>
                </c:pt>
                <c:pt idx="10">
                  <c:v>0.28139662206314142</c:v>
                </c:pt>
                <c:pt idx="11">
                  <c:v>1.005019225689054</c:v>
                </c:pt>
                <c:pt idx="12">
                  <c:v>-3.1637675295082346</c:v>
                </c:pt>
                <c:pt idx="13">
                  <c:v>-0.33316915751180431</c:v>
                </c:pt>
                <c:pt idx="14">
                  <c:v>-0.51687918688358536</c:v>
                </c:pt>
                <c:pt idx="15">
                  <c:v>-0.70272613243625415</c:v>
                </c:pt>
                <c:pt idx="16">
                  <c:v>2.0747435769817457</c:v>
                </c:pt>
                <c:pt idx="17">
                  <c:v>0.94273775168372254</c:v>
                </c:pt>
                <c:pt idx="18">
                  <c:v>1.8012741921359208</c:v>
                </c:pt>
                <c:pt idx="19">
                  <c:v>1.6613349821231793</c:v>
                </c:pt>
                <c:pt idx="20">
                  <c:v>1.9661255849792667</c:v>
                </c:pt>
                <c:pt idx="21">
                  <c:v>1.5180160794157729</c:v>
                </c:pt>
              </c:numCache>
            </c:numRef>
          </c:val>
          <c:smooth val="0"/>
          <c:extLst>
            <c:ext xmlns:c16="http://schemas.microsoft.com/office/drawing/2014/chart" uri="{C3380CC4-5D6E-409C-BE32-E72D297353CC}">
              <c16:uniqueId val="{00000006-2558-4442-B648-C06ADAE24A12}"/>
            </c:ext>
          </c:extLst>
        </c:ser>
        <c:dLbls>
          <c:showLegendKey val="0"/>
          <c:showVal val="0"/>
          <c:showCatName val="0"/>
          <c:showSerName val="0"/>
          <c:showPercent val="0"/>
          <c:showBubbleSize val="0"/>
        </c:dLbls>
        <c:marker val="1"/>
        <c:smooth val="0"/>
        <c:axId val="844820719"/>
        <c:axId val="588086959"/>
      </c:lineChart>
      <c:catAx>
        <c:axId val="844820719"/>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crossAx val="588086959"/>
        <c:crosses val="autoZero"/>
        <c:auto val="1"/>
        <c:lblAlgn val="ctr"/>
        <c:lblOffset val="100"/>
        <c:noMultiLvlLbl val="0"/>
      </c:catAx>
      <c:valAx>
        <c:axId val="588086959"/>
        <c:scaling>
          <c:orientation val="minMax"/>
          <c:max val="4"/>
          <c:min val="-4"/>
        </c:scaling>
        <c:delete val="0"/>
        <c:axPos val="l"/>
        <c:majorGridlines>
          <c:spPr>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crossAx val="844820719"/>
        <c:crosses val="autoZero"/>
        <c:crossBetween val="between"/>
      </c:valAx>
      <c:spPr>
        <a:noFill/>
        <a:ln>
          <a:solidFill>
            <a:schemeClr val="tx1"/>
          </a:solidFill>
        </a:ln>
        <a:effectLst/>
      </c:spPr>
    </c:plotArea>
    <c:legend>
      <c:legendPos val="b"/>
      <c:layout>
        <c:manualLayout>
          <c:xMode val="edge"/>
          <c:yMode val="edge"/>
          <c:x val="7.0243372171563651E-2"/>
          <c:y val="0.78043031633457161"/>
          <c:w val="0.89620694022289771"/>
          <c:h val="0.20608887763143086"/>
        </c:manualLayout>
      </c:layout>
      <c:overlay val="0"/>
      <c:spPr>
        <a:noFill/>
        <a:ln>
          <a:solidFill>
            <a:schemeClr val="tx1"/>
          </a:solid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baseline="0">
          <a:solidFill>
            <a:sysClr val="windowText" lastClr="000000"/>
          </a:solidFill>
          <a:latin typeface="Arial" panose="020B0604020202020204" pitchFamily="34" charset="0"/>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4404035346808687E-2"/>
          <c:y val="3.7154479717354444E-2"/>
          <c:w val="0.93674937195830332"/>
          <c:h val="0.63445260610154264"/>
        </c:manualLayout>
      </c:layout>
      <c:barChart>
        <c:barDir val="col"/>
        <c:grouping val="stacked"/>
        <c:varyColors val="0"/>
        <c:ser>
          <c:idx val="4"/>
          <c:order val="0"/>
          <c:tx>
            <c:strRef>
              <c:f>'souhrnná výkonnost 4'!$C$5</c:f>
              <c:strCache>
                <c:ptCount val="1"/>
                <c:pt idx="0">
                  <c:v>Agriculture, forestry and fishing</c:v>
                </c:pt>
              </c:strCache>
            </c:strRef>
          </c:tx>
          <c:spPr>
            <a:solidFill>
              <a:srgbClr val="7DBB2D"/>
            </a:solidFill>
            <a:ln>
              <a:noFill/>
            </a:ln>
          </c:spPr>
          <c:invertIfNegative val="0"/>
          <c:cat>
            <c:multiLvlStrRef>
              <c:f>'souhrnná výkonnost 4'!$A$18:$B$39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4'!$C$18:$C$39</c:f>
              <c:numCache>
                <c:formatCode>#\ ##0.0</c:formatCode>
                <c:ptCount val="22"/>
                <c:pt idx="0">
                  <c:v>-0.21016465618804914</c:v>
                </c:pt>
                <c:pt idx="1">
                  <c:v>-8.9010015639096246E-2</c:v>
                </c:pt>
                <c:pt idx="2">
                  <c:v>6.9318767349345048E-3</c:v>
                </c:pt>
                <c:pt idx="3">
                  <c:v>7.314112826928427E-3</c:v>
                </c:pt>
                <c:pt idx="4">
                  <c:v>4.3654501255089143E-2</c:v>
                </c:pt>
                <c:pt idx="5">
                  <c:v>2.9170556017792563E-2</c:v>
                </c:pt>
                <c:pt idx="6">
                  <c:v>2.56111746452365E-2</c:v>
                </c:pt>
                <c:pt idx="7">
                  <c:v>-0.17462814540655808</c:v>
                </c:pt>
                <c:pt idx="8">
                  <c:v>0.67438072358646262</c:v>
                </c:pt>
                <c:pt idx="9">
                  <c:v>-8.5713136501994344E-2</c:v>
                </c:pt>
                <c:pt idx="10">
                  <c:v>-0.17801416987642235</c:v>
                </c:pt>
                <c:pt idx="11">
                  <c:v>0.16308403498801113</c:v>
                </c:pt>
                <c:pt idx="12">
                  <c:v>-7.2497584012224642E-2</c:v>
                </c:pt>
                <c:pt idx="13">
                  <c:v>3.7719645806134263E-3</c:v>
                </c:pt>
                <c:pt idx="14">
                  <c:v>2.6941715364738446E-2</c:v>
                </c:pt>
                <c:pt idx="15">
                  <c:v>-1.3440094606297486E-2</c:v>
                </c:pt>
                <c:pt idx="16">
                  <c:v>2.9477912245653704E-2</c:v>
                </c:pt>
                <c:pt idx="17">
                  <c:v>1.6974176283027838E-2</c:v>
                </c:pt>
                <c:pt idx="18">
                  <c:v>2.419604455944043E-3</c:v>
                </c:pt>
                <c:pt idx="19">
                  <c:v>1.9296737074314226E-2</c:v>
                </c:pt>
                <c:pt idx="20">
                  <c:v>4.151774924263385E-3</c:v>
                </c:pt>
                <c:pt idx="21">
                  <c:v>-3.103831935538599E-2</c:v>
                </c:pt>
              </c:numCache>
            </c:numRef>
          </c:val>
          <c:extLst>
            <c:ext xmlns:c16="http://schemas.microsoft.com/office/drawing/2014/chart" uri="{C3380CC4-5D6E-409C-BE32-E72D297353CC}">
              <c16:uniqueId val="{00000000-3A48-43C5-A272-2D217A75D4E1}"/>
            </c:ext>
          </c:extLst>
        </c:ser>
        <c:ser>
          <c:idx val="1"/>
          <c:order val="1"/>
          <c:tx>
            <c:strRef>
              <c:f>'souhrnná výkonnost 4'!$F$5</c:f>
              <c:strCache>
                <c:ptCount val="1"/>
                <c:pt idx="0">
                  <c:v>Construction</c:v>
                </c:pt>
              </c:strCache>
            </c:strRef>
          </c:tx>
          <c:spPr>
            <a:solidFill>
              <a:srgbClr val="174F70"/>
            </a:solidFill>
            <a:ln>
              <a:noFill/>
            </a:ln>
          </c:spPr>
          <c:invertIfNegative val="0"/>
          <c:cat>
            <c:multiLvlStrRef>
              <c:f>'souhrnná výkonnost 4'!$A$18:$B$39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4'!$F$18:$F$39</c:f>
              <c:numCache>
                <c:formatCode>#\ ##0.0</c:formatCode>
                <c:ptCount val="22"/>
                <c:pt idx="0">
                  <c:v>-0.12276262260633211</c:v>
                </c:pt>
                <c:pt idx="1">
                  <c:v>2.3637352960532092E-2</c:v>
                </c:pt>
                <c:pt idx="2">
                  <c:v>4.0861309879129053E-2</c:v>
                </c:pt>
                <c:pt idx="3">
                  <c:v>-8.0239571677201499E-2</c:v>
                </c:pt>
                <c:pt idx="4">
                  <c:v>-0.11142112212609062</c:v>
                </c:pt>
                <c:pt idx="5">
                  <c:v>-0.13591206590783669</c:v>
                </c:pt>
                <c:pt idx="6">
                  <c:v>-0.1290409167746972</c:v>
                </c:pt>
                <c:pt idx="7">
                  <c:v>8.3260855069426765E-2</c:v>
                </c:pt>
                <c:pt idx="8">
                  <c:v>1.1921994276463834E-2</c:v>
                </c:pt>
                <c:pt idx="9">
                  <c:v>5.68990960553181E-2</c:v>
                </c:pt>
                <c:pt idx="10">
                  <c:v>6.3707226163507324E-2</c:v>
                </c:pt>
                <c:pt idx="11">
                  <c:v>-9.294592311664418E-2</c:v>
                </c:pt>
                <c:pt idx="12">
                  <c:v>0.13845032199565793</c:v>
                </c:pt>
                <c:pt idx="13">
                  <c:v>-3.9762495943108718E-2</c:v>
                </c:pt>
                <c:pt idx="14">
                  <c:v>-2.6281214799643907E-2</c:v>
                </c:pt>
                <c:pt idx="15">
                  <c:v>0.11217342115815135</c:v>
                </c:pt>
                <c:pt idx="16">
                  <c:v>3.0414881314343892E-2</c:v>
                </c:pt>
                <c:pt idx="17">
                  <c:v>3.4542958257145644E-2</c:v>
                </c:pt>
                <c:pt idx="18">
                  <c:v>4.9695918743827859E-2</c:v>
                </c:pt>
                <c:pt idx="19">
                  <c:v>-2.7427888839428632E-2</c:v>
                </c:pt>
                <c:pt idx="20">
                  <c:v>4.0658595168327129E-2</c:v>
                </c:pt>
                <c:pt idx="21">
                  <c:v>1.6684012352365822E-2</c:v>
                </c:pt>
              </c:numCache>
            </c:numRef>
          </c:val>
          <c:extLst>
            <c:ext xmlns:c16="http://schemas.microsoft.com/office/drawing/2014/chart" uri="{C3380CC4-5D6E-409C-BE32-E72D297353CC}">
              <c16:uniqueId val="{00000001-3A48-43C5-A272-2D217A75D4E1}"/>
            </c:ext>
          </c:extLst>
        </c:ser>
        <c:ser>
          <c:idx val="2"/>
          <c:order val="2"/>
          <c:tx>
            <c:strRef>
              <c:f>'souhrnná výkonnost 4'!$E$5</c:f>
              <c:strCache>
                <c:ptCount val="1"/>
                <c:pt idx="0">
                  <c:v>Other industrial branches (CZ-NACE B,D,E)</c:v>
                </c:pt>
              </c:strCache>
            </c:strRef>
          </c:tx>
          <c:spPr>
            <a:solidFill>
              <a:srgbClr val="9FC9D7"/>
            </a:solidFill>
            <a:ln>
              <a:noFill/>
            </a:ln>
          </c:spPr>
          <c:invertIfNegative val="0"/>
          <c:cat>
            <c:multiLvlStrRef>
              <c:f>'souhrnná výkonnost 4'!$A$18:$B$39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4'!$E$18:$E$39</c:f>
              <c:numCache>
                <c:formatCode>#\ ##0.0</c:formatCode>
                <c:ptCount val="22"/>
                <c:pt idx="0">
                  <c:v>8.2072694672079782E-2</c:v>
                </c:pt>
                <c:pt idx="1">
                  <c:v>-5.5768944838059831E-2</c:v>
                </c:pt>
                <c:pt idx="2">
                  <c:v>6.0198553118141263E-2</c:v>
                </c:pt>
                <c:pt idx="3">
                  <c:v>-0.12598900134563104</c:v>
                </c:pt>
                <c:pt idx="4">
                  <c:v>-0.37908025211048302</c:v>
                </c:pt>
                <c:pt idx="5">
                  <c:v>9.4195885607968766E-2</c:v>
                </c:pt>
                <c:pt idx="6">
                  <c:v>-0.15023442350226501</c:v>
                </c:pt>
                <c:pt idx="7">
                  <c:v>-0.41128209604563309</c:v>
                </c:pt>
                <c:pt idx="8">
                  <c:v>-0.28410871264506865</c:v>
                </c:pt>
                <c:pt idx="9">
                  <c:v>-0.12349364364998172</c:v>
                </c:pt>
                <c:pt idx="10">
                  <c:v>-2.9594885384746999E-2</c:v>
                </c:pt>
                <c:pt idx="11">
                  <c:v>-6.1445193248920615E-2</c:v>
                </c:pt>
                <c:pt idx="12">
                  <c:v>3.0305357615878714E-2</c:v>
                </c:pt>
                <c:pt idx="13">
                  <c:v>-3.9252240332702165E-2</c:v>
                </c:pt>
                <c:pt idx="14">
                  <c:v>-6.140335337612679E-2</c:v>
                </c:pt>
                <c:pt idx="15">
                  <c:v>-4.9191481187663699E-2</c:v>
                </c:pt>
                <c:pt idx="16">
                  <c:v>0.1350617382610057</c:v>
                </c:pt>
                <c:pt idx="17">
                  <c:v>4.7918284148914747E-2</c:v>
                </c:pt>
                <c:pt idx="18">
                  <c:v>8.2161914374364597E-3</c:v>
                </c:pt>
                <c:pt idx="19">
                  <c:v>-4.5192898437784901E-2</c:v>
                </c:pt>
                <c:pt idx="20">
                  <c:v>-1.5901349428938977E-2</c:v>
                </c:pt>
                <c:pt idx="21">
                  <c:v>0.16596284372392253</c:v>
                </c:pt>
              </c:numCache>
            </c:numRef>
          </c:val>
          <c:extLst>
            <c:ext xmlns:c16="http://schemas.microsoft.com/office/drawing/2014/chart" uri="{C3380CC4-5D6E-409C-BE32-E72D297353CC}">
              <c16:uniqueId val="{00000002-3A48-43C5-A272-2D217A75D4E1}"/>
            </c:ext>
          </c:extLst>
        </c:ser>
        <c:ser>
          <c:idx val="3"/>
          <c:order val="3"/>
          <c:tx>
            <c:strRef>
              <c:f>'souhrnná výkonnost 4'!$D$5</c:f>
              <c:strCache>
                <c:ptCount val="1"/>
                <c:pt idx="0">
                  <c:v>Manufacturing (CZ-NACE C)</c:v>
                </c:pt>
              </c:strCache>
            </c:strRef>
          </c:tx>
          <c:spPr>
            <a:solidFill>
              <a:srgbClr val="009CB5"/>
            </a:solidFill>
            <a:ln>
              <a:noFill/>
            </a:ln>
          </c:spPr>
          <c:invertIfNegative val="0"/>
          <c:cat>
            <c:multiLvlStrRef>
              <c:f>'souhrnná výkonnost 4'!$A$18:$B$39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4'!$D$18:$D$39</c:f>
              <c:numCache>
                <c:formatCode>#\ ##0.0</c:formatCode>
                <c:ptCount val="22"/>
                <c:pt idx="0">
                  <c:v>-0.39422606990664882</c:v>
                </c:pt>
                <c:pt idx="1">
                  <c:v>-0.23770475545776903</c:v>
                </c:pt>
                <c:pt idx="2">
                  <c:v>-0.30339729961955442</c:v>
                </c:pt>
                <c:pt idx="3">
                  <c:v>6.2169959028891629E-2</c:v>
                </c:pt>
                <c:pt idx="4">
                  <c:v>1.1664430306314715</c:v>
                </c:pt>
                <c:pt idx="5">
                  <c:v>0.64214092464415184</c:v>
                </c:pt>
                <c:pt idx="6">
                  <c:v>0.33215772583964209</c:v>
                </c:pt>
                <c:pt idx="7">
                  <c:v>0.45563549275672938</c:v>
                </c:pt>
                <c:pt idx="8">
                  <c:v>0.22805323820112217</c:v>
                </c:pt>
                <c:pt idx="9">
                  <c:v>0.12890925792840582</c:v>
                </c:pt>
                <c:pt idx="10">
                  <c:v>-0.23908499350748316</c:v>
                </c:pt>
                <c:pt idx="11">
                  <c:v>0.34492850643024814</c:v>
                </c:pt>
                <c:pt idx="12">
                  <c:v>-0.65909802846951171</c:v>
                </c:pt>
                <c:pt idx="13">
                  <c:v>-0.16445960583624705</c:v>
                </c:pt>
                <c:pt idx="14">
                  <c:v>0.37798758306928826</c:v>
                </c:pt>
                <c:pt idx="15">
                  <c:v>-2.2754724702839374E-2</c:v>
                </c:pt>
                <c:pt idx="16">
                  <c:v>-3.071489630096284E-2</c:v>
                </c:pt>
                <c:pt idx="17">
                  <c:v>0.17978958166749304</c:v>
                </c:pt>
                <c:pt idx="18">
                  <c:v>0.21726493860777191</c:v>
                </c:pt>
                <c:pt idx="19">
                  <c:v>0.23252610796091144</c:v>
                </c:pt>
                <c:pt idx="20">
                  <c:v>-0.16934779925295232</c:v>
                </c:pt>
                <c:pt idx="21">
                  <c:v>6.7923922312820878E-2</c:v>
                </c:pt>
              </c:numCache>
            </c:numRef>
          </c:val>
          <c:extLst>
            <c:ext xmlns:c16="http://schemas.microsoft.com/office/drawing/2014/chart" uri="{C3380CC4-5D6E-409C-BE32-E72D297353CC}">
              <c16:uniqueId val="{00000003-3A48-43C5-A272-2D217A75D4E1}"/>
            </c:ext>
          </c:extLst>
        </c:ser>
        <c:ser>
          <c:idx val="0"/>
          <c:order val="4"/>
          <c:tx>
            <c:strRef>
              <c:f>'souhrnná výkonnost 4'!$G$5</c:f>
              <c:strCache>
                <c:ptCount val="1"/>
                <c:pt idx="0">
                  <c:v>Services (CZ-NACE G to U)</c:v>
                </c:pt>
              </c:strCache>
            </c:strRef>
          </c:tx>
          <c:spPr>
            <a:solidFill>
              <a:srgbClr val="BC5B80"/>
            </a:solidFill>
            <a:ln>
              <a:noFill/>
            </a:ln>
          </c:spPr>
          <c:invertIfNegative val="0"/>
          <c:cat>
            <c:multiLvlStrRef>
              <c:f>'souhrnná výkonnost 4'!$A$18:$B$39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4'!$G$18:$G$39</c:f>
              <c:numCache>
                <c:formatCode>#\ ##0.0</c:formatCode>
                <c:ptCount val="22"/>
                <c:pt idx="0">
                  <c:v>0.38187071657848937</c:v>
                </c:pt>
                <c:pt idx="1">
                  <c:v>1.5924259536680856</c:v>
                </c:pt>
                <c:pt idx="2">
                  <c:v>1.9527393124418904</c:v>
                </c:pt>
                <c:pt idx="3">
                  <c:v>0.76475494372096198</c:v>
                </c:pt>
                <c:pt idx="4">
                  <c:v>-9.3936452074745394E-2</c:v>
                </c:pt>
                <c:pt idx="5">
                  <c:v>1.0201643807904746E-2</c:v>
                </c:pt>
                <c:pt idx="6">
                  <c:v>3.7672109244940216E-2</c:v>
                </c:pt>
                <c:pt idx="7">
                  <c:v>0.33250115603784924</c:v>
                </c:pt>
                <c:pt idx="8">
                  <c:v>-0.1684922439133103</c:v>
                </c:pt>
                <c:pt idx="9">
                  <c:v>-3.6571078370415379E-2</c:v>
                </c:pt>
                <c:pt idx="10">
                  <c:v>7.2765170892712838E-2</c:v>
                </c:pt>
                <c:pt idx="11">
                  <c:v>-0.20007152734877207</c:v>
                </c:pt>
                <c:pt idx="12">
                  <c:v>0.33229607615344486</c:v>
                </c:pt>
                <c:pt idx="13">
                  <c:v>0.576309235224998</c:v>
                </c:pt>
                <c:pt idx="14">
                  <c:v>0.49434179081837309</c:v>
                </c:pt>
                <c:pt idx="15">
                  <c:v>0.499245647451388</c:v>
                </c:pt>
                <c:pt idx="16">
                  <c:v>0.79744444892534361</c:v>
                </c:pt>
                <c:pt idx="17">
                  <c:v>0.33824922355496539</c:v>
                </c:pt>
                <c:pt idx="18">
                  <c:v>0.38211259888627519</c:v>
                </c:pt>
                <c:pt idx="19">
                  <c:v>0.37051656288599788</c:v>
                </c:pt>
                <c:pt idx="20">
                  <c:v>0.26130094950435268</c:v>
                </c:pt>
                <c:pt idx="21">
                  <c:v>0.22168967931813044</c:v>
                </c:pt>
              </c:numCache>
            </c:numRef>
          </c:val>
          <c:extLst>
            <c:ext xmlns:c16="http://schemas.microsoft.com/office/drawing/2014/chart" uri="{C3380CC4-5D6E-409C-BE32-E72D297353CC}">
              <c16:uniqueId val="{00000004-3A48-43C5-A272-2D217A75D4E1}"/>
            </c:ext>
          </c:extLst>
        </c:ser>
        <c:dLbls>
          <c:showLegendKey val="0"/>
          <c:showVal val="0"/>
          <c:showCatName val="0"/>
          <c:showSerName val="0"/>
          <c:showPercent val="0"/>
          <c:showBubbleSize val="0"/>
        </c:dLbls>
        <c:gapWidth val="70"/>
        <c:overlap val="100"/>
        <c:axId val="115446144"/>
        <c:axId val="115447680"/>
      </c:barChart>
      <c:lineChart>
        <c:grouping val="standard"/>
        <c:varyColors val="0"/>
        <c:ser>
          <c:idx val="5"/>
          <c:order val="5"/>
          <c:tx>
            <c:strRef>
              <c:f>'souhrnná výkonnost 4'!$H$5</c:f>
              <c:strCache>
                <c:ptCount val="1"/>
                <c:pt idx="0">
                  <c:v>Total gross value added</c:v>
                </c:pt>
              </c:strCache>
            </c:strRef>
          </c:tx>
          <c:spPr>
            <a:ln w="19050">
              <a:solidFill>
                <a:prstClr val="black"/>
              </a:solidFill>
            </a:ln>
          </c:spPr>
          <c:marker>
            <c:symbol val="none"/>
          </c:marker>
          <c:cat>
            <c:multiLvlStrRef>
              <c:f>'souhrnná výkonnost 4'!$A$18:$B$39</c:f>
              <c:multiLvlStrCache>
                <c:ptCount val="22"/>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pt idx="21">
                    <c:v>2</c:v>
                  </c:pt>
                </c:lvl>
                <c:lvl>
                  <c:pt idx="0">
                    <c:v>2021</c:v>
                  </c:pt>
                  <c:pt idx="4">
                    <c:v>2022</c:v>
                  </c:pt>
                  <c:pt idx="8">
                    <c:v>2023</c:v>
                  </c:pt>
                  <c:pt idx="12">
                    <c:v>2024</c:v>
                  </c:pt>
                  <c:pt idx="16">
                    <c:v>2025</c:v>
                  </c:pt>
                  <c:pt idx="20">
                    <c:v>2026</c:v>
                  </c:pt>
                </c:lvl>
              </c:multiLvlStrCache>
            </c:multiLvlStrRef>
          </c:cat>
          <c:val>
            <c:numRef>
              <c:f>'souhrnná výkonnost 4'!$H$18:$H$39</c:f>
              <c:numCache>
                <c:formatCode>#\ ##0.0</c:formatCode>
                <c:ptCount val="22"/>
                <c:pt idx="0">
                  <c:v>-0.26315925186742106</c:v>
                </c:pt>
                <c:pt idx="1">
                  <c:v>1.2335820934109734</c:v>
                </c:pt>
                <c:pt idx="2">
                  <c:v>1.7573392115614865</c:v>
                </c:pt>
                <c:pt idx="3">
                  <c:v>0.62786603707967004</c:v>
                </c:pt>
                <c:pt idx="4">
                  <c:v>0.6258012243813198</c:v>
                </c:pt>
                <c:pt idx="5">
                  <c:v>0.63982584839774859</c:v>
                </c:pt>
                <c:pt idx="6">
                  <c:v>0.1160337701194436</c:v>
                </c:pt>
                <c:pt idx="7">
                  <c:v>0.28563657103978812</c:v>
                </c:pt>
                <c:pt idx="8">
                  <c:v>0.46164596022990168</c:v>
                </c:pt>
                <c:pt idx="9">
                  <c:v>-6.0065381272153218E-2</c:v>
                </c:pt>
                <c:pt idx="10">
                  <c:v>-0.31007059306411122</c:v>
                </c:pt>
                <c:pt idx="11">
                  <c:v>0.15397703998571899</c:v>
                </c:pt>
                <c:pt idx="12">
                  <c:v>-0.23099499837101689</c:v>
                </c:pt>
                <c:pt idx="13">
                  <c:v>0.33664323805386687</c:v>
                </c:pt>
                <c:pt idx="14">
                  <c:v>0.81161643039627052</c:v>
                </c:pt>
                <c:pt idx="15">
                  <c:v>0.52609883924334611</c:v>
                </c:pt>
                <c:pt idx="16">
                  <c:v>0.96164912418532822</c:v>
                </c:pt>
                <c:pt idx="17">
                  <c:v>0.61740487903436758</c:v>
                </c:pt>
                <c:pt idx="18">
                  <c:v>0.65974785081625953</c:v>
                </c:pt>
                <c:pt idx="19">
                  <c:v>0.54981456058304445</c:v>
                </c:pt>
                <c:pt idx="20">
                  <c:v>0.12085009293325299</c:v>
                </c:pt>
                <c:pt idx="21">
                  <c:v>0.44117627368729018</c:v>
                </c:pt>
              </c:numCache>
            </c:numRef>
          </c:val>
          <c:smooth val="0"/>
          <c:extLst>
            <c:ext xmlns:c16="http://schemas.microsoft.com/office/drawing/2014/chart" uri="{C3380CC4-5D6E-409C-BE32-E72D297353CC}">
              <c16:uniqueId val="{00000005-3A48-43C5-A272-2D217A75D4E1}"/>
            </c:ext>
          </c:extLst>
        </c:ser>
        <c:dLbls>
          <c:showLegendKey val="0"/>
          <c:showVal val="0"/>
          <c:showCatName val="0"/>
          <c:showSerName val="0"/>
          <c:showPercent val="0"/>
          <c:showBubbleSize val="0"/>
        </c:dLbls>
        <c:marker val="1"/>
        <c:smooth val="0"/>
        <c:axId val="115446144"/>
        <c:axId val="115447680"/>
      </c:lineChart>
      <c:catAx>
        <c:axId val="115446144"/>
        <c:scaling>
          <c:orientation val="minMax"/>
        </c:scaling>
        <c:delete val="0"/>
        <c:axPos val="b"/>
        <c:numFmt formatCode="General" sourceLinked="1"/>
        <c:majorTickMark val="out"/>
        <c:minorTickMark val="none"/>
        <c:tickLblPos val="low"/>
        <c:spPr>
          <a:ln>
            <a:solidFill>
              <a:schemeClr val="tx1"/>
            </a:solidFill>
          </a:ln>
        </c:spPr>
        <c:txPr>
          <a:bodyPr rot="0" vert="horz"/>
          <a:lstStyle/>
          <a:p>
            <a:pPr>
              <a:defRPr/>
            </a:pPr>
            <a:endParaRPr lang="cs-CZ"/>
          </a:p>
        </c:txPr>
        <c:crossAx val="115447680"/>
        <c:crosses val="autoZero"/>
        <c:auto val="1"/>
        <c:lblAlgn val="ctr"/>
        <c:lblOffset val="100"/>
        <c:noMultiLvlLbl val="0"/>
      </c:catAx>
      <c:valAx>
        <c:axId val="115447680"/>
        <c:scaling>
          <c:orientation val="minMax"/>
        </c:scaling>
        <c:delete val="0"/>
        <c:axPos val="l"/>
        <c:majorGridlines>
          <c:spPr>
            <a:ln w="6350">
              <a:solidFill>
                <a:schemeClr val="bg1">
                  <a:lumMod val="75000"/>
                </a:schemeClr>
              </a:solidFill>
            </a:ln>
          </c:spPr>
        </c:majorGridlines>
        <c:numFmt formatCode="0.0" sourceLinked="0"/>
        <c:majorTickMark val="out"/>
        <c:minorTickMark val="none"/>
        <c:tickLblPos val="nextTo"/>
        <c:spPr>
          <a:ln>
            <a:solidFill>
              <a:schemeClr val="tx1"/>
            </a:solidFill>
          </a:ln>
        </c:spPr>
        <c:crossAx val="115446144"/>
        <c:crosses val="autoZero"/>
        <c:crossBetween val="between"/>
      </c:valAx>
      <c:spPr>
        <a:ln>
          <a:solidFill>
            <a:schemeClr val="tx1"/>
          </a:solidFill>
        </a:ln>
      </c:spPr>
    </c:plotArea>
    <c:legend>
      <c:legendPos val="b"/>
      <c:layout>
        <c:manualLayout>
          <c:xMode val="edge"/>
          <c:yMode val="edge"/>
          <c:x val="4.8782884397989404E-2"/>
          <c:y val="0.79016604750647301"/>
          <c:w val="0.92922619274506457"/>
          <c:h val="0.19462484520995055"/>
        </c:manualLayout>
      </c:layout>
      <c:overlay val="0"/>
      <c:spPr>
        <a:ln w="6350">
          <a:solidFill>
            <a:schemeClr val="tx1"/>
          </a:solidFill>
        </a:ln>
      </c:spPr>
    </c:legend>
    <c:plotVisOnly val="1"/>
    <c:dispBlanksAs val="gap"/>
    <c:showDLblsOverMax val="0"/>
  </c:chart>
  <c:spPr>
    <a:ln>
      <a:noFill/>
    </a:ln>
  </c:spPr>
  <c:txPr>
    <a:bodyPr/>
    <a:lstStyle/>
    <a:p>
      <a:pPr>
        <a:defRPr sz="800" baseline="0">
          <a:latin typeface="Arial" pitchFamily="34" charset="0"/>
        </a:defRPr>
      </a:pPr>
      <a:endParaRPr lang="cs-CZ"/>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BD76F913C5B1A4797255AD7259AA9ED" ma:contentTypeVersion="40" ma:contentTypeDescription="Vytvoří nový dokument" ma:contentTypeScope="" ma:versionID="110421115ddc15f999b8bb81d2de1ec1">
  <xsd:schema xmlns:xsd="http://www.w3.org/2001/XMLSchema" xmlns:xs="http://www.w3.org/2001/XMLSchema" xmlns:p="http://schemas.microsoft.com/office/2006/metadata/properties" xmlns:ns2="8675fb2b-b414-4bad-b4c4-d9349268b5a1" xmlns:ns3="406a38fe-c53c-4047-b0f8-c641386931ae" targetNamespace="http://schemas.microsoft.com/office/2006/metadata/properties" ma:root="true" ma:fieldsID="68ff216229c3f5ed4e0b6e8627bc5742" ns2:_="" ns3:_="">
    <xsd:import namespace="8675fb2b-b414-4bad-b4c4-d9349268b5a1"/>
    <xsd:import namespace="406a38fe-c53c-4047-b0f8-c641386931ae"/>
    <xsd:element name="properties">
      <xsd:complexType>
        <xsd:sequence>
          <xsd:element name="documentManagement">
            <xsd:complexType>
              <xsd:all>
                <xsd:element ref="ns2:Forma" minOccurs="0"/>
                <xsd:element ref="ns2:Verzeform" minOccurs="0"/>
                <xsd:element ref="ns2:Vazbanaproces" minOccurs="0"/>
                <xsd:element ref="ns2:Gestor" minOccurs="0"/>
                <xsd:element ref="ns2:Historieverze" minOccurs="0"/>
                <xsd:element ref="ns2:MediaServiceMetadata" minOccurs="0"/>
                <xsd:element ref="ns2:MediaServiceFastMetadata" minOccurs="0"/>
                <xsd:element ref="ns2:Form_c" minOccurs="0"/>
                <xsd:element ref="ns2:NazevForm" minOccurs="0"/>
                <xsd:element ref="ns2:UcinnostOdForm" minOccurs="0"/>
                <xsd:element ref="ns2:DomenaForm" minOccurs="0"/>
                <xsd:element ref="ns2:PredpisForm" minOccurs="0"/>
                <xsd:element ref="ns2:UstanoveniForm" minOccurs="0"/>
                <xsd:element ref="ns2:PoznForm" minOccurs="0"/>
                <xsd:element ref="ns2:Oznaceni" minOccurs="0"/>
                <xsd:element ref="ns2:UcinnostDoForm" minOccurs="0"/>
                <xsd:element ref="ns2:MediaServiceObjectDetectorVersions" minOccurs="0"/>
                <xsd:element ref="ns2:Platnost" minOccurs="0"/>
                <xsd:element ref="ns2:Odkaz"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iteKnihDok" minOccurs="0"/>
                <xsd:element ref="ns3:ProcDomen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fb2b-b414-4bad-b4c4-d9349268b5a1" elementFormDefault="qualified">
    <xsd:import namespace="http://schemas.microsoft.com/office/2006/documentManagement/types"/>
    <xsd:import namespace="http://schemas.microsoft.com/office/infopath/2007/PartnerControls"/>
    <xsd:element name="Forma" ma:index="8" nillable="true" ma:displayName="Forma" ma:description="Forma formuláře" ma:format="Dropdown" ma:internalName="Forma">
      <xsd:complexType>
        <xsd:complexContent>
          <xsd:extension base="dms:MultiChoice">
            <xsd:sequence>
              <xsd:element name="Value" maxOccurs="unbounded" minOccurs="0" nillable="true">
                <xsd:simpleType>
                  <xsd:restriction base="dms:Choice">
                    <xsd:enumeration value="Listinná  (analogová)"/>
                    <xsd:enumeration value="Elektronická"/>
                    <xsd:enumeration value="Formulář IS"/>
                  </xsd:restriction>
                </xsd:simpleType>
              </xsd:element>
            </xsd:sequence>
          </xsd:extension>
        </xsd:complexContent>
      </xsd:complexType>
    </xsd:element>
    <xsd:element name="Verzeform" ma:index="9" nillable="true" ma:displayName="Ver." ma:format="Dropdown" ma:internalName="Verzeform">
      <xsd:simpleType>
        <xsd:restriction base="dms:Text">
          <xsd:maxLength value="255"/>
        </xsd:restriction>
      </xsd:simpleType>
    </xsd:element>
    <xsd:element name="Vazbanaproces" ma:index="10" nillable="true" ma:displayName="Vazba na proces" ma:format="Dropdown" ma:internalName="Vazbanaproces">
      <xsd:simpleType>
        <xsd:restriction base="dms:Note">
          <xsd:maxLength value="255"/>
        </xsd:restriction>
      </xsd:simpleType>
    </xsd:element>
    <xsd:element name="Gestor" ma:index="11" nillable="true" ma:displayName="Gestor" ma:format="Dropdown" ma:list="UserInfo" ma:SharePointGroup="0" ma:internalName="G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storieverze" ma:index="12" nillable="true" ma:displayName="Historie verze" ma:format="Dropdown" ma:internalName="Historieverz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Form_c" ma:index="15" nillable="true" ma:displayName="Form_c" ma:format="Dropdown" ma:internalName="Form_c" ma:percentage="FALSE">
      <xsd:simpleType>
        <xsd:restriction base="dms:Number"/>
      </xsd:simpleType>
    </xsd:element>
    <xsd:element name="NazevForm" ma:index="16" nillable="true" ma:displayName="Název formuláře" ma:internalName="NazevForm">
      <xsd:simpleType>
        <xsd:restriction base="dms:Text">
          <xsd:maxLength value="255"/>
        </xsd:restriction>
      </xsd:simpleType>
    </xsd:element>
    <xsd:element name="UcinnostOdForm" ma:index="17" nillable="true" ma:displayName="Účinnost od" ma:description="Datum účinnosti formuláře" ma:format="DateOnly" ma:internalName="UcinnostOdForm">
      <xsd:simpleType>
        <xsd:restriction base="dms:DateTime"/>
      </xsd:simpleType>
    </xsd:element>
    <xsd:element name="DomenaForm" ma:index="18" nillable="true" ma:displayName="Doména_old" ma:description="Na formuláře na procesní doménu" ma:format="Dropdown" ma:internalName="DomenaForm">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element name="PredpisForm" ma:index="19" nillable="true" ma:displayName="Definiční předpis" ma:description="Definiční předpis formuláře" ma:format="Dropdown" ma:internalName="PredpisForm">
      <xsd:simpleType>
        <xsd:restriction base="dms:Text">
          <xsd:maxLength value="255"/>
        </xsd:restriction>
      </xsd:simpleType>
    </xsd:element>
    <xsd:element name="UstanoveniForm" ma:index="20" nillable="true" ma:displayName="Ustanovení" ma:description="Ustanovení (čl., odst., písm.)" ma:format="Dropdown" ma:internalName="UstanoveniForm">
      <xsd:simpleType>
        <xsd:restriction base="dms:Note">
          <xsd:maxLength value="255"/>
        </xsd:restriction>
      </xsd:simpleType>
    </xsd:element>
    <xsd:element name="PoznForm" ma:index="21" nillable="true" ma:displayName="Poznámka" ma:description="Poznámka k formuláři" ma:format="Dropdown" ma:internalName="PoznForm">
      <xsd:simpleType>
        <xsd:restriction base="dms:Note">
          <xsd:maxLength value="255"/>
        </xsd:restriction>
      </xsd:simpleType>
    </xsd:element>
    <xsd:element name="Oznaceni" ma:index="22" nillable="true" ma:displayName="Označení" ma:description="Označení formuláře" ma:format="Dropdown" ma:internalName="Oznaceni">
      <xsd:simpleType>
        <xsd:restriction base="dms:Text">
          <xsd:maxLength value="12"/>
        </xsd:restriction>
      </xsd:simpleType>
    </xsd:element>
    <xsd:element name="UcinnostDoForm" ma:index="23" nillable="true" ma:displayName="Účinnost do" ma:format="DateOnly" ma:internalName="UcinnostDoForm">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latnost" ma:index="25" nillable="true" ma:displayName="Platnost" ma:default="1" ma:internalName="Platnost">
      <xsd:simpleType>
        <xsd:restriction base="dms:Boolean"/>
      </xsd:simpleType>
    </xsd:element>
    <xsd:element name="Odkaz" ma:index="26"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a38fe-c53c-4047-b0f8-c641386931ae" elementFormDefault="qualified">
    <xsd:import namespace="http://schemas.microsoft.com/office/2006/documentManagement/types"/>
    <xsd:import namespace="http://schemas.microsoft.com/office/infopath/2007/PartnerControls"/>
    <xsd:element name="SharedWithUsers" ma:index="2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dílené s podrobnostmi" ma:internalName="SharedWithDetails" ma:readOnly="true">
      <xsd:simpleType>
        <xsd:restriction base="dms:Note">
          <xsd:maxLength value="255"/>
        </xsd:restriction>
      </xsd:simpleType>
    </xsd:element>
    <xsd:element name="TaxCatchAll" ma:index="32" nillable="true" ma:displayName="Taxonomy Catch All Column" ma:hidden="true" ma:list="{d4d15468-1f14-4f0d-947e-4bef9f86f2ae}" ma:internalName="TaxCatchAll" ma:showField="CatchAllData" ma:web="406a38fe-c53c-4047-b0f8-c641386931ae">
      <xsd:complexType>
        <xsd:complexContent>
          <xsd:extension base="dms:MultiChoiceLookup">
            <xsd:sequence>
              <xsd:element name="Value" type="dms:Lookup" maxOccurs="unbounded" minOccurs="0" nillable="true"/>
            </xsd:sequence>
          </xsd:extension>
        </xsd:complexContent>
      </xsd:complexType>
    </xsd:element>
    <xsd:element name="SiteKnihDok" ma:index="37" nillable="true" ma:displayName="SiteKnihDok" ma:default="Vnitřní předpisy" ma:description="Seznam knihoven v Site Knihovna dokumentů ČSÚ" ma:format="Dropdown" ma:internalName="SiteKnihDok">
      <xsd:simpleType>
        <xsd:restriction base="dms:Choice">
          <xsd:enumeration value="Vnitřní předpisy"/>
          <xsd:enumeration value="Formuláře"/>
          <xsd:enumeration value="Návody a manuály"/>
          <xsd:enumeration value="Zápisy a reporty"/>
        </xsd:restriction>
      </xsd:simpleType>
    </xsd:element>
    <xsd:element name="ProcDomena" ma:index="38" nillable="true" ma:displayName="Procesní doména" ma:default="P1 Bezpečnost" ma:internalName="ProcDomena">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istorieverze xmlns="8675fb2b-b414-4bad-b4c4-d9349268b5a1" xsi:nil="true"/>
    <Verzeform xmlns="8675fb2b-b414-4bad-b4c4-d9349268b5a1">v1.2</Verzeform>
    <Forma xmlns="8675fb2b-b414-4bad-b4c4-d9349268b5a1">
      <Value>Elektronická</Value>
    </Forma>
    <Vazbanaproces xmlns="8675fb2b-b414-4bad-b4c4-d9349268b5a1">179. Vnější komunikace
</Vazbanaproces>
    <Gestor xmlns="8675fb2b-b414-4bad-b4c4-d9349268b5a1">
      <UserInfo>
        <DisplayName>Novotný Michal</DisplayName>
        <AccountId>24</AccountId>
        <AccountType/>
      </UserInfo>
    </Gestor>
    <Form_c xmlns="8675fb2b-b414-4bad-b4c4-d9349268b5a1">444</Form_c>
    <NazevForm xmlns="8675fb2b-b414-4bad-b4c4-d9349268b5a1">Publikace CZ barevná - regiony a země - analýzy</NazevForm>
    <UcinnostOdForm xmlns="8675fb2b-b414-4bad-b4c4-d9349268b5a1">2026-09-06T22:00:00+00:00</UcinnostOdForm>
    <PredpisForm xmlns="8675fb2b-b414-4bad-b4c4-d9349268b5a1">Manuál značky a jednotného vizuálního stylu Českého statistického úřadu</PredpisForm>
    <UstanoveniForm xmlns="8675fb2b-b414-4bad-b4c4-d9349268b5a1" xsi:nil="true"/>
    <PoznForm xmlns="8675fb2b-b414-4bad-b4c4-d9349268b5a1" xsi:nil="true"/>
    <Oznaceni xmlns="8675fb2b-b414-4bad-b4c4-d9349268b5a1">Form_c444</Oznaceni>
    <UcinnostDoForm xmlns="8675fb2b-b414-4bad-b4c4-d9349268b5a1" xsi:nil="true"/>
    <Platnost xmlns="8675fb2b-b414-4bad-b4c4-d9349268b5a1">true</Platnost>
    <Odkaz xmlns="8675fb2b-b414-4bad-b4c4-d9349268b5a1">
      <Url xsi:nil="true"/>
      <Description xsi:nil="true"/>
    </Odkaz>
    <lcf76f155ced4ddcb4097134ff3c332f xmlns="8675fb2b-b414-4bad-b4c4-d9349268b5a1">
      <Terms xmlns="http://schemas.microsoft.com/office/infopath/2007/PartnerControls"/>
    </lcf76f155ced4ddcb4097134ff3c332f>
    <TaxCatchAll xmlns="406a38fe-c53c-4047-b0f8-c641386931ae" xsi:nil="true"/>
    <ProcDomena xmlns="406a38fe-c53c-4047-b0f8-c641386931ae">
      <Value>P4 Komunikace a propagace</Value>
    </ProcDomena>
    <DomenaForm xmlns="8675fb2b-b414-4bad-b4c4-d9349268b5a1" xsi:nil="true"/>
    <SiteKnihDok xmlns="406a38fe-c53c-4047-b0f8-c641386931ae">Vnitřní předpisy</SiteKnihDo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8A1E1-1E99-4B4F-B9B5-70567730AA3A}">
  <ds:schemaRefs>
    <ds:schemaRef ds:uri="http://schemas.microsoft.com/sharepoint/v3/contenttype/forms"/>
  </ds:schemaRefs>
</ds:datastoreItem>
</file>

<file path=customXml/itemProps2.xml><?xml version="1.0" encoding="utf-8"?>
<ds:datastoreItem xmlns:ds="http://schemas.openxmlformats.org/officeDocument/2006/customXml" ds:itemID="{4520BFF4-F202-41B8-B99D-38B5B951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fb2b-b414-4bad-b4c4-d9349268b5a1"/>
    <ds:schemaRef ds:uri="406a38fe-c53c-4047-b0f8-c6413869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7681AD-41B0-431A-9D34-CF6700A12FAC}">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4.xml><?xml version="1.0" encoding="utf-8"?>
<ds:datastoreItem xmlns:ds="http://schemas.openxmlformats.org/officeDocument/2006/customXml" ds:itemID="{BD4A6635-18E5-4C5D-A03B-290B09811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Form_c444_Publikace_regiony a zeme - analyzy.dotx</Template>
  <TotalTime>567</TotalTime>
  <Pages>6</Pages>
  <Words>2046</Words>
  <Characters>12074</Characters>
  <Application>Microsoft Office Word</Application>
  <DocSecurity>0</DocSecurity>
  <Lines>100</Lines>
  <Paragraphs>28</Paragraphs>
  <ScaleCrop>false</ScaleCrop>
  <HeadingPairs>
    <vt:vector size="6" baseType="variant">
      <vt:variant>
        <vt:lpstr>Název</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Styl: Nadpis 1</vt:lpstr>
      <vt:lpstr>    Styl: Nadpis 2</vt:lpstr>
      <vt:lpstr>        Styl: Nadpis 3</vt:lpstr>
      <vt:lpstr>        Styl: Nadpis 3</vt:lpstr>
      <vt:lpstr>    Styl: Nadpis 2</vt:lpstr>
      <vt:lpstr>        Styl: Nadpis 3</vt:lpstr>
      <vt:lpstr>    Styl: Nadpis 2</vt:lpstr>
      <vt:lpstr>        Styl: Nadpis 3</vt:lpstr>
    </vt:vector>
  </TitlesOfParts>
  <Company>CSU</Company>
  <LinksUpToDate>false</LinksUpToDate>
  <CharactersWithSpaces>14092</CharactersWithSpaces>
  <SharedDoc>false</SharedDoc>
  <HLinks>
    <vt:vector size="18" baseType="variant">
      <vt:variant>
        <vt:i4>7602181</vt:i4>
      </vt:variant>
      <vt:variant>
        <vt:i4>11092</vt:i4>
      </vt:variant>
      <vt:variant>
        <vt:i4>1025</vt:i4>
      </vt:variant>
      <vt:variant>
        <vt:i4>1</vt:i4>
      </vt:variant>
      <vt:variant>
        <vt:lpwstr>msoFAAF</vt:lpwstr>
      </vt:variant>
      <vt:variant>
        <vt:lpwstr/>
      </vt:variant>
      <vt:variant>
        <vt:i4>7995509</vt:i4>
      </vt:variant>
      <vt:variant>
        <vt:i4>-1</vt:i4>
      </vt:variant>
      <vt:variant>
        <vt:i4>2058</vt:i4>
      </vt:variant>
      <vt:variant>
        <vt:i4>1</vt:i4>
      </vt:variant>
      <vt:variant>
        <vt:lpwstr>CSU RGB CZ logo-02</vt:lpwstr>
      </vt:variant>
      <vt:variant>
        <vt:lpwstr/>
      </vt:variant>
      <vt:variant>
        <vt:i4>7929973</vt:i4>
      </vt:variant>
      <vt:variant>
        <vt:i4>-1</vt:i4>
      </vt:variant>
      <vt:variant>
        <vt:i4>2059</vt:i4>
      </vt:variant>
      <vt:variant>
        <vt:i4>1</vt:i4>
      </vt:variant>
      <vt:variant>
        <vt:lpwstr>CSU RGB CZ logo-01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Publikace CZ barevná - regiony a země - analýzy</dc:title>
  <dc:subject/>
  <dc:creator>Zábojníková Karolína</dc:creator>
  <cp:keywords/>
  <cp:lastModifiedBy>Zábojníková Karolína</cp:lastModifiedBy>
  <cp:revision>70</cp:revision>
  <cp:lastPrinted>2014-07-17T14:07:00Z</cp:lastPrinted>
  <dcterms:created xsi:type="dcterms:W3CDTF">2026-10-09T10:57:00Z</dcterms:created>
  <dcterms:modified xsi:type="dcterms:W3CDTF">2026-10-15T10:16:00Z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0x010100FBD76F913C5B1A4797255AD7259AA9ED</vt:lpwstr>
  </property>
  <property fmtid="{D5CDD505-2E9C-101B-9397-08002B2CF9AE}" pid="3" name="Názevformuláře">
    <vt:lpwstr>Publikace CZ barevné - vícetematické analýzy
</vt:lpwstr>
  </property>
  <property fmtid="{D5CDD505-2E9C-101B-9397-08002B2CF9AE}" pid="4" name="Vazbanaprocesnídoménu">
    <vt:lpwstr>;#4. Komunikace a propagace;#</vt:lpwstr>
  </property>
  <property fmtid="{D5CDD505-2E9C-101B-9397-08002B2CF9AE}" pid="5" name="Vazbanadefiničnípředpis">
    <vt:lpwstr>Manuál ke zveřejňování produktů ČSÚ
</vt:lpwstr>
  </property>
  <property fmtid="{D5CDD505-2E9C-101B-9397-08002B2CF9AE}" pid="6" name="Ustanovení">
    <vt:lpwstr>část první čl. 2, odst. 3b,c; část pátá; příloha 1
</vt:lpwstr>
  </property>
  <property fmtid="{D5CDD505-2E9C-101B-9397-08002B2CF9AE}" pid="7" name="Účinnostod">
    <vt:filetime>2018-04-17T07:00:00Z</vt:filetime>
  </property>
  <property fmtid="{D5CDD505-2E9C-101B-9397-08002B2CF9AE}" pid="8" name="Označení">
    <vt:lpwstr>Form_c444</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MSIP_Label_29db9e61-aac5-4f6e-805d-ceb8cb9983a1_Enabled">
    <vt:lpwstr>true</vt:lpwstr>
  </property>
  <property fmtid="{D5CDD505-2E9C-101B-9397-08002B2CF9AE}" pid="17" name="MSIP_Label_29db9e61-aac5-4f6e-805d-ceb8cb9983a1_SetDate">
    <vt:lpwstr>2026-09-16T09:02:17Z</vt:lpwstr>
  </property>
  <property fmtid="{D5CDD505-2E9C-101B-9397-08002B2CF9AE}" pid="18" name="MSIP_Label_29db9e61-aac5-4f6e-805d-ceb8cb9983a1_Method">
    <vt:lpwstr>Standard</vt:lpwstr>
  </property>
  <property fmtid="{D5CDD505-2E9C-101B-9397-08002B2CF9AE}" pid="19" name="MSIP_Label_29db9e61-aac5-4f6e-805d-ceb8cb9983a1_Name">
    <vt:lpwstr>UniCredit - Internal Use Only - no visual markings</vt:lpwstr>
  </property>
  <property fmtid="{D5CDD505-2E9C-101B-9397-08002B2CF9AE}" pid="20" name="MSIP_Label_29db9e61-aac5-4f6e-805d-ceb8cb9983a1_SiteId">
    <vt:lpwstr>2cc49ce9-66a1-41ac-a96b-bdc54247696a</vt:lpwstr>
  </property>
  <property fmtid="{D5CDD505-2E9C-101B-9397-08002B2CF9AE}" pid="21" name="MSIP_Label_29db9e61-aac5-4f6e-805d-ceb8cb9983a1_ActionId">
    <vt:lpwstr>dd88b259-0c19-43b2-b8a9-ca92370eeaec</vt:lpwstr>
  </property>
  <property fmtid="{D5CDD505-2E9C-101B-9397-08002B2CF9AE}" pid="22" name="MSIP_Label_29db9e61-aac5-4f6e-805d-ceb8cb9983a1_ContentBits">
    <vt:lpwstr>0</vt:lpwstr>
  </property>
  <property fmtid="{D5CDD505-2E9C-101B-9397-08002B2CF9AE}" pid="23" name="MSIP_Label_29db9e61-aac5-4f6e-805d-ceb8cb9983a1_Tag">
    <vt:lpwstr>10, 3, 0, 1</vt:lpwstr>
  </property>
</Properties>
</file>