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417272" w:rsidP="0097104F">
      <w:pPr>
        <w:pStyle w:val="Nadpis1"/>
      </w:pPr>
      <w:r w:rsidRPr="00417272">
        <w:t>Meziroční růst spotřebitelských cen opět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17272">
        <w:t>listopad</w:t>
      </w:r>
      <w:r w:rsidR="00250429">
        <w:t> 20</w:t>
      </w:r>
      <w:r w:rsidR="00D563FA">
        <w:t>2</w:t>
      </w:r>
      <w:r w:rsidR="0085490B">
        <w:t>1</w:t>
      </w:r>
    </w:p>
    <w:p w:rsidR="0078029C" w:rsidRDefault="00417272" w:rsidP="0078029C">
      <w:pPr>
        <w:pStyle w:val="Perex"/>
      </w:pPr>
      <w:r w:rsidRPr="00A64F2C">
        <w:t>Spotřebitelské ceny vzrostly v listopadu proti říjnu o 0,2 %. Tento vývoj byl ovlivněn zejména vyššími cenami v oddíle doprava, v oddíle potraviny a nealkoholické nápoje a na druhé straně prominutím DPH u cen elektřiny a zemního plynu. Meziročně vzrostly spotřebitelské ceny v listopadu o 6,0 %, což bylo o 0,2 procentního bodu více než v říjnu.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17272" w:rsidRPr="00A64F2C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t xml:space="preserve">Meziměsíčně vzrostly spotřebitelské ceny v listopadu o 0,2 %. </w:t>
      </w:r>
      <w:r w:rsidRPr="00A64F2C">
        <w:rPr>
          <w:rFonts w:eastAsia="Calibri" w:cs="Arial"/>
          <w:szCs w:val="20"/>
        </w:rPr>
        <w:t xml:space="preserve">V oddíle doprava se zvýšily ceny pohonných hmot a olejů o 4,4 % a automobilů o 1,0 %. V oddíle potraviny a nealkoholické nápoje vzrostly ceny zeleniny o 4,2 % (z toho ceny brambor byly vyšší o 8,1 %), másla o 12,4 %, sýrů a tvarohů o 1,7 %, ovoce o 1,6 % a drůbežího masa o 2,0 %. Vývoj cen v oddíle stravování a ubytování byl ovlivněn především zvýšením cen stravovacích služeb o 1,5 %. Na meziměsíčním poklesu cen v oddíle bydlení se podílely nižší ceny elektřiny o 16,2 % a zemního plynu o 11,5 %. Tento pokles spotřebitelských cen byl důsledkem prominutí DPH u cen elektřiny a zemního plynu. Dopad této změny na meziměsíční úhrnný přírůstek indexu spotřebitelských cen v listopadu představoval podle orientačního propočtu ČSÚ snížení o 1,0 procentního bodu (více informací: </w:t>
      </w:r>
      <w:hyperlink r:id="rId8" w:history="1">
        <w:r w:rsidRPr="0088170F">
          <w:rPr>
            <w:rStyle w:val="Hypertextovodkaz"/>
            <w:rFonts w:eastAsia="Calibri" w:cs="Arial"/>
            <w:szCs w:val="20"/>
          </w:rPr>
          <w:t>Poznámka</w:t>
        </w:r>
      </w:hyperlink>
      <w:r w:rsidRPr="00A64F2C">
        <w:rPr>
          <w:rFonts w:eastAsia="Calibri" w:cs="Arial"/>
          <w:szCs w:val="20"/>
        </w:rPr>
        <w:t>).</w:t>
      </w:r>
    </w:p>
    <w:p w:rsidR="00BF4542" w:rsidRPr="009A0A90" w:rsidRDefault="00417272" w:rsidP="00417272">
      <w:pPr>
        <w:jc w:val="both"/>
      </w:pPr>
      <w:r w:rsidRPr="00A64F2C">
        <w:rPr>
          <w:rFonts w:cs="Arial"/>
          <w:szCs w:val="20"/>
        </w:rPr>
        <w:t>Ceny zboží úhrnem klesly o 0,4 %, zatímco ceny služeb vzrostly o 0,9 %.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17272" w:rsidRPr="00A64F2C" w:rsidRDefault="00417272" w:rsidP="00417272">
      <w:pPr>
        <w:jc w:val="both"/>
        <w:rPr>
          <w:rFonts w:cs="Arial"/>
          <w:i/>
        </w:rPr>
      </w:pPr>
      <w:r w:rsidRPr="00A64F2C">
        <w:rPr>
          <w:rFonts w:cs="Arial"/>
          <w:i/>
          <w:szCs w:val="20"/>
        </w:rPr>
        <w:t xml:space="preserve">„Největší vliv na meziroční cenový růst měly ceny v dopravě. Ceny automobilů vzrostly o 7,4 % a pohonných hmot a olejů o 32,8 %. Například Natural 95 se v listopadu u čerpacích stanic prodával průměrně za zhruba 37 korun za litr, což byla nejvyšší hodnota od října 2012, </w:t>
      </w:r>
      <w:r w:rsidRPr="00BA0C83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tedy</w:t>
      </w:r>
      <w:r w:rsidRPr="00A64F2C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</w:t>
      </w:r>
      <w:r w:rsidRPr="00BA0C83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nejvíce za 9 let</w:t>
      </w:r>
      <w:r w:rsidRPr="00A64F2C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,“</w:t>
      </w:r>
      <w:r w:rsidRPr="00A64F2C">
        <w:rPr>
          <w:rFonts w:cs="Arial"/>
          <w:szCs w:val="20"/>
        </w:rPr>
        <w:t xml:space="preserve"> uvádí Pavla Šedivá, vedoucí oddělení statistiky spotřebitelských cen ČSÚ.</w:t>
      </w:r>
    </w:p>
    <w:p w:rsidR="00417272" w:rsidRPr="00A64F2C" w:rsidRDefault="00417272" w:rsidP="00417272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Meziročně vzrostly spotřebitelské ceny v listopadu o 6,0 %, což bylo o 0,2 procentního bodu více než v říjnu. Meziroční růst cen tak již popáté za sebou </w:t>
      </w:r>
      <w:r w:rsidRPr="00A64F2C">
        <w:rPr>
          <w:rFonts w:cs="Arial"/>
          <w:b/>
          <w:szCs w:val="20"/>
        </w:rPr>
        <w:t>zrychlil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rFonts w:cs="Arial"/>
          <w:szCs w:val="20"/>
          <w:vertAlign w:val="superscript"/>
        </w:rPr>
        <w:t>)</w:t>
      </w:r>
      <w:r w:rsidRPr="00A64F2C">
        <w:rPr>
          <w:rFonts w:cs="Arial"/>
          <w:szCs w:val="20"/>
        </w:rPr>
        <w:t>. V oddíle potraviny a nealkoholické nápoje vzrostly ceny másla o 26,8 % (v říjnu o 12,7 %), ceny brambor přešly z říjnového poklesu o 5,4 % v růst o 5,2 % v listopadu a ceny ovoce byly nižší o 1,4 % (v říjnu pokles o 5,5 %). V oddíle doprava zrychlil růst cen automobilů na 7,4 % (v říjnu 6,3 %) a pohonných hmot a olejů na 32,8 % (v říjnu 26,8 %). Naopak v oddíle bydlení došlo ke zpomalení cenového růstu v důsledku poklesu cen energií. Ceny elektřiny meziročně klesly o 13,6 % (v říjnu růst o 3,1 %) a zemního plynu o 9,2 % (v říjnu růst o 2,6 %).</w:t>
      </w:r>
    </w:p>
    <w:p w:rsidR="00417272" w:rsidRPr="00A64F2C" w:rsidRDefault="00417272" w:rsidP="00417272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 listopadu největší vliv ceny v oddíle doprava (nárůst o 13,5 %). Další v pořadí vlivu (i přes jeho oslabení) byly ceny v oddíle bydlení. Zde kromě nákladů vlastnického bydlení vzrostly ceny nájemného z bytu o 3,7 %, výrobků a služeb pro běžnou údržbu a opravy bytu o 9,9 %, vodného a stočného shodně o 5,5 % a tuhých paliv o 6,5 %. V oddíle alkoholické nápoje, tabák byly vyšší ceny tabákových výrobků o 12,3 %. V oddíle odívání a obuv vzrostly ceny oděvů a obuvi shodně o 12,9 %. V oddíle stravování a ubytování se meziročně zvýšily ceny stravovacích služeb o 7,6 %.</w:t>
      </w:r>
    </w:p>
    <w:p w:rsidR="00417272" w:rsidRPr="00417272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t xml:space="preserve">Imputované nájemné (náklady vlastnického bydlení) vzrostlo o 14,3 % (v říjnu o 12,8 %) zejména v důsledku růstu cen stavebních materiálů a cen nových bytů pro vlastní bydlení, v menší míře i růstu cen stavebních prací. Úhrnný index spotřebitelských cen bez započtení imputovaného nájemného byl 105,0 %. (Více informací k indexu imputované nájemné: </w:t>
      </w:r>
      <w:hyperlink r:id="rId9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417272" w:rsidRPr="00A64F2C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lastRenderedPageBreak/>
        <w:t>Ceny zboží úhrnem vzrostly o 5,0 % a ceny služeb o 7,5 %.</w:t>
      </w:r>
    </w:p>
    <w:p w:rsidR="004A05A3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listopadu 3,5 % (v říjnu 3,2 %).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417272" w:rsidRPr="00417272" w:rsidRDefault="00417272" w:rsidP="0041727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17272">
        <w:rPr>
          <w:rFonts w:cs="Arial"/>
          <w:sz w:val="20"/>
          <w:szCs w:val="20"/>
        </w:rPr>
        <w:t xml:space="preserve">Podle předběžných výpočtů klesl </w:t>
      </w:r>
      <w:r w:rsidRPr="00417272">
        <w:rPr>
          <w:rFonts w:cs="Arial"/>
          <w:b/>
          <w:sz w:val="20"/>
          <w:szCs w:val="20"/>
        </w:rPr>
        <w:t xml:space="preserve">v listopadu </w:t>
      </w:r>
      <w:r w:rsidRPr="00417272">
        <w:rPr>
          <w:rFonts w:cs="Arial"/>
          <w:sz w:val="20"/>
          <w:szCs w:val="20"/>
        </w:rPr>
        <w:t xml:space="preserve">HICP v Česku </w:t>
      </w:r>
      <w:r w:rsidRPr="00417272">
        <w:rPr>
          <w:rFonts w:cs="Arial"/>
          <w:b/>
          <w:sz w:val="20"/>
          <w:szCs w:val="20"/>
        </w:rPr>
        <w:t xml:space="preserve">meziměsíčně </w:t>
      </w:r>
      <w:r w:rsidRPr="00417272">
        <w:rPr>
          <w:rFonts w:cs="Arial"/>
          <w:sz w:val="20"/>
          <w:szCs w:val="20"/>
        </w:rPr>
        <w:t>o 0,1 % a </w:t>
      </w:r>
      <w:r w:rsidRPr="00417272">
        <w:rPr>
          <w:rFonts w:cs="Arial"/>
          <w:b/>
          <w:sz w:val="20"/>
          <w:szCs w:val="20"/>
        </w:rPr>
        <w:t xml:space="preserve">meziročně vzrostl </w:t>
      </w:r>
      <w:r w:rsidRPr="00417272">
        <w:rPr>
          <w:rFonts w:cs="Arial"/>
          <w:sz w:val="20"/>
          <w:szCs w:val="20"/>
        </w:rPr>
        <w:t>o</w:t>
      </w:r>
      <w:r w:rsidRPr="00417272">
        <w:rPr>
          <w:rFonts w:cs="Arial"/>
          <w:b/>
          <w:sz w:val="20"/>
          <w:szCs w:val="20"/>
        </w:rPr>
        <w:t> </w:t>
      </w:r>
      <w:r w:rsidRPr="00417272">
        <w:rPr>
          <w:rFonts w:cs="Arial"/>
          <w:sz w:val="20"/>
          <w:szCs w:val="20"/>
        </w:rPr>
        <w:t xml:space="preserve">4,8 %. </w:t>
      </w:r>
      <w:r w:rsidRPr="00417272">
        <w:rPr>
          <w:rFonts w:cs="Arial"/>
          <w:b/>
          <w:sz w:val="20"/>
          <w:szCs w:val="20"/>
        </w:rPr>
        <w:t>Podle bleskových odhadů</w:t>
      </w:r>
      <w:r w:rsidRPr="00417272">
        <w:rPr>
          <w:rFonts w:cs="Arial"/>
          <w:sz w:val="20"/>
          <w:szCs w:val="20"/>
        </w:rPr>
        <w:t xml:space="preserve">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b/>
          <w:sz w:val="20"/>
          <w:szCs w:val="20"/>
        </w:rPr>
        <w:t xml:space="preserve"> </w:t>
      </w:r>
      <w:r w:rsidRPr="00417272">
        <w:rPr>
          <w:rFonts w:cs="Arial"/>
          <w:sz w:val="20"/>
          <w:szCs w:val="20"/>
        </w:rPr>
        <w:t>byla</w:t>
      </w:r>
      <w:r w:rsidRPr="00417272">
        <w:rPr>
          <w:rFonts w:cs="Arial"/>
          <w:b/>
          <w:sz w:val="20"/>
          <w:szCs w:val="20"/>
        </w:rPr>
        <w:t xml:space="preserve"> meziroční</w:t>
      </w:r>
      <w:r w:rsidRPr="00417272">
        <w:rPr>
          <w:rFonts w:cs="Arial"/>
          <w:sz w:val="20"/>
          <w:szCs w:val="20"/>
        </w:rPr>
        <w:t xml:space="preserve"> změna HICP </w:t>
      </w:r>
      <w:r w:rsidRPr="00417272">
        <w:rPr>
          <w:rFonts w:cs="Arial"/>
          <w:b/>
          <w:sz w:val="20"/>
          <w:szCs w:val="20"/>
        </w:rPr>
        <w:t>v listopadu</w:t>
      </w:r>
      <w:r w:rsidRPr="00417272">
        <w:rPr>
          <w:rFonts w:cs="Arial"/>
          <w:b/>
          <w:bCs/>
          <w:sz w:val="20"/>
          <w:szCs w:val="20"/>
        </w:rPr>
        <w:t xml:space="preserve"> 2021 </w:t>
      </w:r>
      <w:r w:rsidRPr="00417272">
        <w:rPr>
          <w:rFonts w:cs="Arial"/>
          <w:sz w:val="20"/>
          <w:szCs w:val="20"/>
        </w:rPr>
        <w:t>za Eurozónu 4,9 % (v říjnu 4,1 %), na Slovensku 4,9 % a v Německu</w:t>
      </w:r>
      <w:r w:rsidRPr="00417272">
        <w:rPr>
          <w:rFonts w:cs="Arial"/>
          <w:bCs/>
          <w:sz w:val="20"/>
          <w:szCs w:val="20"/>
        </w:rPr>
        <w:t xml:space="preserve"> 6,0 %. P</w:t>
      </w:r>
      <w:r w:rsidRPr="00417272">
        <w:rPr>
          <w:rFonts w:cs="Arial"/>
          <w:sz w:val="20"/>
          <w:szCs w:val="20"/>
        </w:rPr>
        <w:t xml:space="preserve">odle předběžných údajů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sz w:val="20"/>
          <w:szCs w:val="20"/>
        </w:rPr>
        <w:t xml:space="preserve"> byla </w:t>
      </w:r>
      <w:r w:rsidRPr="00417272">
        <w:rPr>
          <w:rFonts w:cs="Arial"/>
          <w:b/>
          <w:sz w:val="20"/>
          <w:szCs w:val="20"/>
        </w:rPr>
        <w:t>meziroční</w:t>
      </w:r>
      <w:r w:rsidRPr="00417272">
        <w:rPr>
          <w:rFonts w:cs="Arial"/>
          <w:sz w:val="20"/>
          <w:szCs w:val="20"/>
        </w:rPr>
        <w:t xml:space="preserve"> změna HICP </w:t>
      </w:r>
      <w:r w:rsidRPr="00417272">
        <w:rPr>
          <w:rFonts w:cs="Arial"/>
          <w:b/>
          <w:bCs/>
          <w:sz w:val="20"/>
          <w:szCs w:val="20"/>
        </w:rPr>
        <w:t xml:space="preserve">27 členských zemí EU </w:t>
      </w:r>
      <w:r w:rsidRPr="00417272">
        <w:rPr>
          <w:rFonts w:cs="Arial"/>
          <w:b/>
          <w:sz w:val="20"/>
          <w:szCs w:val="20"/>
        </w:rPr>
        <w:t xml:space="preserve">v říjnu </w:t>
      </w:r>
      <w:r w:rsidRPr="00417272">
        <w:rPr>
          <w:rFonts w:cs="Arial"/>
          <w:sz w:val="20"/>
          <w:szCs w:val="20"/>
        </w:rPr>
        <w:t xml:space="preserve">4,4 %, což bylo o 0,8 procentního bodu více než v září. </w:t>
      </w:r>
      <w:r w:rsidRPr="00417272">
        <w:rPr>
          <w:rFonts w:cs="Arial"/>
          <w:bCs/>
          <w:sz w:val="20"/>
          <w:szCs w:val="20"/>
        </w:rPr>
        <w:t>Nejvíce ceny v říjnu meziročně vzrostly v Litvě (o 8,2 %) a nejméně na Maltě (o 1,4 %).</w:t>
      </w:r>
    </w:p>
    <w:p w:rsidR="00AB345B" w:rsidRPr="00417272" w:rsidRDefault="00417272" w:rsidP="0041727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17272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sz w:val="20"/>
          <w:szCs w:val="20"/>
        </w:rPr>
        <w:t xml:space="preserve">: </w:t>
      </w:r>
      <w:hyperlink r:id="rId10" w:history="1">
        <w:r w:rsidRPr="00417272">
          <w:rPr>
            <w:rStyle w:val="Hypertextovodkaz"/>
            <w:rFonts w:cs="Arial"/>
            <w:sz w:val="20"/>
            <w:szCs w:val="20"/>
          </w:rPr>
          <w:t>HICP</w:t>
        </w:r>
      </w:hyperlink>
      <w:r w:rsidRPr="00417272">
        <w:rPr>
          <w:rFonts w:cs="Arial"/>
          <w:sz w:val="20"/>
          <w:szCs w:val="20"/>
        </w:rPr>
        <w:t>.)</w:t>
      </w:r>
    </w:p>
    <w:sectPr w:rsidR="00AB345B" w:rsidRPr="00417272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05" w:rsidRDefault="00576105" w:rsidP="00E71A58">
      <w:r>
        <w:separator/>
      </w:r>
    </w:p>
  </w:endnote>
  <w:endnote w:type="continuationSeparator" w:id="0">
    <w:p w:rsidR="00576105" w:rsidRDefault="0057610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17272">
      <w:rPr>
        <w:szCs w:val="16"/>
      </w:rPr>
      <w:t>listopad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417272">
      <w:rPr>
        <w:rStyle w:val="ZpatChar"/>
        <w:i/>
        <w:szCs w:val="16"/>
      </w:rPr>
      <w:t>Novem</w:t>
    </w:r>
    <w:r w:rsidR="00B36E6A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05" w:rsidRDefault="00576105" w:rsidP="00E71A58">
      <w:r>
        <w:separator/>
      </w:r>
    </w:p>
  </w:footnote>
  <w:footnote w:type="continuationSeparator" w:id="0">
    <w:p w:rsidR="00576105" w:rsidRDefault="00576105" w:rsidP="00E71A58">
      <w:r>
        <w:continuationSeparator/>
      </w:r>
    </w:p>
  </w:footnote>
  <w:footnote w:id="1">
    <w:p w:rsidR="00417272" w:rsidRDefault="00417272" w:rsidP="00417272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417272">
        <w:rPr>
          <w:b/>
          <w:i/>
          <w:sz w:val="18"/>
          <w:szCs w:val="18"/>
          <w:lang w:val="cs-CZ"/>
        </w:rPr>
        <w:t>Zrychlení/zpomalení</w:t>
      </w:r>
      <w:r w:rsidRPr="00417272">
        <w:rPr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417272">
        <w:rPr>
          <w:i/>
          <w:lang w:val="cs-CZ"/>
        </w:rPr>
        <w:t xml:space="preserve"> </w:t>
      </w:r>
      <w:r w:rsidRPr="00417272">
        <w:rPr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36FC94C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a-ke-spotrebitelskym-cenam-energii-listopad-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imputovane-najemne-listopad-2021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7FE4-E1BD-4A97-AFF7-B90B9103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341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172</cp:revision>
  <cp:lastPrinted>2017-01-18T13:33:00Z</cp:lastPrinted>
  <dcterms:created xsi:type="dcterms:W3CDTF">2017-02-09T16:27:00Z</dcterms:created>
  <dcterms:modified xsi:type="dcterms:W3CDTF">2021-12-09T22:50:00Z</dcterms:modified>
</cp:coreProperties>
</file>