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7639B7">
          <w:rPr>
            <w:rStyle w:val="Hypertextovodkaz"/>
            <w:rFonts w:ascii="Arial" w:hAnsi="Arial" w:cs="Arial"/>
            <w:color w:val="auto"/>
            <w:sz w:val="20"/>
          </w:rPr>
          <w:t>https://www.czso.cz/csu/czso/1-pmz_m</w:t>
        </w:r>
      </w:hyperlink>
    </w:p>
    <w:p w:rsidR="005D197A" w:rsidRPr="00815C7C" w:rsidRDefault="005D197A" w:rsidP="00815C7C">
      <w:pPr>
        <w:tabs>
          <w:tab w:val="left" w:pos="709"/>
        </w:tabs>
        <w:spacing w:line="233" w:lineRule="auto"/>
        <w:jc w:val="both"/>
        <w:rPr>
          <w:rFonts w:ascii="Arial" w:hAnsi="Arial" w:cs="Arial"/>
          <w:sz w:val="20"/>
          <w:szCs w:val="20"/>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1D42A6">
        <w:rPr>
          <w:rFonts w:ascii="Arial" w:hAnsi="Arial" w:cs="Arial"/>
          <w:b/>
          <w:bCs/>
          <w:sz w:val="20"/>
          <w:szCs w:val="20"/>
        </w:rPr>
        <w:t>3</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sidRPr="00C63FAD">
        <w:rPr>
          <w:rFonts w:ascii="Arial" w:hAnsi="Arial" w:cs="Arial"/>
          <w:b/>
          <w:bCs/>
          <w:color w:val="FF0000"/>
          <w:sz w:val="20"/>
          <w:szCs w:val="20"/>
        </w:rPr>
        <w:t xml:space="preserve"> </w:t>
      </w:r>
    </w:p>
    <w:p w:rsidR="00F03E13" w:rsidRPr="00C63FAD" w:rsidRDefault="001D42A6" w:rsidP="001D42A6">
      <w:pPr>
        <w:jc w:val="center"/>
        <w:rPr>
          <w:rFonts w:ascii="Arial" w:hAnsi="Arial" w:cs="Arial"/>
          <w:b/>
          <w:bCs/>
          <w:sz w:val="20"/>
          <w:szCs w:val="20"/>
        </w:rPr>
      </w:pPr>
      <w:r w:rsidRPr="001D42A6">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293.25pt">
            <v:imagedata r:id="rId9" o:title=""/>
          </v:shape>
        </w:pict>
      </w:r>
    </w:p>
    <w:p w:rsidR="00084D9B" w:rsidRPr="00815C7C" w:rsidRDefault="00084D9B">
      <w:pPr>
        <w:pStyle w:val="Nadpis8"/>
        <w:rPr>
          <w:rStyle w:val="Siln"/>
          <w:rFonts w:cs="Arial"/>
          <w:b/>
          <w:bCs/>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E70D9">
        <w:rPr>
          <w:rFonts w:ascii="Arial" w:hAnsi="Arial" w:cs="Arial"/>
          <w:color w:val="auto"/>
          <w:sz w:val="20"/>
          <w:szCs w:val="20"/>
        </w:rPr>
        <w:t>ly</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w:t>
      </w:r>
      <w:r w:rsidR="00714181" w:rsidRPr="00C63FAD">
        <w:rPr>
          <w:rFonts w:ascii="Arial" w:hAnsi="Arial" w:cs="Arial"/>
          <w:sz w:val="20"/>
        </w:rPr>
        <w:t>,</w:t>
      </w:r>
      <w:r w:rsidRPr="00C63FAD">
        <w:rPr>
          <w:rFonts w:ascii="Arial" w:hAnsi="Arial" w:cs="Arial"/>
          <w:sz w:val="20"/>
        </w:rPr>
        <w:t xml:space="preserve"> </w:t>
      </w:r>
      <w:r w:rsidR="007003DC" w:rsidRPr="00C63FAD">
        <w:rPr>
          <w:rFonts w:ascii="Arial" w:hAnsi="Arial" w:cs="Arial"/>
          <w:sz w:val="20"/>
        </w:rPr>
        <w:t>a</w:t>
      </w:r>
      <w:r w:rsidRPr="00C63FAD">
        <w:rPr>
          <w:rFonts w:ascii="Arial" w:hAnsi="Arial" w:cs="Arial"/>
          <w:sz w:val="20"/>
        </w:rPr>
        <w:t xml:space="preserve">nebo byla stavba </w:t>
      </w:r>
      <w:r w:rsidRPr="00C63FAD">
        <w:rPr>
          <w:rFonts w:ascii="Arial" w:hAnsi="Arial" w:cs="Arial"/>
          <w:sz w:val="20"/>
        </w:rPr>
        <w:lastRenderedPageBreak/>
        <w:t>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814D7F" w:rsidP="004E596E">
      <w:pPr>
        <w:pStyle w:val="Zkladntext3"/>
        <w:spacing w:before="120" w:after="120" w:line="233" w:lineRule="auto"/>
        <w:rPr>
          <w:rFonts w:cs="Arial"/>
        </w:rPr>
      </w:pPr>
      <w:r w:rsidRPr="00C63FAD">
        <w:rPr>
          <w:rFonts w:cs="Arial"/>
        </w:rPr>
        <w:t xml:space="preserve">Údaje jsou publikovány za podnikatelské subjekty </w:t>
      </w:r>
      <w:r w:rsidRPr="004E596E">
        <w:rPr>
          <w:rFonts w:cs="Arial"/>
          <w:b/>
        </w:rPr>
        <w:t>s převažující průmyslovou činností</w:t>
      </w:r>
      <w:r w:rsidRPr="00C63FAD">
        <w:rPr>
          <w:rFonts w:cs="Arial"/>
        </w:rPr>
        <w:t xml:space="preserve"> </w:t>
      </w:r>
      <w:r w:rsidR="004E596E">
        <w:rPr>
          <w:rFonts w:cs="Arial"/>
        </w:rPr>
        <w:t>(</w:t>
      </w:r>
      <w:r w:rsidR="004E596E" w:rsidRPr="004E596E">
        <w:rPr>
          <w:rFonts w:cs="Arial"/>
        </w:rPr>
        <w:t>sekce CZ-NACE B, C, D = Těžba a dobývání, Zpracovatelský průmysl a Výroba a rozvod elektřiny, plynu, tepla a klimatizovaného vzduchu</w:t>
      </w:r>
      <w:r w:rsidR="004E596E">
        <w:rPr>
          <w:rFonts w:cs="Arial"/>
        </w:rPr>
        <w:t xml:space="preserve">) </w:t>
      </w:r>
      <w:r w:rsidRPr="00C63FAD">
        <w:rPr>
          <w:rFonts w:cs="Arial"/>
          <w:b/>
        </w:rPr>
        <w:t xml:space="preserve">se 100 a více zaměstnanci </w:t>
      </w:r>
      <w:r w:rsidRPr="00C63FAD">
        <w:rPr>
          <w:rFonts w:cs="Arial"/>
        </w:rPr>
        <w:t xml:space="preserve">a zjišťovány podnikovou metodou, tedy za podniky </w:t>
      </w:r>
      <w:r w:rsidRPr="00C63FAD">
        <w:rPr>
          <w:rFonts w:cs="Arial"/>
          <w:b/>
        </w:rPr>
        <w:t>se sídlem na příslušném území</w:t>
      </w:r>
      <w:r w:rsidRPr="00C63FAD">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Pr="00C63FAD" w:rsidRDefault="00814D7F" w:rsidP="00814D7F">
      <w:pPr>
        <w:pStyle w:val="Zkladntext3"/>
        <w:spacing w:before="120" w:after="120" w:line="233" w:lineRule="auto"/>
        <w:rPr>
          <w:rFonts w:cs="Arial"/>
        </w:rPr>
      </w:pPr>
      <w:r w:rsidRPr="00C63FAD">
        <w:rPr>
          <w:rFonts w:cs="Arial"/>
          <w:b/>
        </w:rPr>
        <w:t>Tržby z prodeje vlastních výrobků a služeb</w:t>
      </w:r>
      <w:r w:rsidRPr="00C63FAD">
        <w:rPr>
          <w:rFonts w:cs="Arial"/>
        </w:rPr>
        <w:t xml:space="preserve"> průmyslové povahy jsou uvedeny v základních běžných cenách, které fakturuje výrobce kupujícímu a jsou </w:t>
      </w:r>
      <w:r w:rsidRPr="00C63FAD">
        <w:rPr>
          <w:rFonts w:cs="Arial"/>
          <w:szCs w:val="20"/>
        </w:rPr>
        <w:t>vedeny</w:t>
      </w:r>
      <w:r w:rsidRPr="00C63FAD">
        <w:rPr>
          <w:rFonts w:cs="Arial"/>
        </w:rPr>
        <w:t xml:space="preserve"> na </w:t>
      </w:r>
      <w:r w:rsidRPr="00C63FAD">
        <w:rPr>
          <w:rFonts w:cs="Arial"/>
          <w:szCs w:val="20"/>
        </w:rPr>
        <w:t>účtech</w:t>
      </w:r>
      <w:r w:rsidRPr="00C63FAD">
        <w:rPr>
          <w:rFonts w:cs="Arial"/>
        </w:rPr>
        <w:t xml:space="preserve"> 601 a 602. </w:t>
      </w:r>
    </w:p>
    <w:p w:rsidR="00814D7F" w:rsidRPr="00C63FAD" w:rsidRDefault="00814D7F" w:rsidP="00814D7F">
      <w:pPr>
        <w:pStyle w:val="Zkladntext3"/>
        <w:spacing w:before="120" w:after="120" w:line="233" w:lineRule="auto"/>
        <w:rPr>
          <w:rFonts w:cs="Arial"/>
          <w:szCs w:val="18"/>
        </w:rPr>
      </w:pPr>
      <w:r w:rsidRPr="00C63FAD">
        <w:rPr>
          <w:rFonts w:cs="Arial"/>
          <w:b/>
          <w:szCs w:val="18"/>
        </w:rPr>
        <w:t>Průměrný počet zaměstnanců</w:t>
      </w:r>
      <w:r w:rsidRPr="00C63FAD">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C63FAD">
        <w:rPr>
          <w:rFonts w:cs="Arial"/>
          <w:szCs w:val="20"/>
        </w:rPr>
        <w:t>měsíce</w:t>
      </w:r>
      <w:r w:rsidRPr="00C63FAD">
        <w:rPr>
          <w:rFonts w:cs="Arial"/>
          <w:szCs w:val="18"/>
        </w:rPr>
        <w:t xml:space="preserve">. </w:t>
      </w:r>
    </w:p>
    <w:p w:rsidR="00814D7F" w:rsidRPr="00C63FAD" w:rsidRDefault="00814D7F" w:rsidP="00E5328D">
      <w:pPr>
        <w:pStyle w:val="Zkladntext3"/>
        <w:rPr>
          <w:rFonts w:cs="Arial"/>
        </w:rPr>
      </w:pPr>
      <w:r w:rsidRPr="00C63FAD">
        <w:rPr>
          <w:rFonts w:cs="Arial"/>
          <w:b/>
        </w:rPr>
        <w:t>Průměrná hrubá měsíční mzda</w:t>
      </w:r>
      <w:r w:rsidRPr="00C63FAD">
        <w:rPr>
          <w:rFonts w:cs="Arial"/>
        </w:rPr>
        <w:t xml:space="preserve"> představuje podíl mezd bez ostatních osobních nákladů připadající </w:t>
      </w:r>
      <w:r w:rsidRPr="00C63FAD">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w:t>
      </w:r>
      <w:r w:rsidR="007639B7">
        <w:rPr>
          <w:rFonts w:cs="Arial"/>
          <w:szCs w:val="24"/>
        </w:rPr>
        <w:t xml:space="preserve">stálá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w:t>
      </w:r>
      <w:r w:rsidR="007639B7">
        <w:rPr>
          <w:rFonts w:ascii="Arial" w:hAnsi="Arial" w:cs="Arial"/>
          <w:sz w:val="20"/>
          <w:szCs w:val="20"/>
        </w:rPr>
        <w:t xml:space="preserve"> ve věku 15 a ví e let</w:t>
      </w:r>
      <w:r w:rsidRPr="00C63FAD">
        <w:rPr>
          <w:rFonts w:ascii="Arial" w:hAnsi="Arial" w:cs="Arial"/>
          <w:sz w:val="20"/>
          <w:szCs w:val="20"/>
        </w:rPr>
        <w:t>.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lastRenderedPageBreak/>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7639B7" w:rsidRDefault="00C14E0A" w:rsidP="00C63FAD">
      <w:pPr>
        <w:pStyle w:val="Rtextmetodika"/>
        <w:spacing w:before="120"/>
        <w:rPr>
          <w:rFonts w:cs="Arial"/>
          <w:sz w:val="20"/>
        </w:rPr>
      </w:pPr>
      <w:r w:rsidRPr="007639B7">
        <w:rPr>
          <w:rFonts w:cs="Arial"/>
          <w:b/>
          <w:bCs/>
          <w:sz w:val="20"/>
        </w:rPr>
        <w:t>Dopravní nehody</w:t>
      </w:r>
      <w:r w:rsidRPr="007639B7">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Default="00C14E0A" w:rsidP="00C63FAD">
      <w:pPr>
        <w:pStyle w:val="Rbntext"/>
        <w:spacing w:before="0" w:line="228" w:lineRule="auto"/>
        <w:rPr>
          <w:rFonts w:cs="Arial"/>
          <w:szCs w:val="18"/>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742199" w:rsidRDefault="00742199" w:rsidP="00C63FAD">
      <w:pPr>
        <w:pStyle w:val="Rbntext"/>
        <w:spacing w:before="0" w:line="228" w:lineRule="auto"/>
        <w:rPr>
          <w:rFonts w:cs="Arial"/>
          <w:szCs w:val="18"/>
        </w:rPr>
      </w:pPr>
    </w:p>
    <w:p w:rsidR="001D42A6" w:rsidRDefault="001D42A6" w:rsidP="001D42A6">
      <w:pPr>
        <w:pStyle w:val="Nadpis1"/>
        <w:rPr>
          <w:rFonts w:cs="Arial"/>
          <w:sz w:val="26"/>
          <w:szCs w:val="26"/>
        </w:rPr>
      </w:pPr>
      <w:r>
        <w:rPr>
          <w:rFonts w:cs="Arial"/>
          <w:sz w:val="26"/>
          <w:szCs w:val="26"/>
        </w:rPr>
        <w:t>PRACOVNÍ NESCHOPNOST</w:t>
      </w:r>
    </w:p>
    <w:p w:rsidR="001D42A6" w:rsidRPr="001D42A6" w:rsidRDefault="001D42A6" w:rsidP="001D42A6">
      <w:pPr>
        <w:spacing w:before="120" w:after="120"/>
        <w:jc w:val="both"/>
        <w:rPr>
          <w:rFonts w:ascii="Arial" w:hAnsi="Arial" w:cs="Arial"/>
          <w:sz w:val="20"/>
          <w:szCs w:val="20"/>
        </w:rPr>
      </w:pPr>
      <w:r w:rsidRPr="001D42A6">
        <w:rPr>
          <w:rFonts w:ascii="Arial" w:hAnsi="Arial" w:cs="Arial"/>
          <w:sz w:val="20"/>
          <w:szCs w:val="20"/>
        </w:rPr>
        <w:t xml:space="preserve">Od roku 2012 zajišťuje Český statistický úřad (ČSÚ) údaje pro </w:t>
      </w:r>
      <w:r w:rsidRPr="001D42A6">
        <w:rPr>
          <w:rFonts w:ascii="Arial" w:hAnsi="Arial" w:cs="Arial"/>
          <w:b/>
          <w:sz w:val="20"/>
          <w:szCs w:val="20"/>
        </w:rPr>
        <w:t xml:space="preserve">„Statistiku dočasné pracovní neschopnosti pro nemoc a úraz“ </w:t>
      </w:r>
      <w:r w:rsidRPr="001D42A6">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1D42A6" w:rsidRPr="001D42A6" w:rsidRDefault="001D42A6" w:rsidP="001D42A6">
      <w:pPr>
        <w:spacing w:before="120" w:after="120"/>
        <w:jc w:val="both"/>
        <w:rPr>
          <w:rFonts w:ascii="Arial" w:hAnsi="Arial" w:cs="Arial"/>
          <w:sz w:val="20"/>
          <w:szCs w:val="20"/>
        </w:rPr>
      </w:pPr>
      <w:r w:rsidRPr="001D42A6">
        <w:rPr>
          <w:rFonts w:ascii="Arial" w:hAnsi="Arial" w:cs="Arial"/>
          <w:sz w:val="20"/>
          <w:szCs w:val="20"/>
        </w:rPr>
        <w:t xml:space="preserve">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w:t>
      </w:r>
      <w:r w:rsidRPr="001D42A6">
        <w:rPr>
          <w:rFonts w:ascii="Arial" w:hAnsi="Arial" w:cs="Arial"/>
          <w:sz w:val="20"/>
          <w:szCs w:val="20"/>
        </w:rPr>
        <w:lastRenderedPageBreak/>
        <w:t>a Úřadu pro zahraniční styky a informace a vojáci z povolání (§ 5 písm. a) bod 2 zákona č.187/2006 Sb.) se pro účely této statistiky nesledují.</w:t>
      </w:r>
    </w:p>
    <w:p w:rsidR="001D42A6" w:rsidRPr="001D42A6" w:rsidRDefault="001D42A6" w:rsidP="001D42A6">
      <w:pPr>
        <w:spacing w:before="120" w:after="120"/>
        <w:jc w:val="both"/>
        <w:rPr>
          <w:rFonts w:ascii="Arial" w:hAnsi="Arial" w:cs="Arial"/>
          <w:sz w:val="20"/>
          <w:szCs w:val="20"/>
        </w:rPr>
      </w:pPr>
      <w:r w:rsidRPr="001D42A6">
        <w:rPr>
          <w:rFonts w:ascii="Arial" w:hAnsi="Arial" w:cs="Arial"/>
          <w:sz w:val="20"/>
          <w:szCs w:val="20"/>
        </w:rPr>
        <w:t>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Ukazatel případů pracovních úrazů zahrnuje ty případy, které měly za následek pracovní neschopnost delší než tři kalendářní dny. Do těchto tří dnů se nezapočítává den, ve kterém k úrazu došlo. Ústav zdravotnických informací statistiky sleduje a zjišťuje dočasné pracovní neschopnosti z dat ČSSZ pouze pro případy ukončené ve sledovaném roce. Rozdíly v počtech nově hlášených a ukončených případů dočasné pracovní neschopnosti mezi oběma zdroji jsou dány odlišnou metodikou sběru dat.</w:t>
      </w:r>
    </w:p>
    <w:p w:rsidR="001D42A6" w:rsidRPr="001D42A6" w:rsidRDefault="001D42A6" w:rsidP="001D42A6">
      <w:pPr>
        <w:pStyle w:val="Zkladntextodsazen"/>
        <w:ind w:firstLine="0"/>
        <w:rPr>
          <w:rFonts w:cs="Arial"/>
          <w:b/>
        </w:rPr>
      </w:pPr>
      <w:r w:rsidRPr="001D42A6">
        <w:rPr>
          <w:rFonts w:cs="Arial"/>
          <w:b/>
        </w:rPr>
        <w:t>Způsob výpočtu relativních ukazatelů:</w:t>
      </w:r>
    </w:p>
    <w:p w:rsidR="001D42A6" w:rsidRPr="001D42A6" w:rsidRDefault="001D42A6" w:rsidP="001D42A6">
      <w:pPr>
        <w:pStyle w:val="Zkladntextodsazen"/>
        <w:rPr>
          <w:rFonts w:cs="Arial"/>
        </w:rPr>
      </w:pPr>
    </w:p>
    <w:p w:rsidR="001D42A6" w:rsidRPr="001D42A6" w:rsidRDefault="001D42A6" w:rsidP="001D42A6">
      <w:pPr>
        <w:pStyle w:val="Zkladntextodsazen"/>
        <w:ind w:firstLine="0"/>
        <w:rPr>
          <w:rFonts w:cs="Arial"/>
        </w:rPr>
      </w:pPr>
      <w:r w:rsidRPr="001D42A6">
        <w:rPr>
          <w:rFonts w:cs="Arial"/>
          <w:b/>
        </w:rPr>
        <w:t>Četnost případů na 100 pojištěnců</w:t>
      </w:r>
      <w:r w:rsidRPr="001D42A6">
        <w:rPr>
          <w:rFonts w:cs="Arial"/>
        </w:rPr>
        <w:t xml:space="preserve"> = nově hlášené případy dočasné pracovní neschopnosti x 100 / průměrný počet osob nemocensky pojištěných</w:t>
      </w:r>
    </w:p>
    <w:p w:rsidR="001D42A6" w:rsidRPr="001D42A6" w:rsidRDefault="001D42A6" w:rsidP="001D42A6">
      <w:pPr>
        <w:pStyle w:val="Zkladntextodsazen"/>
        <w:rPr>
          <w:rFonts w:cs="Arial"/>
        </w:rPr>
      </w:pPr>
    </w:p>
    <w:p w:rsidR="001D42A6" w:rsidRPr="001D42A6" w:rsidRDefault="001D42A6" w:rsidP="001D42A6">
      <w:pPr>
        <w:pStyle w:val="Zkladntextodsazen"/>
        <w:ind w:firstLine="0"/>
        <w:rPr>
          <w:rFonts w:cs="Arial"/>
        </w:rPr>
      </w:pPr>
      <w:r w:rsidRPr="001D42A6">
        <w:rPr>
          <w:rFonts w:cs="Arial"/>
          <w:b/>
        </w:rPr>
        <w:t>Průměrná délka trvání případu ve dnech</w:t>
      </w:r>
      <w:r w:rsidRPr="001D42A6">
        <w:rPr>
          <w:rFonts w:cs="Arial"/>
        </w:rPr>
        <w:t xml:space="preserve"> =</w:t>
      </w:r>
      <w:r w:rsidRPr="001D42A6">
        <w:rPr>
          <w:rFonts w:cs="Arial"/>
          <w:b/>
        </w:rPr>
        <w:t xml:space="preserve"> </w:t>
      </w:r>
      <w:r w:rsidRPr="001D42A6">
        <w:rPr>
          <w:rFonts w:cs="Arial"/>
        </w:rPr>
        <w:t>kalendářní dny dočasné pracovní neschopnosti / nově hlášené případy pracovní neschopnosti</w:t>
      </w:r>
    </w:p>
    <w:p w:rsidR="001D42A6" w:rsidRPr="001D42A6" w:rsidRDefault="001D42A6" w:rsidP="001D42A6">
      <w:pPr>
        <w:pStyle w:val="Zkladntextodsazen"/>
        <w:rPr>
          <w:rFonts w:cs="Arial"/>
          <w:b/>
        </w:rPr>
      </w:pPr>
    </w:p>
    <w:p w:rsidR="001D42A6" w:rsidRPr="001D42A6" w:rsidRDefault="001D42A6" w:rsidP="001D42A6">
      <w:pPr>
        <w:pStyle w:val="Zkladntextodsazen"/>
        <w:ind w:firstLine="0"/>
        <w:rPr>
          <w:rFonts w:cs="Arial"/>
        </w:rPr>
      </w:pPr>
      <w:r w:rsidRPr="001D42A6">
        <w:rPr>
          <w:rFonts w:cs="Arial"/>
          <w:b/>
        </w:rPr>
        <w:t>Průměrné procento dočasné pracovní neschopnosti</w:t>
      </w:r>
      <w:r w:rsidRPr="001D42A6">
        <w:rPr>
          <w:rFonts w:cs="Arial"/>
        </w:rPr>
        <w:t xml:space="preserve"> = kalendářní dny dočasné pracovní neschopnosti x 100 / (průměrný počet osob nemocensky pojištěných x počet kalendářních dnů ve sledovaném období)</w:t>
      </w:r>
    </w:p>
    <w:p w:rsidR="001D42A6" w:rsidRPr="001D42A6" w:rsidRDefault="001D42A6" w:rsidP="001D42A6">
      <w:pPr>
        <w:pStyle w:val="Zkladntextodsazen"/>
        <w:rPr>
          <w:rFonts w:cs="Arial"/>
          <w:b/>
        </w:rPr>
      </w:pPr>
    </w:p>
    <w:p w:rsidR="001D42A6" w:rsidRPr="001D42A6" w:rsidRDefault="001D42A6" w:rsidP="001D42A6">
      <w:pPr>
        <w:pStyle w:val="Zkladntextodsazen"/>
        <w:ind w:firstLine="0"/>
        <w:rPr>
          <w:rFonts w:cs="Arial"/>
        </w:rPr>
      </w:pPr>
      <w:r w:rsidRPr="001D42A6">
        <w:rPr>
          <w:rFonts w:cs="Arial"/>
          <w:b/>
        </w:rPr>
        <w:t xml:space="preserve">Průměrný denní stav dočasně práce neschopných </w:t>
      </w:r>
      <w:r w:rsidRPr="001D42A6">
        <w:rPr>
          <w:rFonts w:cs="Arial"/>
        </w:rPr>
        <w:t>=</w:t>
      </w:r>
      <w:r w:rsidRPr="001D42A6">
        <w:rPr>
          <w:rFonts w:cs="Arial"/>
          <w:b/>
        </w:rPr>
        <w:t xml:space="preserve"> </w:t>
      </w:r>
      <w:r w:rsidRPr="001D42A6">
        <w:rPr>
          <w:rFonts w:cs="Arial"/>
        </w:rPr>
        <w:t>kalendářní dny dočasné pracovní neschopnosti / počet kalendářních dnů ve sledovaném období</w:t>
      </w:r>
    </w:p>
    <w:p w:rsidR="00742199" w:rsidRPr="00C63FAD" w:rsidRDefault="00742199" w:rsidP="00C63FAD">
      <w:pPr>
        <w:pStyle w:val="Rbntext"/>
        <w:spacing w:before="0" w:line="228" w:lineRule="auto"/>
        <w:rPr>
          <w:rFonts w:cs="Arial"/>
          <w:b/>
          <w:bCs/>
          <w:sz w:val="24"/>
          <w:szCs w:val="24"/>
        </w:rPr>
      </w:pP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2016/2015, respektive 2015/2014,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224A30">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1D42A6">
      <w:rPr>
        <w:rStyle w:val="slostrnky"/>
        <w:noProof/>
      </w:rPr>
      <w:t>1</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0F649F"/>
    <w:rsid w:val="00144A26"/>
    <w:rsid w:val="00145516"/>
    <w:rsid w:val="001613CD"/>
    <w:rsid w:val="00181802"/>
    <w:rsid w:val="001950B2"/>
    <w:rsid w:val="001B593D"/>
    <w:rsid w:val="001B7B3E"/>
    <w:rsid w:val="001C0952"/>
    <w:rsid w:val="001D42A6"/>
    <w:rsid w:val="001E5325"/>
    <w:rsid w:val="001F038B"/>
    <w:rsid w:val="00206A0D"/>
    <w:rsid w:val="002107AF"/>
    <w:rsid w:val="00221F5E"/>
    <w:rsid w:val="00224A30"/>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E596E"/>
    <w:rsid w:val="004F439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B2CD1"/>
    <w:rsid w:val="006C1291"/>
    <w:rsid w:val="006C63A8"/>
    <w:rsid w:val="006D1634"/>
    <w:rsid w:val="006D3A53"/>
    <w:rsid w:val="006D6D51"/>
    <w:rsid w:val="006E3019"/>
    <w:rsid w:val="007003DC"/>
    <w:rsid w:val="007012DA"/>
    <w:rsid w:val="00714181"/>
    <w:rsid w:val="007166B0"/>
    <w:rsid w:val="00717B0B"/>
    <w:rsid w:val="00726CDC"/>
    <w:rsid w:val="00742199"/>
    <w:rsid w:val="007639B7"/>
    <w:rsid w:val="00767361"/>
    <w:rsid w:val="007B3135"/>
    <w:rsid w:val="007B5D42"/>
    <w:rsid w:val="007C2441"/>
    <w:rsid w:val="007E228D"/>
    <w:rsid w:val="007F0639"/>
    <w:rsid w:val="007F638D"/>
    <w:rsid w:val="00812E3B"/>
    <w:rsid w:val="00813FC0"/>
    <w:rsid w:val="00814D7F"/>
    <w:rsid w:val="00815C7C"/>
    <w:rsid w:val="008340DA"/>
    <w:rsid w:val="0083418A"/>
    <w:rsid w:val="00843265"/>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C08CC"/>
    <w:rsid w:val="00BD2EC3"/>
    <w:rsid w:val="00BE70D9"/>
    <w:rsid w:val="00C14E0A"/>
    <w:rsid w:val="00C63FAD"/>
    <w:rsid w:val="00C75C59"/>
    <w:rsid w:val="00C92701"/>
    <w:rsid w:val="00CA2FB3"/>
    <w:rsid w:val="00CC1FBA"/>
    <w:rsid w:val="00CF5312"/>
    <w:rsid w:val="00D006FF"/>
    <w:rsid w:val="00D20F62"/>
    <w:rsid w:val="00D65896"/>
    <w:rsid w:val="00DA0916"/>
    <w:rsid w:val="00DA573C"/>
    <w:rsid w:val="00DA6DC9"/>
    <w:rsid w:val="00DB0427"/>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EBAF-1615-469A-B994-AB3C9919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3812</Words>
  <Characters>23427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27185</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Dagmar Dvořáková</cp:lastModifiedBy>
  <cp:revision>4</cp:revision>
  <cp:lastPrinted>2016-12-20T13:47:00Z</cp:lastPrinted>
  <dcterms:created xsi:type="dcterms:W3CDTF">2016-06-27T16:17:00Z</dcterms:created>
  <dcterms:modified xsi:type="dcterms:W3CDTF">2016-12-20T13:47:00Z</dcterms:modified>
</cp:coreProperties>
</file>