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7DEC8" w14:textId="77777777" w:rsidR="00D7490C" w:rsidRPr="009110F7" w:rsidRDefault="00D7490C" w:rsidP="00D7490C">
      <w:pPr>
        <w:pStyle w:val="Nadpis11"/>
      </w:pPr>
      <w:bookmarkStart w:id="0" w:name="_Toc511215218"/>
      <w:bookmarkStart w:id="1" w:name="_Toc42852411"/>
      <w:bookmarkStart w:id="2" w:name="_Toc19090678"/>
      <w:bookmarkStart w:id="3" w:name="_Toc26539342"/>
      <w:bookmarkEnd w:id="0"/>
      <w:r w:rsidRPr="009110F7">
        <w:t>5</w:t>
      </w:r>
      <w:r>
        <w:t>. </w:t>
      </w:r>
      <w:r w:rsidRPr="009110F7">
        <w:t>Ceny</w:t>
      </w:r>
      <w:bookmarkEnd w:id="1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5"/>
        <w:gridCol w:w="224"/>
        <w:gridCol w:w="7610"/>
      </w:tblGrid>
      <w:tr w:rsidR="00D7490C" w:rsidRPr="009110F7" w14:paraId="5A906BFF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400A65FD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Cenová hladina v 1. čtvrtletí výrazně rostla.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69F771C0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4D3C098" w14:textId="77777777" w:rsidR="00D7490C" w:rsidRPr="00793D78" w:rsidRDefault="00D7490C" w:rsidP="00D07AFF">
            <w:pPr>
              <w:rPr>
                <w:szCs w:val="20"/>
              </w:rPr>
            </w:pPr>
            <w:r>
              <w:rPr>
                <w:szCs w:val="20"/>
              </w:rPr>
              <w:t>Celková cenová hladina (měřeno deflátorem HDP) se v 1. čtvrtletí meziročně zvýšila o 3,6 %. Udržel se tam poměrně vysoký růst cenové hladiny z minulého roku. K navýšení výrazně přispívaly spotřební statky (4,1 %). Výrazně zrychlil růst cenové hladiny u spotřebních statků pro domácnosti (3,9 %), silná byla rovněž dynamika u vládních institucí (4,8 %). Cenová hladina kapitálových statků meziročně rostla o 2,3 %, stejně jako ve 3. a 4. čtvrtletí 2019. Směnné relace v 1. čtvrtletí dosáhly 100,3 % a mírně se snížily oproti předchozímu pololetí. Důvodem byl zejména pokles směnných relací u zboží (100,2 %), u služeb se držely na 100,9 %.</w:t>
            </w:r>
          </w:p>
        </w:tc>
      </w:tr>
      <w:tr w:rsidR="00D7490C" w:rsidRPr="009110F7" w14:paraId="005E48B1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718BFB3D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V 1. čtvrtletí zrychlil meziroční růst spotřebitelských cen, …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223238B1" w14:textId="77777777" w:rsidR="00D7490C" w:rsidRPr="00793D78" w:rsidRDefault="00D7490C" w:rsidP="00D07AFF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BB59692" w14:textId="77777777" w:rsidR="00D7490C" w:rsidRPr="000316FC" w:rsidRDefault="00D7490C" w:rsidP="00D07AFF">
            <w:r w:rsidRPr="00D3614A">
              <w:t>Mezi</w:t>
            </w:r>
            <w:r>
              <w:t>roční přírůstek indexu spotřebitelských cen v 1. čtvrtletí 2020 dosáhl 3,6 %. Dynamika cen tak navázala na zrychlení patrné již na konci předchozího roku (meziroční přírůstek ve 4. čtvrtletí 2019 dosáhl 3,0 %) a byla nejvyšší od 1. čtvrtletí 2012. Největší vliv na meziroční tempo růstu cen měly v 1. čtvrtletí potraviny a nealkoholické nápoje a rovněž bydlení, voda, energie a paliva. Zatímco u cen bydlení a energií dynamika oproti předchozímu čtvrtletí mírně polevila, u potravin pokračovalo prudké zrychlování. Výrazné posílení celkového meziročního tempa růstu tak způsobil zejména vývoj cen potravin a nealkoholických nápojů dále podpořený administrativními změnami, které se projevily v navýšení cen alkoholických nápojů a tabáku. S výjimkou cen pošt a telekomunikací ale v 1. čtvrtletí meziročně zdražovaly výrobky ve všech oddílech spotřebitelského koše.</w:t>
            </w:r>
          </w:p>
        </w:tc>
      </w:tr>
      <w:tr w:rsidR="00D7490C" w:rsidRPr="009110F7" w14:paraId="7A154FD2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3C176646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… a to zejména vlivem cen potravin.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68BB5934" w14:textId="77777777" w:rsidR="00D7490C" w:rsidRPr="00793D78" w:rsidRDefault="00D7490C" w:rsidP="00D07AFF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65A1CF1" w14:textId="5AA26467" w:rsidR="00D7490C" w:rsidRDefault="00D7490C" w:rsidP="00D07AFF">
            <w:r>
              <w:t>Ceny potravin a nealkoholických nápojů v 1. čtvrtletí meziročně vzrostly o 6,1 %. Jde o výrazně vyšší tempo než v loňském roce i předchozím kvartálu (2,8 % v roce 2019, 4,3 % ve 4. čtvrtletí) a největší nárůst od 4. čtvrtletí 2017. Nejvíce zrychlil růst cen</w:t>
            </w:r>
            <w:r w:rsidR="0092292F">
              <w:t xml:space="preserve"> ovoce (na 16,7 %), dále se zvýšil růst cen</w:t>
            </w:r>
            <w:r>
              <w:t xml:space="preserve"> masa (na 12,1 %), ryb a mořských plodů (5,0 %) a mléka, sýrů a vajec (2,0 %). V případě masa se do cen pro spotřebitele nadále promítá krize způsobená veterinární situací</w:t>
            </w:r>
            <w:r>
              <w:rPr>
                <w:rStyle w:val="Znakapoznpodarou"/>
                <w:spacing w:val="-2"/>
              </w:rPr>
              <w:footnoteReference w:id="1"/>
            </w:r>
            <w:r>
              <w:t xml:space="preserve"> a souvisejícím propadem nabídky vepřového masa. Naopak oslabil růst cen pekárenských výrobků a obilovin, ačkoli si solidní tempo udržel (2,7 %).</w:t>
            </w:r>
          </w:p>
        </w:tc>
      </w:tr>
      <w:tr w:rsidR="00D7490C" w:rsidRPr="009110F7" w14:paraId="142CBB0C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1EA41850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Dynamiku cen i nadále významně podporovalo bydlení a energie, jejich růst ale mírně oslabil.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184573A1" w14:textId="77777777" w:rsidR="00D7490C" w:rsidRPr="00793D78" w:rsidRDefault="00D7490C" w:rsidP="00D07AFF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B71B4AA" w14:textId="77777777" w:rsidR="00D7490C" w:rsidRDefault="00D7490C" w:rsidP="00D07AFF">
            <w:r>
              <w:t>Bydlení a energie, které byly nejsilnějším hybatelem cenového růstu v minulém roce, i v 1. čtvrtletí letošního roku zdražovaly (meziroční přírůstek 4,2 %). Dynamika ale oproti loňskému roku (5,3 %) značně polevila a v jednotlivých měsících 1. kvartálu postupně zpomalovala. Poměrně vysoký zůstal přírůstek cen nájemného z bytu (4,3 %), značné ale bylo zmírnění v případě imputovaného nájemného (3,7 % v 1. čtvrtletí, 5,1 % v roce 2019). Po silnějším lednovém nárůstu oslabila meziroční dynamika cen elektrické a tepelné energie, plynu a ostatních paliv a celkově se zde ceny v 1. kvartálu zvýšily o 4,7 %. Ačkoli jde nepochybně o silný růst, tempo již nedosahuje úrovně loňského roku (7,0 %). Také běžná údržba a drobné opravy bytu zdražovaly mírněji než loni, ale stále výrazně (3,7 %). Značně posílil meziroční růst cen ostatních služeb souvisejících s bydlením (5,7 %).</w:t>
            </w:r>
          </w:p>
        </w:tc>
      </w:tr>
      <w:tr w:rsidR="00D7490C" w:rsidRPr="009110F7" w14:paraId="5F3B74BB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1310744F" w14:textId="77777777" w:rsidR="00D7490C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Zvýšení spotřební daně vedlo i ke zrychlení růstu cen alkoholických nápojů a tabáku.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794AAFF8" w14:textId="77777777" w:rsidR="00D7490C" w:rsidRPr="00793D78" w:rsidRDefault="00D7490C" w:rsidP="00D07AFF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14DC2EA" w14:textId="77777777" w:rsidR="00D7490C" w:rsidRDefault="00D7490C" w:rsidP="00D07AFF">
            <w:r>
              <w:t xml:space="preserve">K celkovému meziročnímu přírůstku spotřebitelských cen v 1. čtvrtletí významně přispěly i alkoholické nápoje a tabák, jejichž ceny se zvýšily o 3,5 %. Výraznější bylo zdražování alkoholických nápojů (4,5 %), kterým hned na počátku dalo impulz zvýšení spotřební daně. U tabáku se daň zvyšovala také, kvůli předzásobení ale cenový dopad nebyl patrný hned od počátku platnosti nových daňových sazeb (meziroční přírůstek o 2,6 %). Dalším oddílem spotřebního koše významným pro celkovou dynamiku cen bylo stravování a ubytování (5,5 %). Úroveň cen stravovacích služeb se přitom navýšila více (5,6 %) než ceny ubytovacích služeb (4,9 %), což lze mimo jiné vysvětlit kombinací </w:t>
            </w:r>
            <w:r>
              <w:lastRenderedPageBreak/>
              <w:t>vlivů dražších potravin i vyšších mzdových nákladů. Mírně nižší dopad na celkový index měly ceny dopravy, které se v 1. čtvrtletí zvýšily o 1,7 %. V prvních dvou měsících roku přitom meziročně rostly více než 2% tempem, prudký propad cen ropy</w:t>
            </w:r>
            <w:r>
              <w:rPr>
                <w:rStyle w:val="Znakapoznpodarou"/>
              </w:rPr>
              <w:footnoteReference w:id="2"/>
            </w:r>
            <w:r>
              <w:t>, a tedy i provozu dopravních prostředků v březnu však výsledný přírůstek tlumil. Ceny nákupů osobních dopravních prostředků meziročně stagnovaly (0,2 %), ceny dopravních služeb se zvýšily o 3,2 %. I nadále poměrně výrazně rostly ceny ostatního zboží a služeb (3,7 %). Z dalších oddílů spotřebitelského koše byl zajímavý zejména vývoj cen oděvů a obuvi, které dosáhly nejvyššího meziročního nárůstu od roku 2015 (3,5 %). Meziroční pokles nastal pouze u cen pošt a telekomunikací (–4,2 %).</w:t>
            </w:r>
          </w:p>
        </w:tc>
      </w:tr>
      <w:tr w:rsidR="00D7490C" w:rsidRPr="00D75AC1" w14:paraId="22374D16" w14:textId="77777777" w:rsidTr="00D07AFF">
        <w:trPr>
          <w:trHeight w:val="170"/>
        </w:trPr>
        <w:tc>
          <w:tcPr>
            <w:tcW w:w="1805" w:type="dxa"/>
            <w:vMerge w:val="restart"/>
            <w:shd w:val="clear" w:color="auto" w:fill="auto"/>
            <w:tcMar>
              <w:left w:w="0" w:type="dxa"/>
            </w:tcMar>
          </w:tcPr>
          <w:p w14:paraId="06FA0F17" w14:textId="77777777" w:rsidR="00D7490C" w:rsidRDefault="00D7490C" w:rsidP="00D07AFF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4221A113" w14:textId="77777777" w:rsidR="00D7490C" w:rsidRPr="00793D78" w:rsidRDefault="00D7490C" w:rsidP="00D07AFF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F2D26D4" w14:textId="77777777" w:rsidR="00D7490C" w:rsidRPr="00D75AC1" w:rsidRDefault="00D7490C" w:rsidP="00D07AFF">
            <w:pPr>
              <w:spacing w:after="0"/>
              <w:rPr>
                <w:b/>
                <w:szCs w:val="20"/>
              </w:rPr>
            </w:pP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Graf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č. 9 </w:t>
            </w: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Ceny ve vybraných oddílech indexu spotřebitelských cen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9067EA">
              <w:rPr>
                <w:rFonts w:cs="Arial"/>
                <w:color w:val="000000"/>
                <w:sz w:val="18"/>
                <w:szCs w:val="18"/>
              </w:rPr>
              <w:t>(meziročně v %)</w:t>
            </w:r>
          </w:p>
        </w:tc>
      </w:tr>
      <w:tr w:rsidR="00D7490C" w:rsidRPr="009110F7" w14:paraId="72DB9609" w14:textId="77777777" w:rsidTr="00D07AFF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5" w:type="dxa"/>
            <w:vMerge/>
            <w:shd w:val="clear" w:color="auto" w:fill="auto"/>
          </w:tcPr>
          <w:p w14:paraId="3E951611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</w:tcPr>
          <w:p w14:paraId="787C522E" w14:textId="77777777" w:rsidR="00D7490C" w:rsidRPr="00793D78" w:rsidRDefault="00D7490C" w:rsidP="00D07AFF">
            <w:pPr>
              <w:pStyle w:val="Textpoznpodarou"/>
              <w:jc w:val="both"/>
            </w:pPr>
          </w:p>
        </w:tc>
        <w:tc>
          <w:tcPr>
            <w:tcW w:w="7610" w:type="dxa"/>
            <w:shd w:val="clear" w:color="auto" w:fill="auto"/>
          </w:tcPr>
          <w:p w14:paraId="54699DE7" w14:textId="77777777" w:rsidR="00D7490C" w:rsidRPr="00793D78" w:rsidRDefault="00D7490C" w:rsidP="00D07AFF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37C7C6A" wp14:editId="09BDDD55">
                  <wp:extent cx="4737600" cy="3438900"/>
                  <wp:effectExtent l="0" t="0" r="6350" b="0"/>
                  <wp:docPr id="1" name="Graf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D7490C" w:rsidRPr="009110F7" w14:paraId="16951B88" w14:textId="77777777" w:rsidTr="00D07AFF">
        <w:trPr>
          <w:trHeight w:val="170"/>
        </w:trPr>
        <w:tc>
          <w:tcPr>
            <w:tcW w:w="1805" w:type="dxa"/>
            <w:vMerge/>
            <w:shd w:val="clear" w:color="auto" w:fill="auto"/>
            <w:tcMar>
              <w:left w:w="0" w:type="dxa"/>
            </w:tcMar>
          </w:tcPr>
          <w:p w14:paraId="6D17BF6B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  <w:tcMar>
              <w:left w:w="0" w:type="dxa"/>
            </w:tcMar>
          </w:tcPr>
          <w:p w14:paraId="4317584B" w14:textId="77777777" w:rsidR="00D7490C" w:rsidRPr="00793D78" w:rsidRDefault="00D7490C" w:rsidP="00D07AFF">
            <w:pPr>
              <w:pStyle w:val="Textpoznpodarou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1A308CA" w14:textId="77777777" w:rsidR="00D7490C" w:rsidRPr="00793D78" w:rsidRDefault="00D7490C" w:rsidP="00D07AFF">
            <w:pPr>
              <w:rPr>
                <w:sz w:val="14"/>
                <w:szCs w:val="14"/>
              </w:rPr>
            </w:pPr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D7490C" w:rsidRPr="009110F7" w14:paraId="6C698060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714DE47B" w14:textId="77777777" w:rsidR="00D7490C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růst spotřebitelských cen v EU v 1. čtvrtletí mírně zrychlil.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44325BD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F0BA298" w14:textId="77777777" w:rsidR="00D7490C" w:rsidRDefault="00D7490C" w:rsidP="00D07AFF">
            <w:r>
              <w:t>Harmonizovaný index spotřebitelských cen v EU se v 1. čtvrtletí meziročně zvýšil o 1,5 %. To je drobné zrychlení oproti 2. pololetí loňského roku. Rostly zejména ceny potravin a nealkoholických nápojů, alkoholických nápojů a tabáku a nadprůměrné bylo také tempo u cen stravování a ubytování. Klesaly ceny pošt a telekomunikací a v závěru čtvrtletí rovněž ceny dopravy. Nejsilněji rostly spotřebitelské ceny v Maďarsku (4,4 %), Polsku (3,9 %) a Česku (3,7 %). U všech se na silném cenovém růstu významně podílely zejména potraviny a nealkoholické nápoje. Nejnižší meziroční přírůstek měly v 1. čtvrtletí spotřebitelské ceny v Itálii (0,2 %), Portugalsku (0,5 %) a shodně 0,6 % v Řecku, Dánsku a na Kypru.</w:t>
            </w:r>
          </w:p>
        </w:tc>
      </w:tr>
      <w:tr w:rsidR="00D7490C" w:rsidRPr="009110F7" w14:paraId="2936F409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266ED6F1" w14:textId="77777777" w:rsidR="00D7490C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bytů dále rostly poměrně silným tempem.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5389CF8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7EA7928" w14:textId="0B69DD70" w:rsidR="00D7490C" w:rsidRDefault="00D7490C" w:rsidP="00C216DF">
            <w:r>
              <w:t xml:space="preserve">Nabídkové ceny bytů v 1. čtvrtletí pokračovaly v růstu. Meziročně se v celé ČR zvýšily o 6,0 %, přičemž v Praze narůstaly o poznání pomaleji (3,6 %) než ve zbytku země (9,5 %). Z pohledu několika posledních čtvrtletí je vidět ustálení dynamiky, a v 1. čtvrtletí dokonce mírné zrychlení. I mezičtvrtletní přírůstek (1,7 % v celé ČR) potvrzuje, že růst cen bytů se v posledních třech čtvrtletích </w:t>
            </w:r>
            <w:r w:rsidR="00262CF3">
              <w:t xml:space="preserve">v podstatě </w:t>
            </w:r>
            <w:r>
              <w:t>ustálil a zpomaluje</w:t>
            </w:r>
            <w:r w:rsidR="00262CF3">
              <w:t xml:space="preserve"> jen velmi mírně</w:t>
            </w:r>
            <w:r>
              <w:t xml:space="preserve">. Podobný byl vývoj realizovaných cen starších bytů. Ty se v celém Česku zvýšily o 10,6 % a v Praze o 6,2 %. Mezičtvrtletně se realizované ceny </w:t>
            </w:r>
            <w:r w:rsidR="00C216DF">
              <w:t xml:space="preserve">starších bytů </w:t>
            </w:r>
            <w:r>
              <w:t xml:space="preserve">v ČR zvýšily o 2,8 %. Výrazný rozdíl dynamiky mezi Prahou a zbytkem </w:t>
            </w:r>
            <w:r>
              <w:lastRenderedPageBreak/>
              <w:t>ČR trvá již čtyři čtvrtletí. Projevuje se na něm přeliv silné poptávky z hlavního města do okolí. Roli hraje i cenová úroveň, kterou ještě kupující v hlavním městě mohou akceptovat. U nových bytů v Praze se ale v 1. čtvrtletí ceny zvýšily o 10,8 % a oproti předchozím třem čtvrtletím růst výrazně zrychlil.</w:t>
            </w:r>
          </w:p>
        </w:tc>
      </w:tr>
      <w:tr w:rsidR="00D7490C" w:rsidRPr="009110F7" w14:paraId="72454CA8" w14:textId="77777777" w:rsidTr="00D07AFF">
        <w:trPr>
          <w:trHeight w:val="170"/>
        </w:trPr>
        <w:tc>
          <w:tcPr>
            <w:tcW w:w="1805" w:type="dxa"/>
            <w:vMerge w:val="restart"/>
            <w:shd w:val="clear" w:color="auto" w:fill="auto"/>
            <w:tcMar>
              <w:left w:w="0" w:type="dxa"/>
            </w:tcMar>
          </w:tcPr>
          <w:p w14:paraId="3C3CC474" w14:textId="77777777" w:rsidR="00D7490C" w:rsidRDefault="00D7490C" w:rsidP="00D07AFF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02495F0D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3D01F15" w14:textId="77777777" w:rsidR="00D7490C" w:rsidRDefault="00D7490C" w:rsidP="00D07AFF">
            <w:pPr>
              <w:spacing w:after="0"/>
            </w:pPr>
            <w:r>
              <w:rPr>
                <w:b/>
                <w:sz w:val="18"/>
                <w:szCs w:val="18"/>
                <w:lang w:eastAsia="en-US"/>
              </w:rPr>
              <w:t>Graf č. 10</w:t>
            </w:r>
            <w:r w:rsidRPr="00793D78">
              <w:rPr>
                <w:b/>
                <w:sz w:val="18"/>
                <w:szCs w:val="18"/>
                <w:lang w:eastAsia="en-US"/>
              </w:rPr>
              <w:t xml:space="preserve">  Ceny nemovitostí </w:t>
            </w:r>
            <w:r w:rsidRPr="009067EA">
              <w:rPr>
                <w:sz w:val="18"/>
                <w:szCs w:val="18"/>
                <w:lang w:eastAsia="en-US"/>
              </w:rPr>
              <w:t>(meziroční změna, v %)</w:t>
            </w:r>
          </w:p>
        </w:tc>
      </w:tr>
      <w:tr w:rsidR="00D7490C" w:rsidRPr="009110F7" w14:paraId="7BDADCFD" w14:textId="77777777" w:rsidTr="00D07AFF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5" w:type="dxa"/>
            <w:vMerge/>
            <w:shd w:val="clear" w:color="auto" w:fill="auto"/>
          </w:tcPr>
          <w:p w14:paraId="679ACCAE" w14:textId="77777777" w:rsidR="00D7490C" w:rsidRDefault="00D7490C" w:rsidP="00D07AFF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</w:tcPr>
          <w:p w14:paraId="38AB0E98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</w:tcPr>
          <w:p w14:paraId="155BBFD4" w14:textId="77777777" w:rsidR="00D7490C" w:rsidRDefault="00D7490C" w:rsidP="00D72DBA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3E0ABDE" wp14:editId="6D2E4102">
                  <wp:extent cx="4737600" cy="3553200"/>
                  <wp:effectExtent l="0" t="0" r="6350" b="0"/>
                  <wp:docPr id="5" name="Graf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7490C" w:rsidRPr="009110F7" w14:paraId="2C2ED9E1" w14:textId="77777777" w:rsidTr="00D07AFF">
        <w:trPr>
          <w:trHeight w:val="170"/>
        </w:trPr>
        <w:tc>
          <w:tcPr>
            <w:tcW w:w="1805" w:type="dxa"/>
            <w:vMerge/>
            <w:shd w:val="clear" w:color="auto" w:fill="auto"/>
            <w:tcMar>
              <w:left w:w="0" w:type="dxa"/>
            </w:tcMar>
          </w:tcPr>
          <w:p w14:paraId="165CBFDD" w14:textId="77777777" w:rsidR="00D7490C" w:rsidRDefault="00D7490C" w:rsidP="00D07AFF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  <w:tcMar>
              <w:left w:w="0" w:type="dxa"/>
            </w:tcMar>
          </w:tcPr>
          <w:p w14:paraId="7F392EC3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FC3F8DB" w14:textId="77777777" w:rsidR="00D7490C" w:rsidRDefault="00D7490C" w:rsidP="00D07AFF"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D7490C" w:rsidRPr="009110F7" w14:paraId="775C41AB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1C694AEE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růst cen průmyslových výrobců výrazně zvolnil.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E6C5D29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E3EB96B" w14:textId="51E66CC1" w:rsidR="00D7490C" w:rsidRDefault="00D7490C" w:rsidP="00167B92">
            <w:r>
              <w:t xml:space="preserve">Ceny průmyslových výrobců v 1. čtvrtletí meziročně vzrostly o 1,4 %. V porovnání s navýšením </w:t>
            </w:r>
            <w:r w:rsidR="00167B92">
              <w:t xml:space="preserve">za celý </w:t>
            </w:r>
            <w:r>
              <w:t>loňsk</w:t>
            </w:r>
            <w:r w:rsidR="00167B92">
              <w:t>ý</w:t>
            </w:r>
            <w:r>
              <w:t xml:space="preserve"> ro</w:t>
            </w:r>
            <w:r w:rsidR="00167B92">
              <w:t>k</w:t>
            </w:r>
            <w:r>
              <w:t xml:space="preserve"> (2,6 %) tak tempo poměrně výrazně zvolnilo. Lednový přírůstek ještě přesáhl 2 %, ale v dalších měsících se dynamika propadala. Důvodem zpomalení byl zejména meziroční vývoj cen výrobků a služeb zpracovatelského průmyslu, které v 1. čtvrtletí meziročně nerostly, a dále propad cen těžby a dobývání o 2,1 % (poprvé od roku 2016). Pozitivně k růstu cen výrobců přispívaly elektřina, plyn, pára a klimatizovaný vzduch (8,9 %) a zásobování vodou a služby související s odpadními vodami (5,4 %).</w:t>
            </w:r>
          </w:p>
        </w:tc>
      </w:tr>
      <w:tr w:rsidR="00D7490C" w:rsidRPr="009110F7" w14:paraId="7337BD03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29502A71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Vývoj cen ve zpracovatelském průmyslu i těžbě a dobývání výrazně ovlivnil pokles cen ropy.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3790B7E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5BA9D77" w14:textId="648D1008" w:rsidR="00D7490C" w:rsidRDefault="00D7490C" w:rsidP="00D72DBA">
            <w:pPr>
              <w:spacing w:after="0"/>
            </w:pPr>
            <w:r>
              <w:t>K meziroční stagnaci cen výrobků a služeb zpracovatelského průmyslu v 1. čtvrtletí nejvíce negativně přispěl vývoj cen koksu a rafinovaných ropných výrobků</w:t>
            </w:r>
            <w:r>
              <w:rPr>
                <w:rStyle w:val="Znakapoznpodarou"/>
              </w:rPr>
              <w:footnoteReference w:id="3"/>
            </w:r>
            <w:r>
              <w:t xml:space="preserve"> a dále obecných kovů a kovodělných výrobků (propad o 3,3 %, hlavně </w:t>
            </w:r>
            <w:r w:rsidR="00167B92">
              <w:t xml:space="preserve">základní </w:t>
            </w:r>
            <w:r>
              <w:t>kovy). Poklesly rovněž ceny dřeva, papíru a tisku o 3,1 % (zlevňovalo dřevo i papír) a ceny dopravních prostředků o 0,5 % (klesaly zejména ceny dílů a příslušenství). Růst cen ve zpracovatelském průmyslu naopak výrazně posilovaly potravinářské výrobky, nápoje a tabák (4,2 %, prudce rostly hlavně ceny zpracovaného a konzervovaného masa) a nábytek a ostatní výrobky zpracovatelského průmyslu (4,4 %, navýšení proběhlo u o</w:t>
            </w:r>
            <w:r w:rsidRPr="004B0A3D">
              <w:t>prav, údržb</w:t>
            </w:r>
            <w:r>
              <w:t>y</w:t>
            </w:r>
            <w:r w:rsidRPr="004B0A3D">
              <w:t xml:space="preserve"> a</w:t>
            </w:r>
            <w:r>
              <w:t> </w:t>
            </w:r>
            <w:r w:rsidRPr="004B0A3D">
              <w:t>instalace strojů a</w:t>
            </w:r>
            <w:r>
              <w:t> </w:t>
            </w:r>
            <w:r w:rsidRPr="004B0A3D">
              <w:t>zařízení</w:t>
            </w:r>
            <w:r>
              <w:t xml:space="preserve">). Meziroční pokles cen těžby a dobývání byl způsoben zejména propadem cen ropy a zemního plynu o 4,5 % (klesly ceny zemního plynu o 12,2 %). Nárůst cen elektřiny, plynu, páry a klimatizovaného vzduchu byl způsoben zejména samotnou elektřinou, přenosem a rozvodem a obchodem s elektřinou (10,5 %, prudce narůstaly ceny elektřiny, její přenos </w:t>
            </w:r>
            <w:r w:rsidR="00167B92">
              <w:t xml:space="preserve">a rozvod </w:t>
            </w:r>
            <w:r>
              <w:t>zdražoval mírně).</w:t>
            </w:r>
          </w:p>
        </w:tc>
      </w:tr>
      <w:tr w:rsidR="00D7490C" w:rsidRPr="009110F7" w14:paraId="0C9859C0" w14:textId="77777777" w:rsidTr="00D07AFF">
        <w:trPr>
          <w:trHeight w:val="170"/>
        </w:trPr>
        <w:tc>
          <w:tcPr>
            <w:tcW w:w="1805" w:type="dxa"/>
            <w:vMerge w:val="restart"/>
            <w:shd w:val="clear" w:color="auto" w:fill="auto"/>
            <w:tcMar>
              <w:left w:w="0" w:type="dxa"/>
            </w:tcMar>
          </w:tcPr>
          <w:p w14:paraId="3C5B13AD" w14:textId="77777777" w:rsidR="00D7490C" w:rsidRDefault="00D7490C" w:rsidP="00D07AFF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0D0EA9CB" w14:textId="77777777" w:rsidR="00D7490C" w:rsidRPr="00793D78" w:rsidRDefault="00D7490C" w:rsidP="00D07AFF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6949157" w14:textId="77777777" w:rsidR="00D7490C" w:rsidRPr="00D75AC1" w:rsidRDefault="00D7490C" w:rsidP="00D07AFF">
            <w:pPr>
              <w:spacing w:after="0"/>
              <w:rPr>
                <w:b/>
                <w:szCs w:val="20"/>
              </w:rPr>
            </w:pPr>
            <w:r>
              <w:rPr>
                <w:b/>
                <w:sz w:val="18"/>
                <w:szCs w:val="18"/>
              </w:rPr>
              <w:t>Graf č. 11</w:t>
            </w:r>
            <w:r w:rsidRPr="00793D78">
              <w:rPr>
                <w:b/>
                <w:sz w:val="18"/>
                <w:szCs w:val="18"/>
              </w:rPr>
              <w:t xml:space="preserve">  </w:t>
            </w:r>
            <w:r w:rsidRPr="00793D78">
              <w:rPr>
                <w:b/>
                <w:sz w:val="18"/>
                <w:szCs w:val="18"/>
                <w:lang w:eastAsia="en-US"/>
              </w:rPr>
              <w:t xml:space="preserve">Ceny hlavních skupin průmyslových výrobců </w:t>
            </w:r>
            <w:r w:rsidRPr="009067EA">
              <w:rPr>
                <w:sz w:val="18"/>
                <w:szCs w:val="18"/>
                <w:lang w:eastAsia="en-US"/>
              </w:rPr>
              <w:t>(meziroční změna, v %, podle klasifikace CPA)</w:t>
            </w:r>
          </w:p>
        </w:tc>
      </w:tr>
      <w:tr w:rsidR="00D7490C" w:rsidRPr="009110F7" w14:paraId="5B99F666" w14:textId="77777777" w:rsidTr="00D07AFF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5" w:type="dxa"/>
            <w:vMerge/>
            <w:shd w:val="clear" w:color="auto" w:fill="auto"/>
          </w:tcPr>
          <w:p w14:paraId="4BB7D57E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</w:tcPr>
          <w:p w14:paraId="66862C32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</w:tcPr>
          <w:p w14:paraId="445A69CF" w14:textId="77777777" w:rsidR="00D7490C" w:rsidRPr="00793D78" w:rsidRDefault="00D7490C" w:rsidP="00D07AFF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280D001" wp14:editId="42B88DF4">
                  <wp:extent cx="4737600" cy="3432550"/>
                  <wp:effectExtent l="0" t="0" r="6350" b="0"/>
                  <wp:docPr id="12" name="Graf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7490C" w:rsidRPr="009110F7" w14:paraId="209883B5" w14:textId="77777777" w:rsidTr="00D07AFF">
        <w:trPr>
          <w:trHeight w:val="170"/>
        </w:trPr>
        <w:tc>
          <w:tcPr>
            <w:tcW w:w="1805" w:type="dxa"/>
            <w:vMerge/>
            <w:shd w:val="clear" w:color="auto" w:fill="auto"/>
            <w:tcMar>
              <w:left w:w="0" w:type="dxa"/>
            </w:tcMar>
          </w:tcPr>
          <w:p w14:paraId="3C8E9CD8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  <w:tcMar>
              <w:left w:w="0" w:type="dxa"/>
            </w:tcMar>
          </w:tcPr>
          <w:p w14:paraId="4623D2A0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7541AE4" w14:textId="77777777" w:rsidR="00D7490C" w:rsidRPr="00793D78" w:rsidRDefault="00D7490C" w:rsidP="00D07AFF"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D7490C" w:rsidRPr="009110F7" w14:paraId="48BE5F82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1601794B" w14:textId="77777777" w:rsidR="00D7490C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Propad cen ropy ovlivňoval vývoj cen průmyslových výrobců v EU.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196F11C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6ACA839" w14:textId="394A6D80" w:rsidR="00D7490C" w:rsidRDefault="00D7490C" w:rsidP="00167B92">
            <w:r>
              <w:t>Ceny průmyslových výrobců v EU v 1. čtvrtletí celkově meziročně klesly o 1,3 %. Pokračoval tak pokles z 2. pololetí 2019 a mírně se prohloubil. Na –8,</w:t>
            </w:r>
            <w:r w:rsidR="00167B92">
              <w:t>6</w:t>
            </w:r>
            <w:r>
              <w:t> % zesílil propad cen těžby a dobývání, hlavně kvůli cenám ropy. Pokračovala stagnace cen výrobků a služeb zpracovatelského průmyslu (0,1 %). Vysoká srovnávací základna loňského 1. čtvrtletí byla mimo jiné důvodem 7,2% propadu cen elektřiny, plynu, páry a klimatizovaného vzduchu. Mezi jednotlivými zeměmi ale byly značné rozdíly. Ceny průmyslových výrobců se zvýšily v 11 zemích, nejvíce v Bulharsku (3,</w:t>
            </w:r>
            <w:r w:rsidR="00167B92">
              <w:t>3</w:t>
            </w:r>
            <w:r>
              <w:t> %)</w:t>
            </w:r>
            <w:r w:rsidR="00167B92">
              <w:t xml:space="preserve">, na Kypru (3,2 %) </w:t>
            </w:r>
            <w:r>
              <w:t>a Rumunsku (3,</w:t>
            </w:r>
            <w:r w:rsidR="00167B92">
              <w:t>1</w:t>
            </w:r>
            <w:r>
              <w:t> %). Ve většině zemí tedy index v 1. čtvrtletí meziročně poklesl. Propad byl nejvýraznější v Dánsku (–5,</w:t>
            </w:r>
            <w:r w:rsidR="00167B92">
              <w:t>3</w:t>
            </w:r>
            <w:r>
              <w:t> %), Estonsku (–5,</w:t>
            </w:r>
            <w:r w:rsidR="00167B92">
              <w:t>1</w:t>
            </w:r>
            <w:r>
              <w:t> %) a Itálii</w:t>
            </w:r>
            <w:r>
              <w:br/>
              <w:t>(–4,0 %).</w:t>
            </w:r>
          </w:p>
        </w:tc>
      </w:tr>
      <w:tr w:rsidR="00D7490C" w:rsidRPr="009110F7" w14:paraId="17A4DECB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4A62DF09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tempo růstu cen tržních služeb se zvýšilo.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4E1329D2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038370D" w14:textId="79DE9B1A" w:rsidR="00D7490C" w:rsidRPr="00793D78" w:rsidRDefault="00D7490C" w:rsidP="00F03E2F">
            <w:r>
              <w:t>Ceny tržních služeb v 1. čtvrtletí 2020 meziročně vzrostly o 2,</w:t>
            </w:r>
            <w:r w:rsidR="00F03E2F">
              <w:t>5</w:t>
            </w:r>
            <w:r>
              <w:t> %. Tempo tak zrychlilo ve srovnání s předchozím kvartálem (2,3 %). Ceny u žádné z oblastí tržních služeb neklesaly, ale u mnoha bylo patrné zvolnění tempa. Nejvýrazněji k růstu přispěly ceny skladování a podpůrných služeb v dopravě, které se po dvouleté sérii meziročních poklesů prudce zvýšily o 6,1 % (zejména podpůrné služby v dopravě o 8,7 %). Další položkou výrazně přispívající k celkovému růstu cen byly služby v oblasti programování a související poradenství (mírné zpomalení dynamiky na 3,</w:t>
            </w:r>
            <w:r w:rsidR="00F03E2F">
              <w:t>7</w:t>
            </w:r>
            <w:r>
              <w:t> %). Vliv měla i váhově významná pozemní a potrubní doprava (zvolnění na 1,7 %), služby v oblasti nemovitostí (zrychlení na 2,3 %), dále pojištění, zajištění a penzijní financování (3,</w:t>
            </w:r>
            <w:r w:rsidR="00F03E2F">
              <w:t>2</w:t>
            </w:r>
            <w:r>
              <w:t> %) a služby v oblasti zaměstnání (9,4 %). Drobný příspěvek k vývoji indexu si připsaly poštovní a kurýrní služby (2,9 %), informační služby (3,</w:t>
            </w:r>
            <w:r w:rsidR="00F03E2F">
              <w:t>3</w:t>
            </w:r>
            <w:r>
              <w:t> %), architektonické a inženýrské služby (</w:t>
            </w:r>
            <w:r w:rsidR="00F03E2F">
              <w:t>1,0</w:t>
            </w:r>
            <w:r>
              <w:t> %), reklamní služby a průzkum trhu (zvolnění na 2,</w:t>
            </w:r>
            <w:r w:rsidR="00F03E2F">
              <w:t>3</w:t>
            </w:r>
            <w:r>
              <w:t> %), služby v oblasti pronájmu a operativního leasingu (zmírnění na 2,6 %), bezpečnostní a pátrací služby (5,</w:t>
            </w:r>
            <w:r w:rsidR="00F03E2F">
              <w:t>1</w:t>
            </w:r>
            <w:r>
              <w:t> %) a služby související se stavbami a úpravou krajiny (4,9 %).</w:t>
            </w:r>
          </w:p>
        </w:tc>
      </w:tr>
      <w:tr w:rsidR="00D7490C" w:rsidRPr="009110F7" w14:paraId="7AEAF7A5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2B03C8E5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zemědělské výroby se pod vlivem rostlinné výroby meziročně snížily.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4B3EC70B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266C045" w14:textId="55A3039C" w:rsidR="00D7490C" w:rsidRPr="00CB64E1" w:rsidRDefault="00D7490C" w:rsidP="00090EE2">
            <w:pPr>
              <w:rPr>
                <w:spacing w:val="-2"/>
              </w:rPr>
            </w:pPr>
            <w:r>
              <w:rPr>
                <w:spacing w:val="-2"/>
              </w:rPr>
              <w:t xml:space="preserve">Ceny zemědělské výroby (včetně ryb) se v 1. čtvrtletí meziročně propadly o 3,6 %. Snížení bylo oproti předchozímu kvartálu výraznější. Velmi silný byl meziroční pokles v případě rostlinné výroby (o 10,1 %). Ceny živočišné výroby i nadále rostly (4,7 %). Pokles v rostlinné výrobě byl patrný napříč různými druhy – obiloviny (–12,2 %, z toho </w:t>
            </w:r>
            <w:r>
              <w:rPr>
                <w:spacing w:val="-2"/>
              </w:rPr>
              <w:lastRenderedPageBreak/>
              <w:t>pšenice –12,8 %), průmyslové plodiny (–5,5 %, z toho olejniny –4,1 %, zejména semeno máku</w:t>
            </w:r>
            <w:r w:rsidR="00090EE2">
              <w:rPr>
                <w:spacing w:val="-2"/>
              </w:rPr>
              <w:t xml:space="preserve"> -32,2 %</w:t>
            </w:r>
            <w:r>
              <w:rPr>
                <w:spacing w:val="-2"/>
              </w:rPr>
              <w:t>, cukrová řepa –19,5 %), krmné plodiny (–8,2 %), zelenina a zahradnické produkty</w:t>
            </w:r>
            <w:r w:rsidR="00090EE2">
              <w:rPr>
                <w:spacing w:val="-2"/>
              </w:rPr>
              <w:t xml:space="preserve"> </w:t>
            </w:r>
            <w:r>
              <w:rPr>
                <w:spacing w:val="-2"/>
              </w:rPr>
              <w:t>(–27,4 %), brambory (–4,2 %). Naopak ceny ovoce prudce meziročně rostly (o 40,8 %, z toho jablka o 39,8 %, hrušky o 84,9 %). Ceny živočišné výroby byly taženy vzhůru zejména zrychlujícím se navýšením cen prasat a selat (35,3 %). Naopak ceny skotu meziročně poklesly (–2,3 %), podobně drůbež (–1,0 %). Ceny živočišných výrobků se pod vlivem cen mléka (–2,3 %) také snížily (–1,8 %). Ceny vajec se ale zvýšily o 5,3 %.</w:t>
            </w:r>
          </w:p>
        </w:tc>
      </w:tr>
      <w:tr w:rsidR="00D7490C" w:rsidRPr="009110F7" w14:paraId="269C0B51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232B7A51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Ceny vývozu meziročně klesaly.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6003530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1056261" w14:textId="77777777" w:rsidR="00D7490C" w:rsidRPr="00793D78" w:rsidRDefault="00D7490C" w:rsidP="00D07AFF">
            <w:r>
              <w:t>Ceny vývozu se v 1. čtvrtletí meziročně snížily o 1,4 %. Nejsilněji se propadly ceny ostatních surovin</w:t>
            </w:r>
            <w:r>
              <w:rPr>
                <w:rStyle w:val="Znakapoznpodarou"/>
              </w:rPr>
              <w:footnoteReference w:id="4"/>
            </w:r>
            <w:r>
              <w:t xml:space="preserve"> (–13.3 %) a dále minerálních paliv (–11,7 %). Prohloubil se pokles u polotovarů</w:t>
            </w:r>
            <w:r>
              <w:rPr>
                <w:rStyle w:val="Znakapoznpodarou"/>
              </w:rPr>
              <w:footnoteReference w:id="5"/>
            </w:r>
            <w:r>
              <w:t xml:space="preserve"> (–3,5 %) a pokračovala série snižování cen vývozu chemikálií a příbuzných výrobků (–2,3 %). Blízko stagnace se pohybovala meziroční dynamika cen strojů a dopravních prostředků (–0,1 %). Meziročně se zvýšily ceny exportu nápojů a tabáku (2,7 %) i potravin a živých zvířat (1,2 %). Ceny průmyslového spotřebního zboží vzrostly o 1,7 %.</w:t>
            </w:r>
          </w:p>
        </w:tc>
      </w:tr>
      <w:tr w:rsidR="00D7490C" w:rsidRPr="009110F7" w14:paraId="6060D022" w14:textId="77777777" w:rsidTr="00D07AFF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4B6AE15D" w14:textId="77777777" w:rsidR="00D7490C" w:rsidRPr="00793D78" w:rsidRDefault="00D7490C" w:rsidP="00D07AFF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Pod vlivem cen minerálních paliv se snížily i ceny dovozu.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E549CCD" w14:textId="77777777" w:rsidR="00D7490C" w:rsidRPr="00793D78" w:rsidRDefault="00D7490C" w:rsidP="00D07AFF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F105384" w14:textId="7284BFC0" w:rsidR="00D7490C" w:rsidRDefault="00D7490C" w:rsidP="0023359B">
            <w:r>
              <w:t>Ceny dovozu se meziročně snížily o 1,7 %, zejména pod vlivem minerálních paliv (propad o 12,5 %). Poklesly také ceny importu chemikálií a příbuzných výrobků (</w:t>
            </w:r>
            <w:r w:rsidR="0023359B">
              <w:noBreakHyphen/>
            </w:r>
            <w:r>
              <w:t>4,8 %),</w:t>
            </w:r>
            <w:r w:rsidR="0023359B">
              <w:t xml:space="preserve"> ostatních surovin (–4,4 %),</w:t>
            </w:r>
            <w:r>
              <w:t xml:space="preserve"> nápojů a tabáku (–4,3 %) a polotovarů (–3,6 %). Meziročně stagnovaly ceny průmyslového spotřebního zboží (–0,1 %). Velmi výrazně se navyšovaly ceny dovezených potravin a živých zvířat (6,9 %), mírné navyšování pokračovalo u strojů a dopravních prostředků (0,7 %). Směnné relace v 1. čtvrtletí zůstaly kladné (100,3 %). Výrazně kladné byly směnné relace obchodu s nápoji a tabákem (107,3 %) a chemikáliemi a příbuznými výrobky (102,6 %)</w:t>
            </w:r>
            <w:r w:rsidR="0023359B">
              <w:t xml:space="preserve"> a průmyslovým spotřebním zbožím (101,8 %)</w:t>
            </w:r>
            <w:r>
              <w:t>. Silně záporné byly směnné relace u ostatních surovin (90,7 %) a potravin a živých zvířat (94,7 %). Směnné relace obchodu s minerálními palivy dosáhly 100,9 %, s polotovary 100,1 % a se stroji a dopravními prostředky 99,2 %.</w:t>
            </w:r>
          </w:p>
        </w:tc>
      </w:tr>
    </w:tbl>
    <w:p w14:paraId="0820F206" w14:textId="57307848" w:rsidR="00D7490C" w:rsidRDefault="00D7490C" w:rsidP="005211D4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28"/>
          <w:highlight w:val="yellow"/>
        </w:rPr>
      </w:pPr>
      <w:bookmarkStart w:id="4" w:name="_Toc19090679"/>
      <w:bookmarkStart w:id="5" w:name="_Toc532558287"/>
      <w:bookmarkStart w:id="6" w:name="_GoBack"/>
      <w:bookmarkEnd w:id="2"/>
      <w:bookmarkEnd w:id="3"/>
      <w:bookmarkEnd w:id="4"/>
      <w:bookmarkEnd w:id="5"/>
      <w:bookmarkEnd w:id="6"/>
    </w:p>
    <w:sectPr w:rsidR="00D7490C" w:rsidSect="005211D4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737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EC05C" w14:textId="77777777" w:rsidR="009110CE" w:rsidRDefault="009110CE" w:rsidP="00E71A58">
      <w:r>
        <w:separator/>
      </w:r>
    </w:p>
  </w:endnote>
  <w:endnote w:type="continuationSeparator" w:id="0">
    <w:p w14:paraId="6B6E3FD0" w14:textId="77777777" w:rsidR="009110CE" w:rsidRDefault="009110C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1A0D" w14:textId="28A1D04F" w:rsidR="00441F8B" w:rsidRPr="00932443" w:rsidRDefault="00441F8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71F0B6E3" wp14:editId="3AA519D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34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5211D4">
      <w:rPr>
        <w:szCs w:val="16"/>
      </w:rPr>
      <w:t>22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čtvrtletí 2020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7E4B" w14:textId="4C2F080E" w:rsidR="00441F8B" w:rsidRPr="00932443" w:rsidRDefault="00441F8B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 xml:space="preserve">1. čtvrtletí 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6ADC9B20" wp14:editId="2C3814E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3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>
      <w:t>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5211D4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1AA3" w14:textId="77777777" w:rsidR="009110CE" w:rsidRDefault="009110CE" w:rsidP="00A21B4D">
      <w:pPr>
        <w:spacing w:after="0"/>
      </w:pPr>
      <w:r>
        <w:separator/>
      </w:r>
    </w:p>
  </w:footnote>
  <w:footnote w:type="continuationSeparator" w:id="0">
    <w:p w14:paraId="7F6DA689" w14:textId="77777777" w:rsidR="009110CE" w:rsidRDefault="009110CE" w:rsidP="00E71A58">
      <w:r>
        <w:continuationSeparator/>
      </w:r>
    </w:p>
  </w:footnote>
  <w:footnote w:id="1">
    <w:p w14:paraId="3D2AB071" w14:textId="77777777" w:rsidR="00441F8B" w:rsidRPr="009549E7" w:rsidRDefault="00441F8B" w:rsidP="00D7490C">
      <w:pPr>
        <w:pStyle w:val="Textpoznpodarou"/>
        <w:rPr>
          <w:sz w:val="16"/>
          <w:szCs w:val="16"/>
        </w:rPr>
      </w:pPr>
      <w:r w:rsidRPr="009549E7">
        <w:rPr>
          <w:rStyle w:val="Znakapoznpodarou"/>
          <w:sz w:val="16"/>
          <w:szCs w:val="16"/>
        </w:rPr>
        <w:footnoteRef/>
      </w:r>
      <w:r w:rsidRPr="009549E7">
        <w:rPr>
          <w:sz w:val="16"/>
          <w:szCs w:val="16"/>
        </w:rPr>
        <w:t xml:space="preserve"> Africký mor prasat. Podle údajů Státní veterinární správy byl hlášen výskyt na Ukrajině, v Srbsku a v 10</w:t>
      </w:r>
      <w:r>
        <w:rPr>
          <w:sz w:val="16"/>
          <w:szCs w:val="16"/>
        </w:rPr>
        <w:t> </w:t>
      </w:r>
      <w:r w:rsidRPr="009549E7">
        <w:rPr>
          <w:sz w:val="16"/>
          <w:szCs w:val="16"/>
        </w:rPr>
        <w:t>členských státech EU: Belgii, Bulharsku, Estonsku, Itálii (výskyt pouze na Sardinii), Litvě, Lotyšsku, Maďarsku, Polsku, Rumunsku a </w:t>
      </w:r>
      <w:r>
        <w:rPr>
          <w:sz w:val="16"/>
          <w:szCs w:val="16"/>
        </w:rPr>
        <w:t xml:space="preserve">na </w:t>
      </w:r>
      <w:r w:rsidRPr="009549E7">
        <w:rPr>
          <w:sz w:val="16"/>
          <w:szCs w:val="16"/>
        </w:rPr>
        <w:t>Slovensku.</w:t>
      </w:r>
    </w:p>
  </w:footnote>
  <w:footnote w:id="2">
    <w:p w14:paraId="29BFC0FC" w14:textId="77777777" w:rsidR="00441F8B" w:rsidRPr="0022386D" w:rsidRDefault="00441F8B" w:rsidP="00D7490C">
      <w:pPr>
        <w:pStyle w:val="Textpoznpodarou"/>
        <w:rPr>
          <w:sz w:val="16"/>
          <w:szCs w:val="16"/>
        </w:rPr>
      </w:pPr>
      <w:r w:rsidRPr="0022386D">
        <w:rPr>
          <w:rStyle w:val="Znakapoznpodarou"/>
          <w:sz w:val="16"/>
          <w:szCs w:val="16"/>
        </w:rPr>
        <w:footnoteRef/>
      </w:r>
      <w:r w:rsidRPr="0022386D">
        <w:rPr>
          <w:sz w:val="16"/>
          <w:szCs w:val="16"/>
        </w:rPr>
        <w:t xml:space="preserve"> Podle U.S</w:t>
      </w:r>
      <w:r>
        <w:rPr>
          <w:sz w:val="16"/>
          <w:szCs w:val="16"/>
        </w:rPr>
        <w:t>. </w:t>
      </w:r>
      <w:r w:rsidRPr="0022386D">
        <w:rPr>
          <w:sz w:val="16"/>
          <w:szCs w:val="16"/>
        </w:rPr>
        <w:t xml:space="preserve">Energy Information Administration </w:t>
      </w:r>
      <w:r>
        <w:rPr>
          <w:sz w:val="16"/>
          <w:szCs w:val="16"/>
        </w:rPr>
        <w:t xml:space="preserve">činila </w:t>
      </w:r>
      <w:r w:rsidRPr="0022386D">
        <w:rPr>
          <w:sz w:val="16"/>
          <w:szCs w:val="16"/>
        </w:rPr>
        <w:t>průměrná cena barelu ropy Brent 32,01</w:t>
      </w:r>
      <w:r>
        <w:rPr>
          <w:sz w:val="16"/>
          <w:szCs w:val="16"/>
        </w:rPr>
        <w:t> </w:t>
      </w:r>
      <w:r w:rsidRPr="0022386D">
        <w:rPr>
          <w:sz w:val="16"/>
          <w:szCs w:val="16"/>
        </w:rPr>
        <w:t>dolaru, což je nejméně od ledna 2016. Ve srovnání s březnem 2019 je cena méně než poloviční. Pokles nastal již v únoru a</w:t>
      </w:r>
      <w:r>
        <w:rPr>
          <w:sz w:val="16"/>
          <w:szCs w:val="16"/>
        </w:rPr>
        <w:t> </w:t>
      </w:r>
      <w:r w:rsidRPr="0022386D">
        <w:rPr>
          <w:sz w:val="16"/>
          <w:szCs w:val="16"/>
        </w:rPr>
        <w:t xml:space="preserve">v březnu se prohloubil poté, co ztroskotala vyjednávání v rámci ropného kartelu OPEC. Krize </w:t>
      </w:r>
      <w:r>
        <w:rPr>
          <w:sz w:val="16"/>
          <w:szCs w:val="16"/>
        </w:rPr>
        <w:t xml:space="preserve">vyvolaná </w:t>
      </w:r>
      <w:r w:rsidRPr="0022386D">
        <w:rPr>
          <w:sz w:val="16"/>
          <w:szCs w:val="16"/>
        </w:rPr>
        <w:t xml:space="preserve">pandemií </w:t>
      </w:r>
      <w:r>
        <w:rPr>
          <w:sz w:val="16"/>
          <w:szCs w:val="16"/>
        </w:rPr>
        <w:t>c</w:t>
      </w:r>
      <w:r w:rsidRPr="0022386D">
        <w:rPr>
          <w:sz w:val="16"/>
          <w:szCs w:val="16"/>
        </w:rPr>
        <w:t>ovid</w:t>
      </w:r>
      <w:r>
        <w:rPr>
          <w:sz w:val="16"/>
          <w:szCs w:val="16"/>
        </w:rPr>
        <w:noBreakHyphen/>
      </w:r>
      <w:r w:rsidRPr="0022386D">
        <w:rPr>
          <w:sz w:val="16"/>
          <w:szCs w:val="16"/>
        </w:rPr>
        <w:t>19 a</w:t>
      </w:r>
      <w:r>
        <w:rPr>
          <w:sz w:val="16"/>
          <w:szCs w:val="16"/>
        </w:rPr>
        <w:t> </w:t>
      </w:r>
      <w:r w:rsidRPr="0022386D">
        <w:rPr>
          <w:sz w:val="16"/>
          <w:szCs w:val="16"/>
        </w:rPr>
        <w:t>související pokles světové poptávky cenu dále snížil</w:t>
      </w:r>
      <w:r>
        <w:rPr>
          <w:sz w:val="16"/>
          <w:szCs w:val="16"/>
        </w:rPr>
        <w:t>y</w:t>
      </w:r>
      <w:r w:rsidRPr="0022386D">
        <w:rPr>
          <w:sz w:val="16"/>
          <w:szCs w:val="16"/>
        </w:rPr>
        <w:t>.</w:t>
      </w:r>
    </w:p>
  </w:footnote>
  <w:footnote w:id="3">
    <w:p w14:paraId="3C5B4689" w14:textId="77777777" w:rsidR="00441F8B" w:rsidRPr="008831D5" w:rsidRDefault="00441F8B" w:rsidP="00D7490C">
      <w:pPr>
        <w:pStyle w:val="Textpoznpodarou"/>
        <w:rPr>
          <w:sz w:val="16"/>
          <w:szCs w:val="16"/>
        </w:rPr>
      </w:pPr>
      <w:r w:rsidRPr="008831D5">
        <w:rPr>
          <w:rStyle w:val="Znakapoznpodarou"/>
          <w:sz w:val="16"/>
          <w:szCs w:val="16"/>
        </w:rPr>
        <w:footnoteRef/>
      </w:r>
      <w:r w:rsidRPr="008831D5">
        <w:rPr>
          <w:sz w:val="16"/>
          <w:szCs w:val="16"/>
        </w:rPr>
        <w:t xml:space="preserve"> Individuální data.</w:t>
      </w:r>
    </w:p>
  </w:footnote>
  <w:footnote w:id="4">
    <w:p w14:paraId="14ADB816" w14:textId="77777777" w:rsidR="00441F8B" w:rsidRPr="00940B11" w:rsidRDefault="00441F8B" w:rsidP="00D7490C">
      <w:pPr>
        <w:pStyle w:val="Textpoznpodarou"/>
        <w:rPr>
          <w:sz w:val="16"/>
          <w:szCs w:val="16"/>
        </w:rPr>
      </w:pPr>
      <w:r w:rsidRPr="00940B11">
        <w:rPr>
          <w:rStyle w:val="Znakapoznpodarou"/>
          <w:sz w:val="16"/>
          <w:szCs w:val="16"/>
        </w:rPr>
        <w:footnoteRef/>
      </w:r>
      <w:r w:rsidRPr="00940B11">
        <w:rPr>
          <w:sz w:val="16"/>
          <w:szCs w:val="16"/>
        </w:rPr>
        <w:t xml:space="preserve"> SITC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2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– suroviny nepoživatelné s výjimkou paliv.</w:t>
      </w:r>
    </w:p>
  </w:footnote>
  <w:footnote w:id="5">
    <w:p w14:paraId="677BCDF3" w14:textId="77777777" w:rsidR="00441F8B" w:rsidRPr="00940B11" w:rsidRDefault="00441F8B" w:rsidP="00D7490C">
      <w:pPr>
        <w:pStyle w:val="Textpoznpodarou"/>
        <w:rPr>
          <w:sz w:val="16"/>
          <w:szCs w:val="16"/>
        </w:rPr>
      </w:pPr>
      <w:r w:rsidRPr="00940B11">
        <w:rPr>
          <w:rStyle w:val="Znakapoznpodarou"/>
          <w:sz w:val="16"/>
          <w:szCs w:val="16"/>
        </w:rPr>
        <w:footnoteRef/>
      </w:r>
      <w:r w:rsidRPr="00940B11">
        <w:rPr>
          <w:sz w:val="16"/>
          <w:szCs w:val="16"/>
        </w:rPr>
        <w:t xml:space="preserve"> SITC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6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– tržní výrobky tříděné hlavně podle materiálu.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85C8" w14:textId="77777777" w:rsidR="00441F8B" w:rsidRDefault="00441F8B" w:rsidP="00937AE2">
    <w:pPr>
      <w:pStyle w:val="Zhlav"/>
    </w:pPr>
    <w:r>
      <w:t>Vývoj ekonomiky České republiky</w:t>
    </w:r>
  </w:p>
  <w:p w14:paraId="675E4C41" w14:textId="77777777" w:rsidR="00441F8B" w:rsidRPr="006F5416" w:rsidRDefault="00441F8B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12FB" w14:textId="77777777" w:rsidR="00441F8B" w:rsidRDefault="00441F8B" w:rsidP="00937AE2">
    <w:pPr>
      <w:pStyle w:val="Zhlav"/>
    </w:pPr>
    <w:r>
      <w:t>Vývoj ekonomiky České republiky</w:t>
    </w:r>
  </w:p>
  <w:p w14:paraId="0CDCFD48" w14:textId="77777777" w:rsidR="00441F8B" w:rsidRPr="006F5416" w:rsidRDefault="00441F8B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14"/>
  </w:num>
  <w:num w:numId="17">
    <w:abstractNumId w:val="25"/>
  </w:num>
  <w:num w:numId="18">
    <w:abstractNumId w:val="19"/>
  </w:num>
  <w:num w:numId="19">
    <w:abstractNumId w:val="26"/>
  </w:num>
  <w:num w:numId="20">
    <w:abstractNumId w:val="27"/>
  </w:num>
  <w:num w:numId="21">
    <w:abstractNumId w:val="23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387D"/>
    <w:rsid w:val="00014ED0"/>
    <w:rsid w:val="00016420"/>
    <w:rsid w:val="00017B01"/>
    <w:rsid w:val="000205D1"/>
    <w:rsid w:val="00020F22"/>
    <w:rsid w:val="0002195D"/>
    <w:rsid w:val="000228AE"/>
    <w:rsid w:val="000233D1"/>
    <w:rsid w:val="000234D6"/>
    <w:rsid w:val="00023D29"/>
    <w:rsid w:val="00024348"/>
    <w:rsid w:val="00026389"/>
    <w:rsid w:val="0002669F"/>
    <w:rsid w:val="000279E5"/>
    <w:rsid w:val="00031AE0"/>
    <w:rsid w:val="00031BB2"/>
    <w:rsid w:val="000322EF"/>
    <w:rsid w:val="00033FCD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A75"/>
    <w:rsid w:val="00066558"/>
    <w:rsid w:val="00070A87"/>
    <w:rsid w:val="000712B3"/>
    <w:rsid w:val="00072FF5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3241"/>
    <w:rsid w:val="00094A84"/>
    <w:rsid w:val="00095025"/>
    <w:rsid w:val="00095135"/>
    <w:rsid w:val="0009626E"/>
    <w:rsid w:val="00097191"/>
    <w:rsid w:val="000974D1"/>
    <w:rsid w:val="00097784"/>
    <w:rsid w:val="0009799E"/>
    <w:rsid w:val="000A07CB"/>
    <w:rsid w:val="000A0BC0"/>
    <w:rsid w:val="000A1183"/>
    <w:rsid w:val="000A12ED"/>
    <w:rsid w:val="000A212B"/>
    <w:rsid w:val="000A242D"/>
    <w:rsid w:val="000A256D"/>
    <w:rsid w:val="000A3A2C"/>
    <w:rsid w:val="000A3D9E"/>
    <w:rsid w:val="000A4A54"/>
    <w:rsid w:val="000A4ED9"/>
    <w:rsid w:val="000A5DB7"/>
    <w:rsid w:val="000A6D94"/>
    <w:rsid w:val="000A7377"/>
    <w:rsid w:val="000A7FF4"/>
    <w:rsid w:val="000B03CC"/>
    <w:rsid w:val="000B4212"/>
    <w:rsid w:val="000C0EA8"/>
    <w:rsid w:val="000C13A2"/>
    <w:rsid w:val="000C21E7"/>
    <w:rsid w:val="000C23EC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D0A26"/>
    <w:rsid w:val="000D3058"/>
    <w:rsid w:val="000D310A"/>
    <w:rsid w:val="000D3EF4"/>
    <w:rsid w:val="000D5637"/>
    <w:rsid w:val="000D6F4E"/>
    <w:rsid w:val="000E0E96"/>
    <w:rsid w:val="000E298B"/>
    <w:rsid w:val="000E2C7D"/>
    <w:rsid w:val="000E440D"/>
    <w:rsid w:val="000E4AC5"/>
    <w:rsid w:val="000E6253"/>
    <w:rsid w:val="000E6E4D"/>
    <w:rsid w:val="000E6FBD"/>
    <w:rsid w:val="000E6FCB"/>
    <w:rsid w:val="000F090B"/>
    <w:rsid w:val="000F3F3B"/>
    <w:rsid w:val="000F47E8"/>
    <w:rsid w:val="000F70E4"/>
    <w:rsid w:val="000F76EA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6D3F"/>
    <w:rsid w:val="00117474"/>
    <w:rsid w:val="00117623"/>
    <w:rsid w:val="00117FEA"/>
    <w:rsid w:val="001200CF"/>
    <w:rsid w:val="001208E3"/>
    <w:rsid w:val="0012192F"/>
    <w:rsid w:val="0012299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405FA"/>
    <w:rsid w:val="00140D1A"/>
    <w:rsid w:val="00141184"/>
    <w:rsid w:val="00141315"/>
    <w:rsid w:val="00141AA0"/>
    <w:rsid w:val="001425C3"/>
    <w:rsid w:val="0014262D"/>
    <w:rsid w:val="00144588"/>
    <w:rsid w:val="001447DD"/>
    <w:rsid w:val="001459BC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56B"/>
    <w:rsid w:val="00162F81"/>
    <w:rsid w:val="00163793"/>
    <w:rsid w:val="00165313"/>
    <w:rsid w:val="00167485"/>
    <w:rsid w:val="00167B92"/>
    <w:rsid w:val="00167CB9"/>
    <w:rsid w:val="00167DD8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7BB"/>
    <w:rsid w:val="00184B08"/>
    <w:rsid w:val="00185010"/>
    <w:rsid w:val="00185C22"/>
    <w:rsid w:val="00186BA9"/>
    <w:rsid w:val="0019196C"/>
    <w:rsid w:val="00192F05"/>
    <w:rsid w:val="00194729"/>
    <w:rsid w:val="00194850"/>
    <w:rsid w:val="00195234"/>
    <w:rsid w:val="00196016"/>
    <w:rsid w:val="00196117"/>
    <w:rsid w:val="00197A70"/>
    <w:rsid w:val="00197C0F"/>
    <w:rsid w:val="001A0487"/>
    <w:rsid w:val="001A1F68"/>
    <w:rsid w:val="001A21FA"/>
    <w:rsid w:val="001A4EF0"/>
    <w:rsid w:val="001A552F"/>
    <w:rsid w:val="001A70B1"/>
    <w:rsid w:val="001B0738"/>
    <w:rsid w:val="001B2CA9"/>
    <w:rsid w:val="001B3110"/>
    <w:rsid w:val="001B3E38"/>
    <w:rsid w:val="001B40F5"/>
    <w:rsid w:val="001B4729"/>
    <w:rsid w:val="001B4F0E"/>
    <w:rsid w:val="001B6310"/>
    <w:rsid w:val="001B6C09"/>
    <w:rsid w:val="001B6E12"/>
    <w:rsid w:val="001C05CD"/>
    <w:rsid w:val="001C0F17"/>
    <w:rsid w:val="001C1B24"/>
    <w:rsid w:val="001C1B66"/>
    <w:rsid w:val="001C31A2"/>
    <w:rsid w:val="001C351D"/>
    <w:rsid w:val="001C4BB8"/>
    <w:rsid w:val="001C4FD0"/>
    <w:rsid w:val="001C5E46"/>
    <w:rsid w:val="001C6B3B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3306"/>
    <w:rsid w:val="001E504C"/>
    <w:rsid w:val="001E5A17"/>
    <w:rsid w:val="001E74C5"/>
    <w:rsid w:val="001F1236"/>
    <w:rsid w:val="001F2F90"/>
    <w:rsid w:val="001F4597"/>
    <w:rsid w:val="001F4826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1D5"/>
    <w:rsid w:val="002111E5"/>
    <w:rsid w:val="002118B9"/>
    <w:rsid w:val="002142C0"/>
    <w:rsid w:val="00217C5B"/>
    <w:rsid w:val="00220A43"/>
    <w:rsid w:val="0022139E"/>
    <w:rsid w:val="00222729"/>
    <w:rsid w:val="00223185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20C9"/>
    <w:rsid w:val="0023288F"/>
    <w:rsid w:val="0023359B"/>
    <w:rsid w:val="00233603"/>
    <w:rsid w:val="002340EF"/>
    <w:rsid w:val="00234B82"/>
    <w:rsid w:val="00236443"/>
    <w:rsid w:val="00236700"/>
    <w:rsid w:val="00240391"/>
    <w:rsid w:val="00240AF3"/>
    <w:rsid w:val="002418D5"/>
    <w:rsid w:val="00241B06"/>
    <w:rsid w:val="002436BA"/>
    <w:rsid w:val="00244652"/>
    <w:rsid w:val="00244A15"/>
    <w:rsid w:val="002452D9"/>
    <w:rsid w:val="00247319"/>
    <w:rsid w:val="0024799E"/>
    <w:rsid w:val="00247E60"/>
    <w:rsid w:val="00251C53"/>
    <w:rsid w:val="00252AB9"/>
    <w:rsid w:val="00253C0F"/>
    <w:rsid w:val="002558C1"/>
    <w:rsid w:val="00256207"/>
    <w:rsid w:val="002575F3"/>
    <w:rsid w:val="002603E1"/>
    <w:rsid w:val="0026120E"/>
    <w:rsid w:val="00262582"/>
    <w:rsid w:val="0026291D"/>
    <w:rsid w:val="00262CF3"/>
    <w:rsid w:val="00264309"/>
    <w:rsid w:val="0026564B"/>
    <w:rsid w:val="00265C83"/>
    <w:rsid w:val="00265E85"/>
    <w:rsid w:val="00267B49"/>
    <w:rsid w:val="002700D9"/>
    <w:rsid w:val="0027025F"/>
    <w:rsid w:val="002709CC"/>
    <w:rsid w:val="00270D25"/>
    <w:rsid w:val="00271022"/>
    <w:rsid w:val="00271465"/>
    <w:rsid w:val="00271E47"/>
    <w:rsid w:val="002721F5"/>
    <w:rsid w:val="00272DF4"/>
    <w:rsid w:val="0027583D"/>
    <w:rsid w:val="00275DEF"/>
    <w:rsid w:val="002763A2"/>
    <w:rsid w:val="00276B33"/>
    <w:rsid w:val="002812E3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98D"/>
    <w:rsid w:val="002C40D2"/>
    <w:rsid w:val="002C43BD"/>
    <w:rsid w:val="002C5245"/>
    <w:rsid w:val="002C59D8"/>
    <w:rsid w:val="002D05CB"/>
    <w:rsid w:val="002D0E59"/>
    <w:rsid w:val="002D2C4F"/>
    <w:rsid w:val="002D3EBB"/>
    <w:rsid w:val="002D455C"/>
    <w:rsid w:val="002D6066"/>
    <w:rsid w:val="002E02A1"/>
    <w:rsid w:val="002E196A"/>
    <w:rsid w:val="002E20C7"/>
    <w:rsid w:val="002E20CD"/>
    <w:rsid w:val="002E222E"/>
    <w:rsid w:val="002E28D8"/>
    <w:rsid w:val="002E37D1"/>
    <w:rsid w:val="002E3BEE"/>
    <w:rsid w:val="002E4E4C"/>
    <w:rsid w:val="002E4EA7"/>
    <w:rsid w:val="002E5846"/>
    <w:rsid w:val="002E792B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300C31"/>
    <w:rsid w:val="003017EC"/>
    <w:rsid w:val="00302165"/>
    <w:rsid w:val="00304771"/>
    <w:rsid w:val="003052D4"/>
    <w:rsid w:val="003060E9"/>
    <w:rsid w:val="00306C5B"/>
    <w:rsid w:val="00307529"/>
    <w:rsid w:val="00307DB3"/>
    <w:rsid w:val="00307ED2"/>
    <w:rsid w:val="0031076D"/>
    <w:rsid w:val="00311AA6"/>
    <w:rsid w:val="00311C4D"/>
    <w:rsid w:val="003121AB"/>
    <w:rsid w:val="00315169"/>
    <w:rsid w:val="003153C8"/>
    <w:rsid w:val="00315524"/>
    <w:rsid w:val="0032058C"/>
    <w:rsid w:val="003208D0"/>
    <w:rsid w:val="003209D6"/>
    <w:rsid w:val="003217B9"/>
    <w:rsid w:val="00321924"/>
    <w:rsid w:val="00321EB6"/>
    <w:rsid w:val="003220A5"/>
    <w:rsid w:val="00323A1C"/>
    <w:rsid w:val="00324B59"/>
    <w:rsid w:val="0032656E"/>
    <w:rsid w:val="0032788F"/>
    <w:rsid w:val="00332190"/>
    <w:rsid w:val="00332A98"/>
    <w:rsid w:val="00333973"/>
    <w:rsid w:val="00333CD0"/>
    <w:rsid w:val="0033448D"/>
    <w:rsid w:val="00334AD2"/>
    <w:rsid w:val="00334CB6"/>
    <w:rsid w:val="0033709C"/>
    <w:rsid w:val="003370C5"/>
    <w:rsid w:val="003373C6"/>
    <w:rsid w:val="00340BF3"/>
    <w:rsid w:val="00341D26"/>
    <w:rsid w:val="00341F05"/>
    <w:rsid w:val="0034335E"/>
    <w:rsid w:val="00344668"/>
    <w:rsid w:val="00346234"/>
    <w:rsid w:val="003462D9"/>
    <w:rsid w:val="0034723F"/>
    <w:rsid w:val="00347247"/>
    <w:rsid w:val="003474B6"/>
    <w:rsid w:val="00347DD4"/>
    <w:rsid w:val="00352B43"/>
    <w:rsid w:val="00352C28"/>
    <w:rsid w:val="0036077F"/>
    <w:rsid w:val="00360C86"/>
    <w:rsid w:val="00360F7A"/>
    <w:rsid w:val="00360FBC"/>
    <w:rsid w:val="00361537"/>
    <w:rsid w:val="0036242A"/>
    <w:rsid w:val="00362C23"/>
    <w:rsid w:val="00362E90"/>
    <w:rsid w:val="00364FA0"/>
    <w:rsid w:val="003657F3"/>
    <w:rsid w:val="00365844"/>
    <w:rsid w:val="00367F84"/>
    <w:rsid w:val="003712BC"/>
    <w:rsid w:val="00372164"/>
    <w:rsid w:val="003738BD"/>
    <w:rsid w:val="00374263"/>
    <w:rsid w:val="003746F0"/>
    <w:rsid w:val="00374A20"/>
    <w:rsid w:val="00374E21"/>
    <w:rsid w:val="00377B2E"/>
    <w:rsid w:val="003810F0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6739"/>
    <w:rsid w:val="003A04F6"/>
    <w:rsid w:val="003A0837"/>
    <w:rsid w:val="003A2B4D"/>
    <w:rsid w:val="003A2D12"/>
    <w:rsid w:val="003A2EBA"/>
    <w:rsid w:val="003A45E3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461F"/>
    <w:rsid w:val="003B483F"/>
    <w:rsid w:val="003B4998"/>
    <w:rsid w:val="003B5A32"/>
    <w:rsid w:val="003B7B50"/>
    <w:rsid w:val="003C0B07"/>
    <w:rsid w:val="003C2CE7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1EF8"/>
    <w:rsid w:val="003E2DFB"/>
    <w:rsid w:val="003E4C91"/>
    <w:rsid w:val="003E52D8"/>
    <w:rsid w:val="003E62F1"/>
    <w:rsid w:val="003F313C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5318"/>
    <w:rsid w:val="004059D2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30C96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EF1"/>
    <w:rsid w:val="00452E60"/>
    <w:rsid w:val="0045321B"/>
    <w:rsid w:val="00456FE5"/>
    <w:rsid w:val="00457490"/>
    <w:rsid w:val="00457953"/>
    <w:rsid w:val="004604D8"/>
    <w:rsid w:val="00460656"/>
    <w:rsid w:val="00460FB3"/>
    <w:rsid w:val="00463D3C"/>
    <w:rsid w:val="00464851"/>
    <w:rsid w:val="0046746A"/>
    <w:rsid w:val="00467B14"/>
    <w:rsid w:val="004707FE"/>
    <w:rsid w:val="00470EDC"/>
    <w:rsid w:val="0047276D"/>
    <w:rsid w:val="00472AF6"/>
    <w:rsid w:val="00473482"/>
    <w:rsid w:val="00474A04"/>
    <w:rsid w:val="00476240"/>
    <w:rsid w:val="00476439"/>
    <w:rsid w:val="00476450"/>
    <w:rsid w:val="004769E1"/>
    <w:rsid w:val="0047735C"/>
    <w:rsid w:val="004776BC"/>
    <w:rsid w:val="00477820"/>
    <w:rsid w:val="00477B96"/>
    <w:rsid w:val="00480BAE"/>
    <w:rsid w:val="0048139F"/>
    <w:rsid w:val="00481E40"/>
    <w:rsid w:val="00482405"/>
    <w:rsid w:val="004826A7"/>
    <w:rsid w:val="0048368C"/>
    <w:rsid w:val="0048372F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79A5"/>
    <w:rsid w:val="004A0144"/>
    <w:rsid w:val="004A036E"/>
    <w:rsid w:val="004A0498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468"/>
    <w:rsid w:val="004B6EF8"/>
    <w:rsid w:val="004B7125"/>
    <w:rsid w:val="004B756A"/>
    <w:rsid w:val="004B7FB1"/>
    <w:rsid w:val="004C0B3F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57BF"/>
    <w:rsid w:val="004E5F41"/>
    <w:rsid w:val="004E6DE6"/>
    <w:rsid w:val="004E765E"/>
    <w:rsid w:val="004E7815"/>
    <w:rsid w:val="004F06F5"/>
    <w:rsid w:val="004F12A4"/>
    <w:rsid w:val="004F253F"/>
    <w:rsid w:val="004F33A0"/>
    <w:rsid w:val="004F3BD2"/>
    <w:rsid w:val="004F46ED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1D4"/>
    <w:rsid w:val="00521CAD"/>
    <w:rsid w:val="0052200D"/>
    <w:rsid w:val="00522E01"/>
    <w:rsid w:val="0052337A"/>
    <w:rsid w:val="00524385"/>
    <w:rsid w:val="005246BE"/>
    <w:rsid w:val="00525137"/>
    <w:rsid w:val="005251DD"/>
    <w:rsid w:val="0053012B"/>
    <w:rsid w:val="005301A6"/>
    <w:rsid w:val="00530A68"/>
    <w:rsid w:val="00530AD4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5F6"/>
    <w:rsid w:val="0054582F"/>
    <w:rsid w:val="005500F9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0E"/>
    <w:rsid w:val="00557E45"/>
    <w:rsid w:val="00560C41"/>
    <w:rsid w:val="00561F44"/>
    <w:rsid w:val="00562B4D"/>
    <w:rsid w:val="00563EB8"/>
    <w:rsid w:val="005647BF"/>
    <w:rsid w:val="00564AF1"/>
    <w:rsid w:val="005655DB"/>
    <w:rsid w:val="00565E88"/>
    <w:rsid w:val="005678EE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3E52"/>
    <w:rsid w:val="00583FFD"/>
    <w:rsid w:val="00584252"/>
    <w:rsid w:val="0058519A"/>
    <w:rsid w:val="005856BD"/>
    <w:rsid w:val="00586BCA"/>
    <w:rsid w:val="00587038"/>
    <w:rsid w:val="00590B28"/>
    <w:rsid w:val="005911BE"/>
    <w:rsid w:val="00591273"/>
    <w:rsid w:val="00591E9E"/>
    <w:rsid w:val="005927A4"/>
    <w:rsid w:val="00593152"/>
    <w:rsid w:val="005956A3"/>
    <w:rsid w:val="00595958"/>
    <w:rsid w:val="00595CAB"/>
    <w:rsid w:val="0059622E"/>
    <w:rsid w:val="00597671"/>
    <w:rsid w:val="00597BBF"/>
    <w:rsid w:val="005A0948"/>
    <w:rsid w:val="005A0A03"/>
    <w:rsid w:val="005A10F2"/>
    <w:rsid w:val="005A21E0"/>
    <w:rsid w:val="005A28FF"/>
    <w:rsid w:val="005A2C09"/>
    <w:rsid w:val="005A3778"/>
    <w:rsid w:val="005A3DF8"/>
    <w:rsid w:val="005A5549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11B8"/>
    <w:rsid w:val="005C216C"/>
    <w:rsid w:val="005C2609"/>
    <w:rsid w:val="005C2B30"/>
    <w:rsid w:val="005C412B"/>
    <w:rsid w:val="005C43EC"/>
    <w:rsid w:val="005C45DD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D7F"/>
    <w:rsid w:val="005F7174"/>
    <w:rsid w:val="00601ADE"/>
    <w:rsid w:val="00601EEF"/>
    <w:rsid w:val="0060255A"/>
    <w:rsid w:val="00602EB3"/>
    <w:rsid w:val="00604307"/>
    <w:rsid w:val="0060487F"/>
    <w:rsid w:val="00604EAD"/>
    <w:rsid w:val="0060513F"/>
    <w:rsid w:val="0060694B"/>
    <w:rsid w:val="006104FB"/>
    <w:rsid w:val="0061176D"/>
    <w:rsid w:val="0061200F"/>
    <w:rsid w:val="00612756"/>
    <w:rsid w:val="00612A2F"/>
    <w:rsid w:val="00612AAE"/>
    <w:rsid w:val="00612FD9"/>
    <w:rsid w:val="006139E0"/>
    <w:rsid w:val="00614D35"/>
    <w:rsid w:val="006156B4"/>
    <w:rsid w:val="00615DAF"/>
    <w:rsid w:val="00616E05"/>
    <w:rsid w:val="00617985"/>
    <w:rsid w:val="00620B77"/>
    <w:rsid w:val="0062131B"/>
    <w:rsid w:val="00621E26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1787"/>
    <w:rsid w:val="0064179B"/>
    <w:rsid w:val="00642489"/>
    <w:rsid w:val="00644055"/>
    <w:rsid w:val="00644137"/>
    <w:rsid w:val="0064478C"/>
    <w:rsid w:val="00645160"/>
    <w:rsid w:val="006451E4"/>
    <w:rsid w:val="00645B33"/>
    <w:rsid w:val="006516CB"/>
    <w:rsid w:val="00653BD0"/>
    <w:rsid w:val="00654110"/>
    <w:rsid w:val="00656C5D"/>
    <w:rsid w:val="00656CFB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3CC"/>
    <w:rsid w:val="00665982"/>
    <w:rsid w:val="00665BA4"/>
    <w:rsid w:val="00666BF3"/>
    <w:rsid w:val="00667856"/>
    <w:rsid w:val="00667AF2"/>
    <w:rsid w:val="00670489"/>
    <w:rsid w:val="006710C9"/>
    <w:rsid w:val="00672586"/>
    <w:rsid w:val="006741CD"/>
    <w:rsid w:val="00674D89"/>
    <w:rsid w:val="0067514E"/>
    <w:rsid w:val="00675E37"/>
    <w:rsid w:val="00676736"/>
    <w:rsid w:val="006769A4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109C"/>
    <w:rsid w:val="006A5F4B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4355"/>
    <w:rsid w:val="006C469D"/>
    <w:rsid w:val="006C46B5"/>
    <w:rsid w:val="006C484F"/>
    <w:rsid w:val="006C52EC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317E"/>
    <w:rsid w:val="006D3E8A"/>
    <w:rsid w:val="006D61F6"/>
    <w:rsid w:val="006E1332"/>
    <w:rsid w:val="006E279A"/>
    <w:rsid w:val="006E313B"/>
    <w:rsid w:val="006E3A45"/>
    <w:rsid w:val="006E4078"/>
    <w:rsid w:val="006E53AD"/>
    <w:rsid w:val="006E58CB"/>
    <w:rsid w:val="006E7227"/>
    <w:rsid w:val="006E761A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5416"/>
    <w:rsid w:val="006F624B"/>
    <w:rsid w:val="006F6D87"/>
    <w:rsid w:val="0070398A"/>
    <w:rsid w:val="00705242"/>
    <w:rsid w:val="007055E0"/>
    <w:rsid w:val="007056ED"/>
    <w:rsid w:val="00705F4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E4D"/>
    <w:rsid w:val="0071677A"/>
    <w:rsid w:val="00716F48"/>
    <w:rsid w:val="00717114"/>
    <w:rsid w:val="0071779F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E8"/>
    <w:rsid w:val="00730F1B"/>
    <w:rsid w:val="0073186D"/>
    <w:rsid w:val="0073333D"/>
    <w:rsid w:val="007343D9"/>
    <w:rsid w:val="00734F71"/>
    <w:rsid w:val="00735448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EE9"/>
    <w:rsid w:val="00752180"/>
    <w:rsid w:val="00752323"/>
    <w:rsid w:val="007532B7"/>
    <w:rsid w:val="00753CAB"/>
    <w:rsid w:val="00754A70"/>
    <w:rsid w:val="00754BC9"/>
    <w:rsid w:val="00755202"/>
    <w:rsid w:val="00755D3A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777"/>
    <w:rsid w:val="00770CFC"/>
    <w:rsid w:val="0077130E"/>
    <w:rsid w:val="007715EE"/>
    <w:rsid w:val="00771972"/>
    <w:rsid w:val="00772279"/>
    <w:rsid w:val="00772DAB"/>
    <w:rsid w:val="00772FF9"/>
    <w:rsid w:val="00774D2C"/>
    <w:rsid w:val="0077605B"/>
    <w:rsid w:val="00776169"/>
    <w:rsid w:val="00776527"/>
    <w:rsid w:val="00777040"/>
    <w:rsid w:val="00777CE6"/>
    <w:rsid w:val="00780EF1"/>
    <w:rsid w:val="00781A91"/>
    <w:rsid w:val="00781F3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782"/>
    <w:rsid w:val="007A516D"/>
    <w:rsid w:val="007A5E65"/>
    <w:rsid w:val="007A65E1"/>
    <w:rsid w:val="007A6AAA"/>
    <w:rsid w:val="007A7033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C10BD"/>
    <w:rsid w:val="007C1F0C"/>
    <w:rsid w:val="007C1FFB"/>
    <w:rsid w:val="007C2D94"/>
    <w:rsid w:val="007C5F92"/>
    <w:rsid w:val="007C6227"/>
    <w:rsid w:val="007C6BBD"/>
    <w:rsid w:val="007C6D89"/>
    <w:rsid w:val="007C6F5E"/>
    <w:rsid w:val="007D0382"/>
    <w:rsid w:val="007D1A1F"/>
    <w:rsid w:val="007D2E18"/>
    <w:rsid w:val="007D40DF"/>
    <w:rsid w:val="007D42E5"/>
    <w:rsid w:val="007D4458"/>
    <w:rsid w:val="007D6AF9"/>
    <w:rsid w:val="007E0535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78B6"/>
    <w:rsid w:val="007E7E61"/>
    <w:rsid w:val="007F0845"/>
    <w:rsid w:val="007F20F3"/>
    <w:rsid w:val="007F2353"/>
    <w:rsid w:val="007F2390"/>
    <w:rsid w:val="007F2CAC"/>
    <w:rsid w:val="007F4740"/>
    <w:rsid w:val="007F595A"/>
    <w:rsid w:val="007F708D"/>
    <w:rsid w:val="008006B3"/>
    <w:rsid w:val="00800B63"/>
    <w:rsid w:val="0080158A"/>
    <w:rsid w:val="00801E13"/>
    <w:rsid w:val="00803008"/>
    <w:rsid w:val="00803069"/>
    <w:rsid w:val="0080346B"/>
    <w:rsid w:val="00804155"/>
    <w:rsid w:val="0080559E"/>
    <w:rsid w:val="00805AF3"/>
    <w:rsid w:val="0080734C"/>
    <w:rsid w:val="00807C82"/>
    <w:rsid w:val="008117CC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F77"/>
    <w:rsid w:val="00834304"/>
    <w:rsid w:val="00834FAA"/>
    <w:rsid w:val="008354FB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6C6"/>
    <w:rsid w:val="0084708F"/>
    <w:rsid w:val="008477C8"/>
    <w:rsid w:val="008478A6"/>
    <w:rsid w:val="008502F6"/>
    <w:rsid w:val="0085114D"/>
    <w:rsid w:val="008520A8"/>
    <w:rsid w:val="00852217"/>
    <w:rsid w:val="00853282"/>
    <w:rsid w:val="00855408"/>
    <w:rsid w:val="00855D03"/>
    <w:rsid w:val="00856D65"/>
    <w:rsid w:val="00861B41"/>
    <w:rsid w:val="00861B9F"/>
    <w:rsid w:val="00861BE3"/>
    <w:rsid w:val="008625D3"/>
    <w:rsid w:val="00863434"/>
    <w:rsid w:val="0086344F"/>
    <w:rsid w:val="008641AC"/>
    <w:rsid w:val="00865E4C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FE8"/>
    <w:rsid w:val="00875A32"/>
    <w:rsid w:val="00876086"/>
    <w:rsid w:val="00876E83"/>
    <w:rsid w:val="008772BC"/>
    <w:rsid w:val="00880A0E"/>
    <w:rsid w:val="008817FE"/>
    <w:rsid w:val="00881CD7"/>
    <w:rsid w:val="00882911"/>
    <w:rsid w:val="00882F6E"/>
    <w:rsid w:val="00884E02"/>
    <w:rsid w:val="00885D40"/>
    <w:rsid w:val="008873D4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3537"/>
    <w:rsid w:val="008B3690"/>
    <w:rsid w:val="008B3A80"/>
    <w:rsid w:val="008B3AEC"/>
    <w:rsid w:val="008B3C07"/>
    <w:rsid w:val="008B3F7B"/>
    <w:rsid w:val="008B5324"/>
    <w:rsid w:val="008B6106"/>
    <w:rsid w:val="008B7C02"/>
    <w:rsid w:val="008B7D2B"/>
    <w:rsid w:val="008B7EF9"/>
    <w:rsid w:val="008C0049"/>
    <w:rsid w:val="008C0E88"/>
    <w:rsid w:val="008C1717"/>
    <w:rsid w:val="008C4B50"/>
    <w:rsid w:val="008C5A37"/>
    <w:rsid w:val="008C7569"/>
    <w:rsid w:val="008D033D"/>
    <w:rsid w:val="008D0DBD"/>
    <w:rsid w:val="008D117E"/>
    <w:rsid w:val="008D127E"/>
    <w:rsid w:val="008D1CA8"/>
    <w:rsid w:val="008D1E0A"/>
    <w:rsid w:val="008D1E6A"/>
    <w:rsid w:val="008D2A16"/>
    <w:rsid w:val="008D33F5"/>
    <w:rsid w:val="008D35E4"/>
    <w:rsid w:val="008D6C3A"/>
    <w:rsid w:val="008E0001"/>
    <w:rsid w:val="008E292B"/>
    <w:rsid w:val="008E2C57"/>
    <w:rsid w:val="008E31FF"/>
    <w:rsid w:val="008E3287"/>
    <w:rsid w:val="008E6DCB"/>
    <w:rsid w:val="008E6F06"/>
    <w:rsid w:val="008E7B8E"/>
    <w:rsid w:val="008E7FC9"/>
    <w:rsid w:val="008F0107"/>
    <w:rsid w:val="008F029B"/>
    <w:rsid w:val="008F0589"/>
    <w:rsid w:val="008F2A5D"/>
    <w:rsid w:val="008F3636"/>
    <w:rsid w:val="008F3FC9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CE"/>
    <w:rsid w:val="009110F7"/>
    <w:rsid w:val="0091155E"/>
    <w:rsid w:val="00912437"/>
    <w:rsid w:val="00912A92"/>
    <w:rsid w:val="00915D07"/>
    <w:rsid w:val="009162AE"/>
    <w:rsid w:val="00917251"/>
    <w:rsid w:val="0091728D"/>
    <w:rsid w:val="009203CC"/>
    <w:rsid w:val="00920EC4"/>
    <w:rsid w:val="0092180B"/>
    <w:rsid w:val="00921F14"/>
    <w:rsid w:val="0092292F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F4A"/>
    <w:rsid w:val="009341F1"/>
    <w:rsid w:val="00934FF2"/>
    <w:rsid w:val="009358D7"/>
    <w:rsid w:val="00935BD4"/>
    <w:rsid w:val="00935DFE"/>
    <w:rsid w:val="00935F70"/>
    <w:rsid w:val="009373B2"/>
    <w:rsid w:val="00937AE2"/>
    <w:rsid w:val="0094061F"/>
    <w:rsid w:val="00940F0F"/>
    <w:rsid w:val="0094416B"/>
    <w:rsid w:val="0094427A"/>
    <w:rsid w:val="00944C7C"/>
    <w:rsid w:val="00945245"/>
    <w:rsid w:val="00945523"/>
    <w:rsid w:val="00950921"/>
    <w:rsid w:val="00951D68"/>
    <w:rsid w:val="00951E5B"/>
    <w:rsid w:val="00952B7B"/>
    <w:rsid w:val="00954F39"/>
    <w:rsid w:val="009555FD"/>
    <w:rsid w:val="0095664B"/>
    <w:rsid w:val="009568DC"/>
    <w:rsid w:val="00957445"/>
    <w:rsid w:val="0095759C"/>
    <w:rsid w:val="009618EE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70A3"/>
    <w:rsid w:val="009674BE"/>
    <w:rsid w:val="00970FB5"/>
    <w:rsid w:val="00971710"/>
    <w:rsid w:val="00971B87"/>
    <w:rsid w:val="00971C77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CF3"/>
    <w:rsid w:val="00993194"/>
    <w:rsid w:val="0099321E"/>
    <w:rsid w:val="00994868"/>
    <w:rsid w:val="00994D28"/>
    <w:rsid w:val="00994F2C"/>
    <w:rsid w:val="009957CC"/>
    <w:rsid w:val="009968D6"/>
    <w:rsid w:val="00997953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284F"/>
    <w:rsid w:val="009B3764"/>
    <w:rsid w:val="009B52AC"/>
    <w:rsid w:val="009B59EA"/>
    <w:rsid w:val="009B66CE"/>
    <w:rsid w:val="009B6FD3"/>
    <w:rsid w:val="009B72BE"/>
    <w:rsid w:val="009B78A4"/>
    <w:rsid w:val="009B7DB2"/>
    <w:rsid w:val="009C03DB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982"/>
    <w:rsid w:val="009F4CA7"/>
    <w:rsid w:val="009F4F6A"/>
    <w:rsid w:val="009F55BA"/>
    <w:rsid w:val="009F7D36"/>
    <w:rsid w:val="009F7D61"/>
    <w:rsid w:val="00A00E71"/>
    <w:rsid w:val="00A0306F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ED"/>
    <w:rsid w:val="00A16C37"/>
    <w:rsid w:val="00A16E1D"/>
    <w:rsid w:val="00A171D5"/>
    <w:rsid w:val="00A17A15"/>
    <w:rsid w:val="00A17D5B"/>
    <w:rsid w:val="00A201E1"/>
    <w:rsid w:val="00A20FE1"/>
    <w:rsid w:val="00A21B4D"/>
    <w:rsid w:val="00A22073"/>
    <w:rsid w:val="00A223E0"/>
    <w:rsid w:val="00A23E43"/>
    <w:rsid w:val="00A24726"/>
    <w:rsid w:val="00A24DEB"/>
    <w:rsid w:val="00A24ED9"/>
    <w:rsid w:val="00A25216"/>
    <w:rsid w:val="00A2597D"/>
    <w:rsid w:val="00A2628E"/>
    <w:rsid w:val="00A266BF"/>
    <w:rsid w:val="00A2731E"/>
    <w:rsid w:val="00A309AC"/>
    <w:rsid w:val="00A30F65"/>
    <w:rsid w:val="00A3279E"/>
    <w:rsid w:val="00A35900"/>
    <w:rsid w:val="00A40EAC"/>
    <w:rsid w:val="00A418BC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CED"/>
    <w:rsid w:val="00A465E9"/>
    <w:rsid w:val="00A468E7"/>
    <w:rsid w:val="00A46DE0"/>
    <w:rsid w:val="00A478BA"/>
    <w:rsid w:val="00A50D73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C91"/>
    <w:rsid w:val="00A83150"/>
    <w:rsid w:val="00A83398"/>
    <w:rsid w:val="00A83D6E"/>
    <w:rsid w:val="00A8521A"/>
    <w:rsid w:val="00A857C0"/>
    <w:rsid w:val="00A85AC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F1A"/>
    <w:rsid w:val="00A96116"/>
    <w:rsid w:val="00A9614E"/>
    <w:rsid w:val="00A96422"/>
    <w:rsid w:val="00A96C0F"/>
    <w:rsid w:val="00AA0E80"/>
    <w:rsid w:val="00AA17CD"/>
    <w:rsid w:val="00AA1D85"/>
    <w:rsid w:val="00AA212F"/>
    <w:rsid w:val="00AA2996"/>
    <w:rsid w:val="00AA2AF4"/>
    <w:rsid w:val="00AA4282"/>
    <w:rsid w:val="00AA4790"/>
    <w:rsid w:val="00AA52BF"/>
    <w:rsid w:val="00AA559A"/>
    <w:rsid w:val="00AA6C31"/>
    <w:rsid w:val="00AA7752"/>
    <w:rsid w:val="00AA7CE8"/>
    <w:rsid w:val="00AB1457"/>
    <w:rsid w:val="00AB2AF1"/>
    <w:rsid w:val="00AB3EC7"/>
    <w:rsid w:val="00AB5A64"/>
    <w:rsid w:val="00AB5CA1"/>
    <w:rsid w:val="00AB6456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6414"/>
    <w:rsid w:val="00AE7269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913"/>
    <w:rsid w:val="00B01593"/>
    <w:rsid w:val="00B01FF9"/>
    <w:rsid w:val="00B023F2"/>
    <w:rsid w:val="00B038CA"/>
    <w:rsid w:val="00B06DB4"/>
    <w:rsid w:val="00B0750D"/>
    <w:rsid w:val="00B0799C"/>
    <w:rsid w:val="00B102CE"/>
    <w:rsid w:val="00B10A4D"/>
    <w:rsid w:val="00B10C90"/>
    <w:rsid w:val="00B11002"/>
    <w:rsid w:val="00B1114F"/>
    <w:rsid w:val="00B121B2"/>
    <w:rsid w:val="00B141B6"/>
    <w:rsid w:val="00B14BC1"/>
    <w:rsid w:val="00B16DD1"/>
    <w:rsid w:val="00B16EB8"/>
    <w:rsid w:val="00B17E71"/>
    <w:rsid w:val="00B17FDE"/>
    <w:rsid w:val="00B20632"/>
    <w:rsid w:val="00B2379C"/>
    <w:rsid w:val="00B23D5D"/>
    <w:rsid w:val="00B2687D"/>
    <w:rsid w:val="00B3108D"/>
    <w:rsid w:val="00B32DDB"/>
    <w:rsid w:val="00B32F57"/>
    <w:rsid w:val="00B3345C"/>
    <w:rsid w:val="00B34528"/>
    <w:rsid w:val="00B34CC9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2151"/>
    <w:rsid w:val="00B530CD"/>
    <w:rsid w:val="00B53C7D"/>
    <w:rsid w:val="00B53E56"/>
    <w:rsid w:val="00B55A97"/>
    <w:rsid w:val="00B55F5E"/>
    <w:rsid w:val="00B5642C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80EC6"/>
    <w:rsid w:val="00B81288"/>
    <w:rsid w:val="00B81D70"/>
    <w:rsid w:val="00B833B9"/>
    <w:rsid w:val="00B83E07"/>
    <w:rsid w:val="00B84CF6"/>
    <w:rsid w:val="00B85016"/>
    <w:rsid w:val="00B8561A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7ACC"/>
    <w:rsid w:val="00B97FE2"/>
    <w:rsid w:val="00BA0E0B"/>
    <w:rsid w:val="00BA201A"/>
    <w:rsid w:val="00BA3787"/>
    <w:rsid w:val="00BA46E8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AB2"/>
    <w:rsid w:val="00BB5ABF"/>
    <w:rsid w:val="00BB6EA2"/>
    <w:rsid w:val="00BB7B5B"/>
    <w:rsid w:val="00BB7EB1"/>
    <w:rsid w:val="00BC003F"/>
    <w:rsid w:val="00BC0930"/>
    <w:rsid w:val="00BC327F"/>
    <w:rsid w:val="00BC3512"/>
    <w:rsid w:val="00BC50BE"/>
    <w:rsid w:val="00BC5332"/>
    <w:rsid w:val="00BC5715"/>
    <w:rsid w:val="00BC5C12"/>
    <w:rsid w:val="00BC7154"/>
    <w:rsid w:val="00BC731E"/>
    <w:rsid w:val="00BC7614"/>
    <w:rsid w:val="00BD25BB"/>
    <w:rsid w:val="00BD2AF8"/>
    <w:rsid w:val="00BD366B"/>
    <w:rsid w:val="00BD3C09"/>
    <w:rsid w:val="00BD410B"/>
    <w:rsid w:val="00BD4A73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4329"/>
    <w:rsid w:val="00BF4E43"/>
    <w:rsid w:val="00BF5C4C"/>
    <w:rsid w:val="00BF77FC"/>
    <w:rsid w:val="00C006D6"/>
    <w:rsid w:val="00C00BD7"/>
    <w:rsid w:val="00C01410"/>
    <w:rsid w:val="00C04B78"/>
    <w:rsid w:val="00C052AA"/>
    <w:rsid w:val="00C06EE3"/>
    <w:rsid w:val="00C07749"/>
    <w:rsid w:val="00C11244"/>
    <w:rsid w:val="00C11D48"/>
    <w:rsid w:val="00C1493E"/>
    <w:rsid w:val="00C15DBD"/>
    <w:rsid w:val="00C2010D"/>
    <w:rsid w:val="00C20CB5"/>
    <w:rsid w:val="00C21430"/>
    <w:rsid w:val="00C216DF"/>
    <w:rsid w:val="00C21E61"/>
    <w:rsid w:val="00C21F94"/>
    <w:rsid w:val="00C234DB"/>
    <w:rsid w:val="00C2479A"/>
    <w:rsid w:val="00C24903"/>
    <w:rsid w:val="00C2590D"/>
    <w:rsid w:val="00C25D9C"/>
    <w:rsid w:val="00C27913"/>
    <w:rsid w:val="00C300E2"/>
    <w:rsid w:val="00C31F21"/>
    <w:rsid w:val="00C32631"/>
    <w:rsid w:val="00C33301"/>
    <w:rsid w:val="00C33311"/>
    <w:rsid w:val="00C33B68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70C9"/>
    <w:rsid w:val="00C81070"/>
    <w:rsid w:val="00C8174E"/>
    <w:rsid w:val="00C82191"/>
    <w:rsid w:val="00C83134"/>
    <w:rsid w:val="00C831E7"/>
    <w:rsid w:val="00C832F3"/>
    <w:rsid w:val="00C845A4"/>
    <w:rsid w:val="00C85545"/>
    <w:rsid w:val="00C855B5"/>
    <w:rsid w:val="00C85F0E"/>
    <w:rsid w:val="00C90CF4"/>
    <w:rsid w:val="00C91C20"/>
    <w:rsid w:val="00C922DE"/>
    <w:rsid w:val="00C92843"/>
    <w:rsid w:val="00C92EB6"/>
    <w:rsid w:val="00C93389"/>
    <w:rsid w:val="00C948E6"/>
    <w:rsid w:val="00C94CDD"/>
    <w:rsid w:val="00C97588"/>
    <w:rsid w:val="00CA0346"/>
    <w:rsid w:val="00CA1BD6"/>
    <w:rsid w:val="00CA37FF"/>
    <w:rsid w:val="00CA423A"/>
    <w:rsid w:val="00CA47BC"/>
    <w:rsid w:val="00CA5EAD"/>
    <w:rsid w:val="00CA6AB4"/>
    <w:rsid w:val="00CA7255"/>
    <w:rsid w:val="00CB1BEE"/>
    <w:rsid w:val="00CB2351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834"/>
    <w:rsid w:val="00CC20FE"/>
    <w:rsid w:val="00CC2E7D"/>
    <w:rsid w:val="00CC612B"/>
    <w:rsid w:val="00CC655F"/>
    <w:rsid w:val="00CC66F9"/>
    <w:rsid w:val="00CC6FE5"/>
    <w:rsid w:val="00CC7458"/>
    <w:rsid w:val="00CC76BD"/>
    <w:rsid w:val="00CC7A87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6331"/>
    <w:rsid w:val="00CE14BE"/>
    <w:rsid w:val="00CE17A4"/>
    <w:rsid w:val="00CE1BA9"/>
    <w:rsid w:val="00CE2D8F"/>
    <w:rsid w:val="00CE3E48"/>
    <w:rsid w:val="00CE47B8"/>
    <w:rsid w:val="00CE62FA"/>
    <w:rsid w:val="00CE670B"/>
    <w:rsid w:val="00CE6833"/>
    <w:rsid w:val="00CF020B"/>
    <w:rsid w:val="00CF2E4D"/>
    <w:rsid w:val="00CF4205"/>
    <w:rsid w:val="00CF4908"/>
    <w:rsid w:val="00CF51EC"/>
    <w:rsid w:val="00CF545D"/>
    <w:rsid w:val="00CF5873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35B7"/>
    <w:rsid w:val="00D23FAE"/>
    <w:rsid w:val="00D25F28"/>
    <w:rsid w:val="00D26071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60415"/>
    <w:rsid w:val="00D60E3C"/>
    <w:rsid w:val="00D61FAB"/>
    <w:rsid w:val="00D63BE5"/>
    <w:rsid w:val="00D6475F"/>
    <w:rsid w:val="00D66223"/>
    <w:rsid w:val="00D667B8"/>
    <w:rsid w:val="00D70289"/>
    <w:rsid w:val="00D70822"/>
    <w:rsid w:val="00D72076"/>
    <w:rsid w:val="00D726A9"/>
    <w:rsid w:val="00D72DBA"/>
    <w:rsid w:val="00D743E0"/>
    <w:rsid w:val="00D7490C"/>
    <w:rsid w:val="00D75AC1"/>
    <w:rsid w:val="00D77252"/>
    <w:rsid w:val="00D8084C"/>
    <w:rsid w:val="00D81809"/>
    <w:rsid w:val="00D82EF1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5302"/>
    <w:rsid w:val="00D95C5D"/>
    <w:rsid w:val="00D97D00"/>
    <w:rsid w:val="00DA096C"/>
    <w:rsid w:val="00DA1AB6"/>
    <w:rsid w:val="00DA2E65"/>
    <w:rsid w:val="00DA544C"/>
    <w:rsid w:val="00DA5F8E"/>
    <w:rsid w:val="00DA6364"/>
    <w:rsid w:val="00DA7114"/>
    <w:rsid w:val="00DA7C0C"/>
    <w:rsid w:val="00DB03DD"/>
    <w:rsid w:val="00DB08A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5287"/>
    <w:rsid w:val="00DD5B36"/>
    <w:rsid w:val="00DE0D8B"/>
    <w:rsid w:val="00DE1237"/>
    <w:rsid w:val="00DE140F"/>
    <w:rsid w:val="00DE2491"/>
    <w:rsid w:val="00DE5CA6"/>
    <w:rsid w:val="00DE7AC8"/>
    <w:rsid w:val="00DF2C5D"/>
    <w:rsid w:val="00DF3643"/>
    <w:rsid w:val="00DF42FF"/>
    <w:rsid w:val="00DF4369"/>
    <w:rsid w:val="00DF4423"/>
    <w:rsid w:val="00DF4ADF"/>
    <w:rsid w:val="00DF5D1E"/>
    <w:rsid w:val="00DF77E4"/>
    <w:rsid w:val="00DF7F88"/>
    <w:rsid w:val="00E01C0E"/>
    <w:rsid w:val="00E0368F"/>
    <w:rsid w:val="00E03D73"/>
    <w:rsid w:val="00E03F9A"/>
    <w:rsid w:val="00E040DA"/>
    <w:rsid w:val="00E04694"/>
    <w:rsid w:val="00E12191"/>
    <w:rsid w:val="00E129E7"/>
    <w:rsid w:val="00E12ABE"/>
    <w:rsid w:val="00E12B1E"/>
    <w:rsid w:val="00E1444C"/>
    <w:rsid w:val="00E17262"/>
    <w:rsid w:val="00E20016"/>
    <w:rsid w:val="00E2009B"/>
    <w:rsid w:val="00E20BB9"/>
    <w:rsid w:val="00E20BCC"/>
    <w:rsid w:val="00E2251C"/>
    <w:rsid w:val="00E2363D"/>
    <w:rsid w:val="00E23C6A"/>
    <w:rsid w:val="00E253A2"/>
    <w:rsid w:val="00E260F6"/>
    <w:rsid w:val="00E27127"/>
    <w:rsid w:val="00E27233"/>
    <w:rsid w:val="00E30F15"/>
    <w:rsid w:val="00E31771"/>
    <w:rsid w:val="00E3186D"/>
    <w:rsid w:val="00E31A3E"/>
    <w:rsid w:val="00E32080"/>
    <w:rsid w:val="00E3309D"/>
    <w:rsid w:val="00E35A53"/>
    <w:rsid w:val="00E3656B"/>
    <w:rsid w:val="00E3724A"/>
    <w:rsid w:val="00E378B1"/>
    <w:rsid w:val="00E417BE"/>
    <w:rsid w:val="00E41CD5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3470"/>
    <w:rsid w:val="00E539F6"/>
    <w:rsid w:val="00E54698"/>
    <w:rsid w:val="00E54FB4"/>
    <w:rsid w:val="00E5539A"/>
    <w:rsid w:val="00E55791"/>
    <w:rsid w:val="00E55E1A"/>
    <w:rsid w:val="00E578A2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C5F"/>
    <w:rsid w:val="00E71A58"/>
    <w:rsid w:val="00E72A26"/>
    <w:rsid w:val="00E72A7A"/>
    <w:rsid w:val="00E7335A"/>
    <w:rsid w:val="00E747DC"/>
    <w:rsid w:val="00E74A2D"/>
    <w:rsid w:val="00E75C94"/>
    <w:rsid w:val="00E76B9B"/>
    <w:rsid w:val="00E76E61"/>
    <w:rsid w:val="00E77CC0"/>
    <w:rsid w:val="00E80B3D"/>
    <w:rsid w:val="00E80CA3"/>
    <w:rsid w:val="00E82618"/>
    <w:rsid w:val="00E84E09"/>
    <w:rsid w:val="00E90CA8"/>
    <w:rsid w:val="00E930A1"/>
    <w:rsid w:val="00E93820"/>
    <w:rsid w:val="00E94A86"/>
    <w:rsid w:val="00E953F6"/>
    <w:rsid w:val="00E96143"/>
    <w:rsid w:val="00E96833"/>
    <w:rsid w:val="00E97506"/>
    <w:rsid w:val="00E97BB5"/>
    <w:rsid w:val="00EA0C68"/>
    <w:rsid w:val="00EA1D0E"/>
    <w:rsid w:val="00EA2841"/>
    <w:rsid w:val="00EA32BC"/>
    <w:rsid w:val="00EA35A7"/>
    <w:rsid w:val="00EA3B32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A8E"/>
    <w:rsid w:val="00EB4BC5"/>
    <w:rsid w:val="00EB5BF7"/>
    <w:rsid w:val="00EB5E79"/>
    <w:rsid w:val="00EB6FAC"/>
    <w:rsid w:val="00EB7BAC"/>
    <w:rsid w:val="00EC03D7"/>
    <w:rsid w:val="00EC13A7"/>
    <w:rsid w:val="00EC2EB6"/>
    <w:rsid w:val="00ED0EF0"/>
    <w:rsid w:val="00ED12B9"/>
    <w:rsid w:val="00ED16B8"/>
    <w:rsid w:val="00ED1DF0"/>
    <w:rsid w:val="00ED2386"/>
    <w:rsid w:val="00ED2EA1"/>
    <w:rsid w:val="00ED3F10"/>
    <w:rsid w:val="00ED4D04"/>
    <w:rsid w:val="00ED566D"/>
    <w:rsid w:val="00ED5907"/>
    <w:rsid w:val="00ED5F5B"/>
    <w:rsid w:val="00ED62C6"/>
    <w:rsid w:val="00ED64C1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47BF"/>
    <w:rsid w:val="00EF59B1"/>
    <w:rsid w:val="00EF5A13"/>
    <w:rsid w:val="00EF5FF9"/>
    <w:rsid w:val="00EF77D4"/>
    <w:rsid w:val="00EF7CC7"/>
    <w:rsid w:val="00F00853"/>
    <w:rsid w:val="00F00866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2CFB"/>
    <w:rsid w:val="00F13E60"/>
    <w:rsid w:val="00F13FDB"/>
    <w:rsid w:val="00F15AAA"/>
    <w:rsid w:val="00F15BEF"/>
    <w:rsid w:val="00F17898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EDC"/>
    <w:rsid w:val="00F437CC"/>
    <w:rsid w:val="00F44537"/>
    <w:rsid w:val="00F46185"/>
    <w:rsid w:val="00F46423"/>
    <w:rsid w:val="00F4696A"/>
    <w:rsid w:val="00F47067"/>
    <w:rsid w:val="00F525AB"/>
    <w:rsid w:val="00F525EB"/>
    <w:rsid w:val="00F52CB5"/>
    <w:rsid w:val="00F53378"/>
    <w:rsid w:val="00F53A68"/>
    <w:rsid w:val="00F54934"/>
    <w:rsid w:val="00F55A92"/>
    <w:rsid w:val="00F62BFF"/>
    <w:rsid w:val="00F63AAE"/>
    <w:rsid w:val="00F63DDE"/>
    <w:rsid w:val="00F63FB7"/>
    <w:rsid w:val="00F6421B"/>
    <w:rsid w:val="00F647F1"/>
    <w:rsid w:val="00F649D2"/>
    <w:rsid w:val="00F6602B"/>
    <w:rsid w:val="00F7150B"/>
    <w:rsid w:val="00F717E4"/>
    <w:rsid w:val="00F71DE6"/>
    <w:rsid w:val="00F72D71"/>
    <w:rsid w:val="00F7381C"/>
    <w:rsid w:val="00F73A0C"/>
    <w:rsid w:val="00F7549F"/>
    <w:rsid w:val="00F756DB"/>
    <w:rsid w:val="00F767A8"/>
    <w:rsid w:val="00F82D14"/>
    <w:rsid w:val="00F84E7D"/>
    <w:rsid w:val="00F85066"/>
    <w:rsid w:val="00F87A4D"/>
    <w:rsid w:val="00F93688"/>
    <w:rsid w:val="00F939F3"/>
    <w:rsid w:val="00F93C6E"/>
    <w:rsid w:val="00F93F2C"/>
    <w:rsid w:val="00F9644E"/>
    <w:rsid w:val="00FA0105"/>
    <w:rsid w:val="00FA05A0"/>
    <w:rsid w:val="00FA0AEF"/>
    <w:rsid w:val="00FA17CC"/>
    <w:rsid w:val="00FA1F01"/>
    <w:rsid w:val="00FA26DF"/>
    <w:rsid w:val="00FA32BC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EEB6EC"/>
  <w15:docId w15:val="{02E7EBF8-5A4E-462D-AC4B-706FC6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dc6bece553a4e0ca/Dokumenty/Pr&#225;ce/Anal&#253;za/Q/2020Q1/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0Q1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dc6bece553a4e0ca/Dokumenty/Pr&#225;ce/Anal&#253;za/Q/2020Q1/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68840579710145E-2"/>
          <c:y val="2.1811315924220299E-2"/>
          <c:w val="0.92237743255066085"/>
          <c:h val="0.73318107621299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'[Makroanalýza grafy.xlsx]Ceny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'[Makroanalýza grafy.xlsx]Ceny 2'!$A$18:$B$38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'[Makroanalýza grafy.xlsx]Ceny 2'!$C$18:$C$38</c:f>
              <c:numCache>
                <c:formatCode>0.0</c:formatCode>
                <c:ptCount val="21"/>
                <c:pt idx="0">
                  <c:v>9.9999999999994316E-2</c:v>
                </c:pt>
                <c:pt idx="1">
                  <c:v>0.70000000000000284</c:v>
                </c:pt>
                <c:pt idx="2">
                  <c:v>0.40000000000000568</c:v>
                </c:pt>
                <c:pt idx="3">
                  <c:v>9.9999999999994316E-2</c:v>
                </c:pt>
                <c:pt idx="4">
                  <c:v>0.5</c:v>
                </c:pt>
                <c:pt idx="5">
                  <c:v>0.20000000000000284</c:v>
                </c:pt>
                <c:pt idx="6">
                  <c:v>0.5</c:v>
                </c:pt>
                <c:pt idx="7">
                  <c:v>1.4000000000000057</c:v>
                </c:pt>
                <c:pt idx="8" formatCode="General">
                  <c:v>2.4000000000000057</c:v>
                </c:pt>
                <c:pt idx="9" formatCode="General">
                  <c:v>2.2000000000000028</c:v>
                </c:pt>
                <c:pt idx="10">
                  <c:v>2.5</c:v>
                </c:pt>
                <c:pt idx="11">
                  <c:v>2.6</c:v>
                </c:pt>
                <c:pt idx="12">
                  <c:v>1.9</c:v>
                </c:pt>
                <c:pt idx="13">
                  <c:v>2.2999999999999998</c:v>
                </c:pt>
                <c:pt idx="14">
                  <c:v>2.4</c:v>
                </c:pt>
                <c:pt idx="15">
                  <c:v>2.1</c:v>
                </c:pt>
                <c:pt idx="16">
                  <c:v>2.7</c:v>
                </c:pt>
                <c:pt idx="17">
                  <c:v>2.8</c:v>
                </c:pt>
                <c:pt idx="18">
                  <c:v>2.8</c:v>
                </c:pt>
                <c:pt idx="19">
                  <c:v>3</c:v>
                </c:pt>
                <c:pt idx="20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B3-4B2E-AF06-E3976E148A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270120064"/>
        <c:axId val="270121600"/>
      </c:barChart>
      <c:lineChart>
        <c:grouping val="standard"/>
        <c:varyColors val="0"/>
        <c:ser>
          <c:idx val="1"/>
          <c:order val="1"/>
          <c:tx>
            <c:strRef>
              <c:f>'[Makroanalýza grafy.xlsx]Ceny 2'!$D$5</c:f>
              <c:strCache>
                <c:ptCount val="1"/>
                <c:pt idx="0">
                  <c:v>Potraviny a nealkoholické nápoje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'[Makroanalýza grafy.xlsx]Ceny 2'!$A$18:$B$38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'[Makroanalýza grafy.xlsx]Ceny 2'!$D$18:$D$38</c:f>
              <c:numCache>
                <c:formatCode>0.0</c:formatCode>
                <c:ptCount val="21"/>
                <c:pt idx="0">
                  <c:v>-1.5999999999999943</c:v>
                </c:pt>
                <c:pt idx="1">
                  <c:v>-9.9999999999994316E-2</c:v>
                </c:pt>
                <c:pt idx="2">
                  <c:v>-0.90000000000000568</c:v>
                </c:pt>
                <c:pt idx="3">
                  <c:v>-1.5999999999999943</c:v>
                </c:pt>
                <c:pt idx="4">
                  <c:v>-1.7000000000000028</c:v>
                </c:pt>
                <c:pt idx="5">
                  <c:v>-2.4000000000000057</c:v>
                </c:pt>
                <c:pt idx="6">
                  <c:v>-0.79999999999999716</c:v>
                </c:pt>
                <c:pt idx="7">
                  <c:v>1.2000000000000028</c:v>
                </c:pt>
                <c:pt idx="8" formatCode="General">
                  <c:v>4.2000000000000028</c:v>
                </c:pt>
                <c:pt idx="9" formatCode="General">
                  <c:v>4.5</c:v>
                </c:pt>
                <c:pt idx="10">
                  <c:v>5.7</c:v>
                </c:pt>
                <c:pt idx="11">
                  <c:v>6.3</c:v>
                </c:pt>
                <c:pt idx="12">
                  <c:v>2.9</c:v>
                </c:pt>
                <c:pt idx="13" formatCode="#\ ##0.0_ ;\-#\ ##0.0\ ">
                  <c:v>2.2999999999999998</c:v>
                </c:pt>
                <c:pt idx="14">
                  <c:v>0.6</c:v>
                </c:pt>
                <c:pt idx="15">
                  <c:v>-0.5</c:v>
                </c:pt>
                <c:pt idx="16">
                  <c:v>1</c:v>
                </c:pt>
                <c:pt idx="17">
                  <c:v>2.5</c:v>
                </c:pt>
                <c:pt idx="18">
                  <c:v>3.5</c:v>
                </c:pt>
                <c:pt idx="19">
                  <c:v>4.3</c:v>
                </c:pt>
                <c:pt idx="20">
                  <c:v>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B3-4B2E-AF06-E3976E148A7F}"/>
            </c:ext>
          </c:extLst>
        </c:ser>
        <c:ser>
          <c:idx val="3"/>
          <c:order val="2"/>
          <c:tx>
            <c:strRef>
              <c:f>'[Makroanalýza grafy.xlsx]Ceny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'[Makroanalýza grafy.xlsx]Ceny 2'!$A$18:$B$38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'[Makroanalýza grafy.xlsx]Ceny 2'!$F$18:$F$38</c:f>
              <c:numCache>
                <c:formatCode>0.0</c:formatCode>
                <c:ptCount val="21"/>
                <c:pt idx="0">
                  <c:v>1.0999999999999943</c:v>
                </c:pt>
                <c:pt idx="1">
                  <c:v>1.2000000000000028</c:v>
                </c:pt>
                <c:pt idx="2">
                  <c:v>0.79999999999999716</c:v>
                </c:pt>
                <c:pt idx="3">
                  <c:v>0.90000000000000568</c:v>
                </c:pt>
                <c:pt idx="4">
                  <c:v>0.90000000000000568</c:v>
                </c:pt>
                <c:pt idx="5">
                  <c:v>0.5</c:v>
                </c:pt>
                <c:pt idx="6">
                  <c:v>0.40000000000000568</c:v>
                </c:pt>
                <c:pt idx="7">
                  <c:v>0.59999999999999432</c:v>
                </c:pt>
                <c:pt idx="8" formatCode="General">
                  <c:v>0.79999999999999716</c:v>
                </c:pt>
                <c:pt idx="9" formatCode="General">
                  <c:v>1.5</c:v>
                </c:pt>
                <c:pt idx="10">
                  <c:v>2.1</c:v>
                </c:pt>
                <c:pt idx="11">
                  <c:v>2.2000000000000002</c:v>
                </c:pt>
                <c:pt idx="12">
                  <c:v>2.2999999999999998</c:v>
                </c:pt>
                <c:pt idx="13">
                  <c:v>2.6</c:v>
                </c:pt>
                <c:pt idx="14">
                  <c:v>3.2</c:v>
                </c:pt>
                <c:pt idx="15">
                  <c:v>3.8</c:v>
                </c:pt>
                <c:pt idx="16">
                  <c:v>5.4</c:v>
                </c:pt>
                <c:pt idx="17">
                  <c:v>5.7</c:v>
                </c:pt>
                <c:pt idx="18">
                  <c:v>5.2</c:v>
                </c:pt>
                <c:pt idx="19">
                  <c:v>5</c:v>
                </c:pt>
                <c:pt idx="20">
                  <c:v>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9B3-4B2E-AF06-E3976E148A7F}"/>
            </c:ext>
          </c:extLst>
        </c:ser>
        <c:ser>
          <c:idx val="4"/>
          <c:order val="3"/>
          <c:tx>
            <c:strRef>
              <c:f>'[Makroanalýza grafy.xlsx]Ceny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'[Makroanalýza grafy.xlsx]Ceny 2'!$A$18:$B$38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'[Makroanalýza grafy.xlsx]Ceny 2'!$G$18:$G$38</c:f>
              <c:numCache>
                <c:formatCode>General</c:formatCode>
                <c:ptCount val="21"/>
                <c:pt idx="0">
                  <c:v>-4.9000000000000057</c:v>
                </c:pt>
                <c:pt idx="1">
                  <c:v>-3.2999999999999972</c:v>
                </c:pt>
                <c:pt idx="2">
                  <c:v>-3.7999999999999972</c:v>
                </c:pt>
                <c:pt idx="3">
                  <c:v>-4.7000000000000028</c:v>
                </c:pt>
                <c:pt idx="4">
                  <c:v>-2.7000000000000028</c:v>
                </c:pt>
                <c:pt idx="5">
                  <c:v>-2.9000000000000057</c:v>
                </c:pt>
                <c:pt idx="6">
                  <c:v>-2.2999999999999972</c:v>
                </c:pt>
                <c:pt idx="7">
                  <c:v>1.0999999999999943</c:v>
                </c:pt>
                <c:pt idx="8">
                  <c:v>6</c:v>
                </c:pt>
                <c:pt idx="9">
                  <c:v>3.9000000000000057</c:v>
                </c:pt>
                <c:pt idx="10" formatCode="0.0">
                  <c:v>2.5</c:v>
                </c:pt>
                <c:pt idx="11" formatCode="0.0">
                  <c:v>2.5</c:v>
                </c:pt>
                <c:pt idx="12" formatCode="0.0">
                  <c:v>1</c:v>
                </c:pt>
                <c:pt idx="13" formatCode="0.0">
                  <c:v>3</c:v>
                </c:pt>
                <c:pt idx="14" formatCode="0.0">
                  <c:v>4.5</c:v>
                </c:pt>
                <c:pt idx="15" formatCode="0.0">
                  <c:v>2.6</c:v>
                </c:pt>
                <c:pt idx="16" formatCode="0.0">
                  <c:v>0.6</c:v>
                </c:pt>
                <c:pt idx="17" formatCode="0.0">
                  <c:v>0.8</c:v>
                </c:pt>
                <c:pt idx="18" formatCode="0.0">
                  <c:v>-0.2</c:v>
                </c:pt>
                <c:pt idx="19" formatCode="0.0">
                  <c:v>0.5</c:v>
                </c:pt>
                <c:pt idx="20">
                  <c:v>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9B3-4B2E-AF06-E3976E148A7F}"/>
            </c:ext>
          </c:extLst>
        </c:ser>
        <c:ser>
          <c:idx val="2"/>
          <c:order val="4"/>
          <c:tx>
            <c:strRef>
              <c:f>'[Makroanalýza grafy.xlsx]Ceny 2'!$E$5</c:f>
              <c:strCache>
                <c:ptCount val="1"/>
                <c:pt idx="0">
                  <c:v>Alkoholické nápoje a tabák</c:v>
                </c:pt>
              </c:strCache>
            </c:strRef>
          </c:tx>
          <c:spPr>
            <a:ln w="22225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'[Makroanalýza grafy.xlsx]Ceny 2'!$A$18:$B$38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'[Makroanalýza grafy.xlsx]Ceny 2'!$E$18:$E$38</c:f>
              <c:numCache>
                <c:formatCode>0.0</c:formatCode>
                <c:ptCount val="21"/>
                <c:pt idx="0">
                  <c:v>3.4000000000000057</c:v>
                </c:pt>
                <c:pt idx="1">
                  <c:v>5.4000000000000057</c:v>
                </c:pt>
                <c:pt idx="2">
                  <c:v>5.2000000000000028</c:v>
                </c:pt>
                <c:pt idx="3">
                  <c:v>4.7000000000000028</c:v>
                </c:pt>
                <c:pt idx="4">
                  <c:v>3.5</c:v>
                </c:pt>
                <c:pt idx="5">
                  <c:v>4.4000000000000057</c:v>
                </c:pt>
                <c:pt idx="6">
                  <c:v>4.5</c:v>
                </c:pt>
                <c:pt idx="7">
                  <c:v>5.2000000000000028</c:v>
                </c:pt>
                <c:pt idx="8" formatCode="General">
                  <c:v>3.4000000000000057</c:v>
                </c:pt>
                <c:pt idx="9" formatCode="General">
                  <c:v>0.79999999999999716</c:v>
                </c:pt>
                <c:pt idx="10">
                  <c:v>1.3</c:v>
                </c:pt>
                <c:pt idx="11">
                  <c:v>1.5</c:v>
                </c:pt>
                <c:pt idx="12">
                  <c:v>2.5</c:v>
                </c:pt>
                <c:pt idx="13">
                  <c:v>3.6</c:v>
                </c:pt>
                <c:pt idx="14">
                  <c:v>2.8</c:v>
                </c:pt>
                <c:pt idx="15">
                  <c:v>3.1</c:v>
                </c:pt>
                <c:pt idx="16">
                  <c:v>3.3</c:v>
                </c:pt>
                <c:pt idx="17">
                  <c:v>1.7</c:v>
                </c:pt>
                <c:pt idx="18">
                  <c:v>1.9</c:v>
                </c:pt>
                <c:pt idx="19">
                  <c:v>1.8</c:v>
                </c:pt>
                <c:pt idx="20" formatCode="General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9B3-4B2E-AF06-E3976E148A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0120064"/>
        <c:axId val="270121600"/>
      </c:lineChart>
      <c:catAx>
        <c:axId val="270120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70121600"/>
        <c:crosses val="autoZero"/>
        <c:auto val="1"/>
        <c:lblAlgn val="ctr"/>
        <c:lblOffset val="100"/>
        <c:noMultiLvlLbl val="0"/>
      </c:catAx>
      <c:valAx>
        <c:axId val="27012160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012006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6562816616008108E-2"/>
          <c:y val="0.86183552853765621"/>
          <c:w val="0.91934228301249576"/>
          <c:h val="0.12744174265450864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70373184734885E-2"/>
          <c:y val="2.9569886214146503E-2"/>
          <c:w val="0.90493308848362042"/>
          <c:h val="0.73556653157716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1'!$A$18:$B$38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'Ceny 1'!$C$18:$C$38</c:f>
              <c:numCache>
                <c:formatCode>General</c:formatCode>
                <c:ptCount val="21"/>
                <c:pt idx="0">
                  <c:v>4.2999999999999972</c:v>
                </c:pt>
                <c:pt idx="1">
                  <c:v>4.9000000000000057</c:v>
                </c:pt>
                <c:pt idx="2">
                  <c:v>6</c:v>
                </c:pt>
                <c:pt idx="3">
                  <c:v>6.7999999999999972</c:v>
                </c:pt>
                <c:pt idx="4">
                  <c:v>8.9000000000000057</c:v>
                </c:pt>
                <c:pt idx="5">
                  <c:v>10.299999999999997</c:v>
                </c:pt>
                <c:pt idx="6">
                  <c:v>12.299999999999997</c:v>
                </c:pt>
                <c:pt idx="7">
                  <c:v>14.599999999999994</c:v>
                </c:pt>
                <c:pt idx="8">
                  <c:v>17.200000000000003</c:v>
                </c:pt>
                <c:pt idx="9">
                  <c:v>18.700000000000003</c:v>
                </c:pt>
                <c:pt idx="10">
                  <c:v>15.799999999999997</c:v>
                </c:pt>
                <c:pt idx="11">
                  <c:v>12</c:v>
                </c:pt>
                <c:pt idx="12">
                  <c:v>9.2000000000000028</c:v>
                </c:pt>
                <c:pt idx="13">
                  <c:v>8</c:v>
                </c:pt>
                <c:pt idx="14">
                  <c:v>9.4000000000000057</c:v>
                </c:pt>
                <c:pt idx="15">
                  <c:v>11.400000000000006</c:v>
                </c:pt>
                <c:pt idx="16">
                  <c:v>11.299999999999997</c:v>
                </c:pt>
                <c:pt idx="17">
                  <c:v>10.599999999999994</c:v>
                </c:pt>
                <c:pt idx="18">
                  <c:v>9.5</c:v>
                </c:pt>
                <c:pt idx="19">
                  <c:v>9.4000000000000057</c:v>
                </c:pt>
                <c:pt idx="20">
                  <c:v>10.599999999999994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C9-4F5F-9F27-22FD10A7B798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invertIfNegative val="0"/>
          <c:cat>
            <c:multiLvlStrRef>
              <c:f>'Ceny 1'!$A$18:$B$38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'Ceny 1'!$D$18:$D$38</c:f>
              <c:numCache>
                <c:formatCode>General</c:formatCode>
                <c:ptCount val="21"/>
                <c:pt idx="0">
                  <c:v>5</c:v>
                </c:pt>
                <c:pt idx="1">
                  <c:v>5.9000000000000057</c:v>
                </c:pt>
                <c:pt idx="2">
                  <c:v>5.5999999999999943</c:v>
                </c:pt>
                <c:pt idx="3">
                  <c:v>4.5999999999999943</c:v>
                </c:pt>
                <c:pt idx="4">
                  <c:v>5.7999999999999972</c:v>
                </c:pt>
                <c:pt idx="5">
                  <c:v>7.5</c:v>
                </c:pt>
                <c:pt idx="6">
                  <c:v>9.4000000000000057</c:v>
                </c:pt>
                <c:pt idx="7">
                  <c:v>13.900000000000006</c:v>
                </c:pt>
                <c:pt idx="8">
                  <c:v>16.200000000000003</c:v>
                </c:pt>
                <c:pt idx="9">
                  <c:v>19</c:v>
                </c:pt>
                <c:pt idx="10">
                  <c:v>16.400000000000006</c:v>
                </c:pt>
                <c:pt idx="11">
                  <c:v>11.099999999999994</c:v>
                </c:pt>
                <c:pt idx="12">
                  <c:v>8.2999999999999972</c:v>
                </c:pt>
                <c:pt idx="13">
                  <c:v>4</c:v>
                </c:pt>
                <c:pt idx="14">
                  <c:v>6</c:v>
                </c:pt>
                <c:pt idx="15">
                  <c:v>8.7000000000000028</c:v>
                </c:pt>
                <c:pt idx="16">
                  <c:v>9.4000000000000057</c:v>
                </c:pt>
                <c:pt idx="17">
                  <c:v>8.7000000000000028</c:v>
                </c:pt>
                <c:pt idx="18">
                  <c:v>6.5</c:v>
                </c:pt>
                <c:pt idx="19">
                  <c:v>7.0999999999999943</c:v>
                </c:pt>
                <c:pt idx="20">
                  <c:v>6.2000000000000028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C9-4F5F-9F27-22FD10A7B7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270057856"/>
        <c:axId val="270059392"/>
      </c:barChart>
      <c:lineChart>
        <c:grouping val="standard"/>
        <c:varyColors val="0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1'!$A$18:$B$38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'Ceny 1'!$E$18:$E$38</c:f>
              <c:numCache>
                <c:formatCode>0.0</c:formatCode>
                <c:ptCount val="21"/>
                <c:pt idx="0">
                  <c:v>3.6253776435045406</c:v>
                </c:pt>
                <c:pt idx="1">
                  <c:v>4.9701789264413518</c:v>
                </c:pt>
                <c:pt idx="2">
                  <c:v>6.0843964671246207</c:v>
                </c:pt>
                <c:pt idx="3">
                  <c:v>9.5849802371541539</c:v>
                </c:pt>
                <c:pt idx="4">
                  <c:v>10.204081632653059</c:v>
                </c:pt>
                <c:pt idx="5">
                  <c:v>10.321969696969703</c:v>
                </c:pt>
                <c:pt idx="6">
                  <c:v>9.8982423681776162</c:v>
                </c:pt>
                <c:pt idx="7">
                  <c:v>9.9188458070333638</c:v>
                </c:pt>
                <c:pt idx="8">
                  <c:v>9.5238095238095202</c:v>
                </c:pt>
                <c:pt idx="9" formatCode="General">
                  <c:v>9.5278969957081507</c:v>
                </c:pt>
                <c:pt idx="10" formatCode="General">
                  <c:v>12.542087542087534</c:v>
                </c:pt>
                <c:pt idx="11" formatCode="General">
                  <c:v>12.469237079573411</c:v>
                </c:pt>
                <c:pt idx="12" formatCode="General">
                  <c:v>12.801932367149751</c:v>
                </c:pt>
                <c:pt idx="13" formatCode="General">
                  <c:v>12.2257053291536</c:v>
                </c:pt>
                <c:pt idx="14" formatCode="General">
                  <c:v>9.4988780852655328</c:v>
                </c:pt>
                <c:pt idx="15" formatCode="General">
                  <c:v>8.4609773887673203</c:v>
                </c:pt>
                <c:pt idx="16" formatCode="General">
                  <c:v>7.4232690935046435</c:v>
                </c:pt>
                <c:pt idx="17" formatCode="General">
                  <c:v>5.7262569832402361</c:v>
                </c:pt>
                <c:pt idx="18" formatCode="General">
                  <c:v>5.1912568306010893</c:v>
                </c:pt>
                <c:pt idx="19" formatCode="General">
                  <c:v>5.5144586415601999</c:v>
                </c:pt>
                <c:pt idx="20" formatCode="General">
                  <c:v>6.0465116279069733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7C9-4F5F-9F27-22FD10A7B798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1'!$A$18:$B$38</c:f>
              <c:multiLvlStrCache>
                <c:ptCount val="2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</c:lvl>
              </c:multiLvlStrCache>
            </c:multiLvlStrRef>
          </c:cat>
          <c:val>
            <c:numRef>
              <c:f>'Ceny 1'!$F$18:$F$38</c:f>
              <c:numCache>
                <c:formatCode>0.0</c:formatCode>
                <c:ptCount val="21"/>
                <c:pt idx="0">
                  <c:v>5.7710501419110631</c:v>
                </c:pt>
                <c:pt idx="1">
                  <c:v>6.4995357474466111</c:v>
                </c:pt>
                <c:pt idx="2">
                  <c:v>6.7089755213055353</c:v>
                </c:pt>
                <c:pt idx="3">
                  <c:v>8.7862318840579601</c:v>
                </c:pt>
                <c:pt idx="4">
                  <c:v>10.196779964221831</c:v>
                </c:pt>
                <c:pt idx="5">
                  <c:v>10.549258936355706</c:v>
                </c:pt>
                <c:pt idx="6">
                  <c:v>9.7706032285471416</c:v>
                </c:pt>
                <c:pt idx="7">
                  <c:v>11.323896752706073</c:v>
                </c:pt>
                <c:pt idx="8">
                  <c:v>13.636363636363633</c:v>
                </c:pt>
                <c:pt idx="9" formatCode="General">
                  <c:v>14.589905362776037</c:v>
                </c:pt>
                <c:pt idx="10" formatCode="General">
                  <c:v>18.266253869969059</c:v>
                </c:pt>
                <c:pt idx="11" formatCode="General">
                  <c:v>18.773373223635023</c:v>
                </c:pt>
                <c:pt idx="12" formatCode="General">
                  <c:v>15.071428571428566</c:v>
                </c:pt>
                <c:pt idx="13" formatCode="General">
                  <c:v>14.246386785960075</c:v>
                </c:pt>
                <c:pt idx="14" formatCode="General">
                  <c:v>10.732984293193702</c:v>
                </c:pt>
                <c:pt idx="15" formatCode="General">
                  <c:v>8.7531486146095574</c:v>
                </c:pt>
                <c:pt idx="16" formatCode="General">
                  <c:v>8.3178150217256395</c:v>
                </c:pt>
                <c:pt idx="17" formatCode="General">
                  <c:v>4.9397590361445713</c:v>
                </c:pt>
                <c:pt idx="18" formatCode="General">
                  <c:v>3.3096926713948127</c:v>
                </c:pt>
                <c:pt idx="19" formatCode="General">
                  <c:v>2.9530978575564695</c:v>
                </c:pt>
                <c:pt idx="20" formatCode="General">
                  <c:v>3.553008595988532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7C9-4F5F-9F27-22FD10A7B7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0057856"/>
        <c:axId val="270059392"/>
      </c:lineChart>
      <c:catAx>
        <c:axId val="270057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70059392"/>
        <c:crosses val="autoZero"/>
        <c:auto val="1"/>
        <c:lblAlgn val="ctr"/>
        <c:lblOffset val="100"/>
        <c:noMultiLvlLbl val="0"/>
      </c:catAx>
      <c:valAx>
        <c:axId val="270059392"/>
        <c:scaling>
          <c:orientation val="minMax"/>
          <c:min val="-6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0057856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3334810874704504E-2"/>
          <c:y val="0.88817854328492629"/>
          <c:w val="0.89999282337048292"/>
          <c:h val="9.8380614657210319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510469436001351E-2"/>
          <c:y val="2.181131592422042E-2"/>
          <c:w val="0.90860161263086792"/>
          <c:h val="0.716632331419565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'[Makroanalýza grafy.xlsx]Ceny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'[Makroanalýza grafy.xlsx]Ceny 4'!$A$30:$B$92</c:f>
              <c:multiLvlStrCache>
                <c:ptCount val="6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'[Makroanalýza grafy.xlsx]Ceny 4'!$C$30:$C$92</c:f>
              <c:numCache>
                <c:formatCode>0.0</c:formatCode>
                <c:ptCount val="63"/>
                <c:pt idx="0">
                  <c:v>-3.5</c:v>
                </c:pt>
                <c:pt idx="1">
                  <c:v>-3.5999999999999943</c:v>
                </c:pt>
                <c:pt idx="2">
                  <c:v>-2.9000000000000057</c:v>
                </c:pt>
                <c:pt idx="3">
                  <c:v>-2.5999999999999943</c:v>
                </c:pt>
                <c:pt idx="4">
                  <c:v>-2.0999999999999943</c:v>
                </c:pt>
                <c:pt idx="5">
                  <c:v>-2.2999999999999972</c:v>
                </c:pt>
                <c:pt idx="6">
                  <c:v>-3</c:v>
                </c:pt>
                <c:pt idx="7">
                  <c:v>-3.7000000000000028</c:v>
                </c:pt>
                <c:pt idx="8">
                  <c:v>-4.2000000000000028</c:v>
                </c:pt>
                <c:pt idx="9">
                  <c:v>-3.9000000000000057</c:v>
                </c:pt>
                <c:pt idx="10">
                  <c:v>-3.7000000000000028</c:v>
                </c:pt>
                <c:pt idx="11">
                  <c:v>-2.9000000000000057</c:v>
                </c:pt>
                <c:pt idx="12">
                  <c:v>-3.4000000000000057</c:v>
                </c:pt>
                <c:pt idx="13">
                  <c:v>-4</c:v>
                </c:pt>
                <c:pt idx="14">
                  <c:v>-4.5</c:v>
                </c:pt>
                <c:pt idx="15">
                  <c:v>-4.7000000000000028</c:v>
                </c:pt>
                <c:pt idx="16">
                  <c:v>-4.7999999999999972</c:v>
                </c:pt>
                <c:pt idx="17">
                  <c:v>-4.4000000000000057</c:v>
                </c:pt>
                <c:pt idx="18">
                  <c:v>-4</c:v>
                </c:pt>
                <c:pt idx="19">
                  <c:v>-3.4000000000000057</c:v>
                </c:pt>
                <c:pt idx="20">
                  <c:v>-2.4000000000000057</c:v>
                </c:pt>
                <c:pt idx="21">
                  <c:v>-1.7000000000000028</c:v>
                </c:pt>
                <c:pt idx="22">
                  <c:v>-1.2999999999999972</c:v>
                </c:pt>
                <c:pt idx="23">
                  <c:v>-0.40000000000000568</c:v>
                </c:pt>
                <c:pt idx="24" formatCode="General">
                  <c:v>2.0999999999999943</c:v>
                </c:pt>
                <c:pt idx="25" formatCode="General">
                  <c:v>3.0999999999999943</c:v>
                </c:pt>
                <c:pt idx="26">
                  <c:v>3</c:v>
                </c:pt>
                <c:pt idx="27">
                  <c:v>3.2000000000000028</c:v>
                </c:pt>
                <c:pt idx="28" formatCode="General">
                  <c:v>2.2999999999999972</c:v>
                </c:pt>
                <c:pt idx="29" formatCode="General">
                  <c:v>1.2999999999999972</c:v>
                </c:pt>
                <c:pt idx="30" formatCode="General">
                  <c:v>1.1000000000000001</c:v>
                </c:pt>
                <c:pt idx="31" formatCode="General">
                  <c:v>1.4</c:v>
                </c:pt>
                <c:pt idx="32" formatCode="General">
                  <c:v>1.7</c:v>
                </c:pt>
                <c:pt idx="33" formatCode="General">
                  <c:v>1.1000000000000001</c:v>
                </c:pt>
                <c:pt idx="34" formatCode="General">
                  <c:v>0.9</c:v>
                </c:pt>
                <c:pt idx="35" formatCode="General">
                  <c:v>0.7</c:v>
                </c:pt>
                <c:pt idx="36" formatCode="General">
                  <c:v>0.5</c:v>
                </c:pt>
                <c:pt idx="37" formatCode="General">
                  <c:v>-0.3</c:v>
                </c:pt>
                <c:pt idx="38" formatCode="General">
                  <c:v>0.1</c:v>
                </c:pt>
                <c:pt idx="39" formatCode="General">
                  <c:v>0</c:v>
                </c:pt>
                <c:pt idx="40" formatCode="General">
                  <c:v>1.5</c:v>
                </c:pt>
                <c:pt idx="41" formatCode="General">
                  <c:v>2.9</c:v>
                </c:pt>
                <c:pt idx="42" formatCode="General">
                  <c:v>3.4</c:v>
                </c:pt>
                <c:pt idx="43" formatCode="General">
                  <c:v>3.3</c:v>
                </c:pt>
                <c:pt idx="44" formatCode="General">
                  <c:v>3.2</c:v>
                </c:pt>
                <c:pt idx="45" formatCode="General">
                  <c:v>3.9</c:v>
                </c:pt>
                <c:pt idx="46" formatCode="General">
                  <c:v>3.9</c:v>
                </c:pt>
                <c:pt idx="47" formatCode="General">
                  <c:v>2.4</c:v>
                </c:pt>
                <c:pt idx="48" formatCode="General">
                  <c:v>2.9</c:v>
                </c:pt>
                <c:pt idx="49" formatCode="General">
                  <c:v>3.6</c:v>
                </c:pt>
                <c:pt idx="50" formatCode="General">
                  <c:v>3.8</c:v>
                </c:pt>
                <c:pt idx="51" formatCode="General">
                  <c:v>4.3</c:v>
                </c:pt>
                <c:pt idx="52" formatCode="General">
                  <c:v>3.8</c:v>
                </c:pt>
                <c:pt idx="53" formatCode="General">
                  <c:v>2.5</c:v>
                </c:pt>
                <c:pt idx="54" formatCode="General">
                  <c:v>2.1</c:v>
                </c:pt>
                <c:pt idx="55" formatCode="General">
                  <c:v>2.1</c:v>
                </c:pt>
                <c:pt idx="56" formatCode="General">
                  <c:v>1.9</c:v>
                </c:pt>
                <c:pt idx="57" formatCode="General">
                  <c:v>0.9</c:v>
                </c:pt>
                <c:pt idx="58" formatCode="General">
                  <c:v>0.9</c:v>
                </c:pt>
                <c:pt idx="59" formatCode="General">
                  <c:v>2.1</c:v>
                </c:pt>
                <c:pt idx="60" formatCode="General">
                  <c:v>2.4</c:v>
                </c:pt>
                <c:pt idx="61" formatCode="General">
                  <c:v>1.4</c:v>
                </c:pt>
                <c:pt idx="62" formatCode="General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B-4419-B354-4FC92C69F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271374208"/>
        <c:axId val="271375744"/>
      </c:barChart>
      <c:lineChart>
        <c:grouping val="standard"/>
        <c:varyColors val="0"/>
        <c:ser>
          <c:idx val="1"/>
          <c:order val="1"/>
          <c:tx>
            <c:strRef>
              <c:f>'[Makroanalýza grafy.xlsx]Ceny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'[Makroanalýza grafy.xlsx]Ceny 4'!$A$30:$B$92</c:f>
              <c:multiLvlStrCache>
                <c:ptCount val="6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'[Makroanalýza grafy.xlsx]Ceny 4'!$D$30:$D$92</c:f>
              <c:numCache>
                <c:formatCode>0.0</c:formatCode>
                <c:ptCount val="63"/>
                <c:pt idx="0">
                  <c:v>-0.90000000000000568</c:v>
                </c:pt>
                <c:pt idx="1">
                  <c:v>-1.5</c:v>
                </c:pt>
                <c:pt idx="2">
                  <c:v>-0.90000000000000568</c:v>
                </c:pt>
                <c:pt idx="3">
                  <c:v>-0.90000000000000568</c:v>
                </c:pt>
                <c:pt idx="4">
                  <c:v>0.29999999999999716</c:v>
                </c:pt>
                <c:pt idx="5">
                  <c:v>0.59999999999999432</c:v>
                </c:pt>
                <c:pt idx="6">
                  <c:v>0.40000000000000568</c:v>
                </c:pt>
                <c:pt idx="7">
                  <c:v>-0.29999999999999716</c:v>
                </c:pt>
                <c:pt idx="8">
                  <c:v>-1.7000000000000028</c:v>
                </c:pt>
                <c:pt idx="9">
                  <c:v>-1.4000000000000057</c:v>
                </c:pt>
                <c:pt idx="10">
                  <c:v>-0.59999999999999432</c:v>
                </c:pt>
                <c:pt idx="11">
                  <c:v>-0.5</c:v>
                </c:pt>
                <c:pt idx="12">
                  <c:v>-6.5999999999999943</c:v>
                </c:pt>
                <c:pt idx="13">
                  <c:v>-6.0999999999999943</c:v>
                </c:pt>
                <c:pt idx="14">
                  <c:v>-6.5</c:v>
                </c:pt>
                <c:pt idx="15">
                  <c:v>-7</c:v>
                </c:pt>
                <c:pt idx="16">
                  <c:v>-7.0999999999999943</c:v>
                </c:pt>
                <c:pt idx="17">
                  <c:v>-7.2999999999999972</c:v>
                </c:pt>
                <c:pt idx="18">
                  <c:v>-6.5999999999999943</c:v>
                </c:pt>
                <c:pt idx="19">
                  <c:v>-6</c:v>
                </c:pt>
                <c:pt idx="20">
                  <c:v>-4.9000000000000057</c:v>
                </c:pt>
                <c:pt idx="21">
                  <c:v>-5.2000000000000028</c:v>
                </c:pt>
                <c:pt idx="22">
                  <c:v>-5.2999999999999972</c:v>
                </c:pt>
                <c:pt idx="23">
                  <c:v>-5.0999999999999943</c:v>
                </c:pt>
                <c:pt idx="24" formatCode="General">
                  <c:v>2.2999999999999972</c:v>
                </c:pt>
                <c:pt idx="25" formatCode="General">
                  <c:v>5.7999999999999972</c:v>
                </c:pt>
                <c:pt idx="26">
                  <c:v>6.2000000000000028</c:v>
                </c:pt>
                <c:pt idx="27">
                  <c:v>6.4000000000000057</c:v>
                </c:pt>
                <c:pt idx="28" formatCode="General">
                  <c:v>4.2999999999999972</c:v>
                </c:pt>
                <c:pt idx="29" formatCode="General">
                  <c:v>4.0999999999999943</c:v>
                </c:pt>
                <c:pt idx="30" formatCode="General">
                  <c:v>2.9</c:v>
                </c:pt>
                <c:pt idx="31" formatCode="General">
                  <c:v>1.7</c:v>
                </c:pt>
                <c:pt idx="32" formatCode="General">
                  <c:v>1.9</c:v>
                </c:pt>
                <c:pt idx="33" formatCode="General">
                  <c:v>3.4</c:v>
                </c:pt>
                <c:pt idx="34" formatCode="General">
                  <c:v>3.3</c:v>
                </c:pt>
                <c:pt idx="35" formatCode="General">
                  <c:v>3.6</c:v>
                </c:pt>
                <c:pt idx="36" formatCode="General">
                  <c:v>6.7</c:v>
                </c:pt>
                <c:pt idx="37" formatCode="General">
                  <c:v>5</c:v>
                </c:pt>
                <c:pt idx="38" formatCode="General">
                  <c:v>4.3</c:v>
                </c:pt>
                <c:pt idx="39" formatCode="General">
                  <c:v>4.5999999999999996</c:v>
                </c:pt>
                <c:pt idx="40" formatCode="General">
                  <c:v>7.4</c:v>
                </c:pt>
                <c:pt idx="41" formatCode="General">
                  <c:v>8</c:v>
                </c:pt>
                <c:pt idx="42" formatCode="General">
                  <c:v>8.4</c:v>
                </c:pt>
                <c:pt idx="43" formatCode="General">
                  <c:v>10.1</c:v>
                </c:pt>
                <c:pt idx="44" formatCode="General">
                  <c:v>9.9</c:v>
                </c:pt>
                <c:pt idx="45" formatCode="General">
                  <c:v>9</c:v>
                </c:pt>
                <c:pt idx="46" formatCode="General">
                  <c:v>9.1999999999999993</c:v>
                </c:pt>
                <c:pt idx="47" formatCode="General">
                  <c:v>8.3000000000000007</c:v>
                </c:pt>
                <c:pt idx="48" formatCode="General">
                  <c:v>7.9</c:v>
                </c:pt>
                <c:pt idx="49" formatCode="General">
                  <c:v>7.4</c:v>
                </c:pt>
                <c:pt idx="50" formatCode="General">
                  <c:v>8</c:v>
                </c:pt>
                <c:pt idx="51" formatCode="General">
                  <c:v>8.4</c:v>
                </c:pt>
                <c:pt idx="52" formatCode="General">
                  <c:v>7.5</c:v>
                </c:pt>
                <c:pt idx="53" formatCode="General">
                  <c:v>7.1</c:v>
                </c:pt>
                <c:pt idx="54" formatCode="General">
                  <c:v>6.9</c:v>
                </c:pt>
                <c:pt idx="55" formatCode="General">
                  <c:v>6.8</c:v>
                </c:pt>
                <c:pt idx="56" formatCode="General">
                  <c:v>6.6</c:v>
                </c:pt>
                <c:pt idx="57" formatCode="General">
                  <c:v>3.6</c:v>
                </c:pt>
                <c:pt idx="58" formatCode="General">
                  <c:v>3.2</c:v>
                </c:pt>
                <c:pt idx="59" formatCode="General">
                  <c:v>4.3</c:v>
                </c:pt>
                <c:pt idx="60" formatCode="General">
                  <c:v>-2.1</c:v>
                </c:pt>
                <c:pt idx="61" formatCode="General">
                  <c:v>-1.8</c:v>
                </c:pt>
                <c:pt idx="62" formatCode="General">
                  <c:v>-2.6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11B-4419-B354-4FC92C69FFBD}"/>
            </c:ext>
          </c:extLst>
        </c:ser>
        <c:ser>
          <c:idx val="2"/>
          <c:order val="2"/>
          <c:tx>
            <c:strRef>
              <c:f>'[Makroanalýza grafy.xlsx]Ceny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'[Makroanalýza grafy.xlsx]Ceny 4'!$A$30:$B$92</c:f>
              <c:multiLvlStrCache>
                <c:ptCount val="6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'[Makroanalýza grafy.xlsx]Ceny 4'!$E$30:$E$92</c:f>
              <c:numCache>
                <c:formatCode>0.0</c:formatCode>
                <c:ptCount val="63"/>
                <c:pt idx="0">
                  <c:v>-4.2999999999999972</c:v>
                </c:pt>
                <c:pt idx="1">
                  <c:v>-4.4000000000000057</c:v>
                </c:pt>
                <c:pt idx="2">
                  <c:v>-3.5</c:v>
                </c:pt>
                <c:pt idx="3">
                  <c:v>-3.0999999999999943</c:v>
                </c:pt>
                <c:pt idx="4">
                  <c:v>-2.7000000000000028</c:v>
                </c:pt>
                <c:pt idx="5">
                  <c:v>-2.7999999999999972</c:v>
                </c:pt>
                <c:pt idx="6">
                  <c:v>-3.5999999999999943</c:v>
                </c:pt>
                <c:pt idx="7">
                  <c:v>-4.7000000000000028</c:v>
                </c:pt>
                <c:pt idx="8">
                  <c:v>-5.2000000000000028</c:v>
                </c:pt>
                <c:pt idx="9">
                  <c:v>-4.9000000000000057</c:v>
                </c:pt>
                <c:pt idx="10">
                  <c:v>-4.5999999999999943</c:v>
                </c:pt>
                <c:pt idx="11">
                  <c:v>-3.5</c:v>
                </c:pt>
                <c:pt idx="12">
                  <c:v>-3.2999999999999972</c:v>
                </c:pt>
                <c:pt idx="13">
                  <c:v>-4.0999999999999943</c:v>
                </c:pt>
                <c:pt idx="14">
                  <c:v>-4.5999999999999943</c:v>
                </c:pt>
                <c:pt idx="15">
                  <c:v>-4.9000000000000057</c:v>
                </c:pt>
                <c:pt idx="16">
                  <c:v>-5</c:v>
                </c:pt>
                <c:pt idx="17">
                  <c:v>-4.5</c:v>
                </c:pt>
                <c:pt idx="18">
                  <c:v>-4</c:v>
                </c:pt>
                <c:pt idx="19">
                  <c:v>-3.2000000000000028</c:v>
                </c:pt>
                <c:pt idx="20">
                  <c:v>-2</c:v>
                </c:pt>
                <c:pt idx="21">
                  <c:v>-1.0999999999999943</c:v>
                </c:pt>
                <c:pt idx="22">
                  <c:v>-0.59999999999999432</c:v>
                </c:pt>
                <c:pt idx="23">
                  <c:v>0.59999999999999432</c:v>
                </c:pt>
                <c:pt idx="24" formatCode="General">
                  <c:v>2.5999999999999943</c:v>
                </c:pt>
                <c:pt idx="25" formatCode="General">
                  <c:v>4</c:v>
                </c:pt>
                <c:pt idx="26">
                  <c:v>3.7999999999999972</c:v>
                </c:pt>
                <c:pt idx="27">
                  <c:v>4</c:v>
                </c:pt>
                <c:pt idx="28" formatCode="General">
                  <c:v>2.7999999999999972</c:v>
                </c:pt>
                <c:pt idx="29" formatCode="General">
                  <c:v>1.5</c:v>
                </c:pt>
                <c:pt idx="30" formatCode="General">
                  <c:v>1.4</c:v>
                </c:pt>
                <c:pt idx="31" formatCode="General">
                  <c:v>2</c:v>
                </c:pt>
                <c:pt idx="32" formatCode="General">
                  <c:v>2.1</c:v>
                </c:pt>
                <c:pt idx="33" formatCode="General">
                  <c:v>1.4</c:v>
                </c:pt>
                <c:pt idx="34" formatCode="General">
                  <c:v>1.1000000000000001</c:v>
                </c:pt>
                <c:pt idx="35" formatCode="General">
                  <c:v>0.9</c:v>
                </c:pt>
                <c:pt idx="36" formatCode="General">
                  <c:v>0.2</c:v>
                </c:pt>
                <c:pt idx="37" formatCode="General">
                  <c:v>-0.9</c:v>
                </c:pt>
                <c:pt idx="38" formatCode="General">
                  <c:v>-0.5</c:v>
                </c:pt>
                <c:pt idx="39" formatCode="General">
                  <c:v>-0.5</c:v>
                </c:pt>
                <c:pt idx="40" formatCode="General">
                  <c:v>1.3</c:v>
                </c:pt>
                <c:pt idx="41" formatCode="General">
                  <c:v>2.8</c:v>
                </c:pt>
                <c:pt idx="42" formatCode="General">
                  <c:v>3.4</c:v>
                </c:pt>
                <c:pt idx="43" formatCode="General">
                  <c:v>3.2</c:v>
                </c:pt>
                <c:pt idx="44" formatCode="General">
                  <c:v>3</c:v>
                </c:pt>
                <c:pt idx="45" formatCode="General">
                  <c:v>3.8</c:v>
                </c:pt>
                <c:pt idx="46" formatCode="General">
                  <c:v>3.9</c:v>
                </c:pt>
                <c:pt idx="47" formatCode="General">
                  <c:v>2.2000000000000002</c:v>
                </c:pt>
                <c:pt idx="48" formatCode="General">
                  <c:v>1.9</c:v>
                </c:pt>
                <c:pt idx="49" formatCode="General">
                  <c:v>2.9</c:v>
                </c:pt>
                <c:pt idx="50" formatCode="General">
                  <c:v>3</c:v>
                </c:pt>
                <c:pt idx="51" formatCode="General">
                  <c:v>3.5</c:v>
                </c:pt>
                <c:pt idx="52" formatCode="General">
                  <c:v>2.9</c:v>
                </c:pt>
                <c:pt idx="53" formatCode="General">
                  <c:v>1.4</c:v>
                </c:pt>
                <c:pt idx="54" formatCode="General">
                  <c:v>0.9</c:v>
                </c:pt>
                <c:pt idx="55" formatCode="General">
                  <c:v>0.8</c:v>
                </c:pt>
                <c:pt idx="56" formatCode="General">
                  <c:v>0.7</c:v>
                </c:pt>
                <c:pt idx="57" formatCode="General">
                  <c:v>-0.4</c:v>
                </c:pt>
                <c:pt idx="58" formatCode="General">
                  <c:v>-0.7</c:v>
                </c:pt>
                <c:pt idx="59" formatCode="General">
                  <c:v>0.8</c:v>
                </c:pt>
                <c:pt idx="60" formatCode="General">
                  <c:v>1.2</c:v>
                </c:pt>
                <c:pt idx="61" formatCode="General">
                  <c:v>-0.1</c:v>
                </c:pt>
                <c:pt idx="62" formatCode="General">
                  <c:v>-1.2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11B-4419-B354-4FC92C69FFBD}"/>
            </c:ext>
          </c:extLst>
        </c:ser>
        <c:ser>
          <c:idx val="3"/>
          <c:order val="3"/>
          <c:tx>
            <c:strRef>
              <c:f>'[Makroanalýza grafy.xlsx]Ceny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'[Makroanalýza grafy.xlsx]Ceny 4'!$A$30:$B$92</c:f>
              <c:multiLvlStrCache>
                <c:ptCount val="6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'[Makroanalýza grafy.xlsx]Ceny 4'!$F$30:$F$92</c:f>
              <c:numCache>
                <c:formatCode>0.0</c:formatCode>
                <c:ptCount val="63"/>
                <c:pt idx="0">
                  <c:v>-0.79999999999999716</c:v>
                </c:pt>
                <c:pt idx="1">
                  <c:v>-0.79999999999999716</c:v>
                </c:pt>
                <c:pt idx="2">
                  <c:v>-0.79999999999999716</c:v>
                </c:pt>
                <c:pt idx="3">
                  <c:v>-0.70000000000000284</c:v>
                </c:pt>
                <c:pt idx="4">
                  <c:v>-0.70000000000000284</c:v>
                </c:pt>
                <c:pt idx="5">
                  <c:v>-0.70000000000000284</c:v>
                </c:pt>
                <c:pt idx="6">
                  <c:v>-0.70000000000000284</c:v>
                </c:pt>
                <c:pt idx="7">
                  <c:v>-0.79999999999999716</c:v>
                </c:pt>
                <c:pt idx="8">
                  <c:v>-0.79999999999999716</c:v>
                </c:pt>
                <c:pt idx="9">
                  <c:v>-0.90000000000000568</c:v>
                </c:pt>
                <c:pt idx="10">
                  <c:v>-0.90000000000000568</c:v>
                </c:pt>
                <c:pt idx="11">
                  <c:v>-0.90000000000000568</c:v>
                </c:pt>
                <c:pt idx="12">
                  <c:v>-4</c:v>
                </c:pt>
                <c:pt idx="13">
                  <c:v>-4.0999999999999943</c:v>
                </c:pt>
                <c:pt idx="14">
                  <c:v>-4.0999999999999943</c:v>
                </c:pt>
                <c:pt idx="15">
                  <c:v>-4</c:v>
                </c:pt>
                <c:pt idx="16">
                  <c:v>-4</c:v>
                </c:pt>
                <c:pt idx="17">
                  <c:v>-4.0999999999999943</c:v>
                </c:pt>
                <c:pt idx="18">
                  <c:v>-4</c:v>
                </c:pt>
                <c:pt idx="19">
                  <c:v>-4</c:v>
                </c:pt>
                <c:pt idx="20">
                  <c:v>-4.0999999999999943</c:v>
                </c:pt>
                <c:pt idx="21">
                  <c:v>-4.0999999999999943</c:v>
                </c:pt>
                <c:pt idx="22">
                  <c:v>-4.0999999999999943</c:v>
                </c:pt>
                <c:pt idx="23">
                  <c:v>-4.0999999999999943</c:v>
                </c:pt>
                <c:pt idx="24" formatCode="General">
                  <c:v>-1.0999999999999943</c:v>
                </c:pt>
                <c:pt idx="25" formatCode="General">
                  <c:v>-1.2000000000000028</c:v>
                </c:pt>
                <c:pt idx="26">
                  <c:v>-1.2000000000000028</c:v>
                </c:pt>
                <c:pt idx="27">
                  <c:v>-1.4000000000000057</c:v>
                </c:pt>
                <c:pt idx="28" formatCode="General">
                  <c:v>-1.2999999999999972</c:v>
                </c:pt>
                <c:pt idx="29" formatCode="General">
                  <c:v>-1.0999999999999943</c:v>
                </c:pt>
                <c:pt idx="30" formatCode="General">
                  <c:v>-1.1000000000000001</c:v>
                </c:pt>
                <c:pt idx="31" formatCode="General">
                  <c:v>-1.3</c:v>
                </c:pt>
                <c:pt idx="32" formatCode="General">
                  <c:v>-1.1000000000000001</c:v>
                </c:pt>
                <c:pt idx="33" formatCode="General">
                  <c:v>-1.1000000000000001</c:v>
                </c:pt>
                <c:pt idx="34" formatCode="General">
                  <c:v>-1.1000000000000001</c:v>
                </c:pt>
                <c:pt idx="35" formatCode="General">
                  <c:v>-1.1000000000000001</c:v>
                </c:pt>
                <c:pt idx="36" formatCode="General">
                  <c:v>1.5</c:v>
                </c:pt>
                <c:pt idx="37" formatCode="General">
                  <c:v>1.6</c:v>
                </c:pt>
                <c:pt idx="38" formatCode="General">
                  <c:v>1.6</c:v>
                </c:pt>
                <c:pt idx="39" formatCode="General">
                  <c:v>1.7</c:v>
                </c:pt>
                <c:pt idx="40" formatCode="General">
                  <c:v>1.7</c:v>
                </c:pt>
                <c:pt idx="41" formatCode="General">
                  <c:v>2.2999999999999998</c:v>
                </c:pt>
                <c:pt idx="42" formatCode="General">
                  <c:v>2.2999999999999998</c:v>
                </c:pt>
                <c:pt idx="43" formatCode="General">
                  <c:v>2.6</c:v>
                </c:pt>
                <c:pt idx="44" formatCode="General">
                  <c:v>2.7</c:v>
                </c:pt>
                <c:pt idx="45" formatCode="General">
                  <c:v>2.8</c:v>
                </c:pt>
                <c:pt idx="46" formatCode="General">
                  <c:v>2.8</c:v>
                </c:pt>
                <c:pt idx="47" formatCode="General">
                  <c:v>2.8</c:v>
                </c:pt>
                <c:pt idx="48" formatCode="General">
                  <c:v>7.2</c:v>
                </c:pt>
                <c:pt idx="49" formatCode="General">
                  <c:v>7.5</c:v>
                </c:pt>
                <c:pt idx="50" formatCode="General">
                  <c:v>8.4</c:v>
                </c:pt>
                <c:pt idx="51" formatCode="General">
                  <c:v>8.1999999999999993</c:v>
                </c:pt>
                <c:pt idx="52" formatCode="General">
                  <c:v>8.6</c:v>
                </c:pt>
                <c:pt idx="53" formatCode="General">
                  <c:v>7.9</c:v>
                </c:pt>
                <c:pt idx="54" formatCode="General">
                  <c:v>8</c:v>
                </c:pt>
                <c:pt idx="55" formatCode="General">
                  <c:v>7.7</c:v>
                </c:pt>
                <c:pt idx="56" formatCode="General">
                  <c:v>7.7</c:v>
                </c:pt>
                <c:pt idx="57" formatCode="General">
                  <c:v>7.5</c:v>
                </c:pt>
                <c:pt idx="58" formatCode="General">
                  <c:v>8.6999999999999993</c:v>
                </c:pt>
                <c:pt idx="59" formatCode="General">
                  <c:v>8.8000000000000007</c:v>
                </c:pt>
                <c:pt idx="60" formatCode="General">
                  <c:v>9.3000000000000007</c:v>
                </c:pt>
                <c:pt idx="61" formatCode="General">
                  <c:v>9</c:v>
                </c:pt>
                <c:pt idx="62" formatCode="General">
                  <c:v>8.3000000000000007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11B-4419-B354-4FC92C69FFBD}"/>
            </c:ext>
          </c:extLst>
        </c:ser>
        <c:ser>
          <c:idx val="4"/>
          <c:order val="4"/>
          <c:tx>
            <c:strRef>
              <c:f>'[Makroanalýza grafy.xlsx]Ceny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'[Makroanalýza grafy.xlsx]Ceny 4'!$A$30:$B$92</c:f>
              <c:multiLvlStrCache>
                <c:ptCount val="6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'[Makroanalýza grafy.xlsx]Ceny 4'!$G$30:$G$92</c:f>
              <c:numCache>
                <c:formatCode>General</c:formatCode>
                <c:ptCount val="63"/>
                <c:pt idx="0">
                  <c:v>3.4000000000000057</c:v>
                </c:pt>
                <c:pt idx="1">
                  <c:v>3.4000000000000057</c:v>
                </c:pt>
                <c:pt idx="2">
                  <c:v>3.4000000000000057</c:v>
                </c:pt>
                <c:pt idx="3">
                  <c:v>3.4000000000000057</c:v>
                </c:pt>
                <c:pt idx="4">
                  <c:v>3.4000000000000057</c:v>
                </c:pt>
                <c:pt idx="5">
                  <c:v>3.4000000000000057</c:v>
                </c:pt>
                <c:pt idx="6">
                  <c:v>3.4000000000000057</c:v>
                </c:pt>
                <c:pt idx="7">
                  <c:v>3.4000000000000057</c:v>
                </c:pt>
                <c:pt idx="8">
                  <c:v>3.4000000000000057</c:v>
                </c:pt>
                <c:pt idx="9">
                  <c:v>3.4000000000000057</c:v>
                </c:pt>
                <c:pt idx="10">
                  <c:v>3.4000000000000057</c:v>
                </c:pt>
                <c:pt idx="11">
                  <c:v>3.4000000000000057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1.5999999999999943</c:v>
                </c:pt>
                <c:pt idx="16">
                  <c:v>1.5999999999999943</c:v>
                </c:pt>
                <c:pt idx="17">
                  <c:v>1.5999999999999943</c:v>
                </c:pt>
                <c:pt idx="18">
                  <c:v>1.5999999999999943</c:v>
                </c:pt>
                <c:pt idx="19">
                  <c:v>1.5999999999999943</c:v>
                </c:pt>
                <c:pt idx="20">
                  <c:v>1.5999999999999943</c:v>
                </c:pt>
                <c:pt idx="21">
                  <c:v>1.5999999999999943</c:v>
                </c:pt>
                <c:pt idx="22">
                  <c:v>1.5999999999999943</c:v>
                </c:pt>
                <c:pt idx="23">
                  <c:v>1.5999999999999943</c:v>
                </c:pt>
                <c:pt idx="24">
                  <c:v>2.0999999999999943</c:v>
                </c:pt>
                <c:pt idx="25">
                  <c:v>2.0999999999999943</c:v>
                </c:pt>
                <c:pt idx="26" formatCode="0.0">
                  <c:v>2.0999999999999943</c:v>
                </c:pt>
                <c:pt idx="27" formatCode="0.0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1.9</c:v>
                </c:pt>
                <c:pt idx="37">
                  <c:v>1.9</c:v>
                </c:pt>
                <c:pt idx="38">
                  <c:v>1.9</c:v>
                </c:pt>
                <c:pt idx="39">
                  <c:v>1.9</c:v>
                </c:pt>
                <c:pt idx="40">
                  <c:v>1.9</c:v>
                </c:pt>
                <c:pt idx="41">
                  <c:v>1.9</c:v>
                </c:pt>
                <c:pt idx="42">
                  <c:v>1.9</c:v>
                </c:pt>
                <c:pt idx="43">
                  <c:v>1.9</c:v>
                </c:pt>
                <c:pt idx="44">
                  <c:v>1.9</c:v>
                </c:pt>
                <c:pt idx="45">
                  <c:v>1.9</c:v>
                </c:pt>
                <c:pt idx="46">
                  <c:v>1.9</c:v>
                </c:pt>
                <c:pt idx="47">
                  <c:v>1.9</c:v>
                </c:pt>
                <c:pt idx="48">
                  <c:v>2.9</c:v>
                </c:pt>
                <c:pt idx="49">
                  <c:v>2.9</c:v>
                </c:pt>
                <c:pt idx="50">
                  <c:v>2.9</c:v>
                </c:pt>
                <c:pt idx="51">
                  <c:v>2.9</c:v>
                </c:pt>
                <c:pt idx="52">
                  <c:v>2.9</c:v>
                </c:pt>
                <c:pt idx="53">
                  <c:v>2.9</c:v>
                </c:pt>
                <c:pt idx="54">
                  <c:v>2.9</c:v>
                </c:pt>
                <c:pt idx="55">
                  <c:v>2.9</c:v>
                </c:pt>
                <c:pt idx="56">
                  <c:v>2.9</c:v>
                </c:pt>
                <c:pt idx="57">
                  <c:v>2.9</c:v>
                </c:pt>
                <c:pt idx="58">
                  <c:v>2.9</c:v>
                </c:pt>
                <c:pt idx="59">
                  <c:v>2.9</c:v>
                </c:pt>
                <c:pt idx="60">
                  <c:v>5.4</c:v>
                </c:pt>
                <c:pt idx="61">
                  <c:v>5.4</c:v>
                </c:pt>
                <c:pt idx="62">
                  <c:v>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11B-4419-B354-4FC92C69F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374208"/>
        <c:axId val="271375744"/>
      </c:lineChart>
      <c:catAx>
        <c:axId val="27137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271375744"/>
        <c:crosses val="autoZero"/>
        <c:auto val="1"/>
        <c:lblAlgn val="ctr"/>
        <c:lblOffset val="100"/>
        <c:noMultiLvlLbl val="0"/>
      </c:catAx>
      <c:valAx>
        <c:axId val="271375744"/>
        <c:scaling>
          <c:orientation val="minMax"/>
          <c:max val="12"/>
          <c:min val="-1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1374208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1319022289766968E-2"/>
          <c:y val="0.86223931272106069"/>
          <c:w val="0.90901046943600139"/>
          <c:h val="0.12109402425765226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CE1E-E5D6-47CC-9026-D2F6ED6B0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FA143-B907-4DD5-B6A5-5294D30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1</TotalTime>
  <Pages>5</Pages>
  <Words>2016</Words>
  <Characters>11191</Characters>
  <Application>Microsoft Office Word</Application>
  <DocSecurity>0</DocSecurity>
  <Lines>189</Lines>
  <Paragraphs>58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13149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3</cp:revision>
  <cp:lastPrinted>2019-04-08T10:52:00Z</cp:lastPrinted>
  <dcterms:created xsi:type="dcterms:W3CDTF">2020-06-12T09:08:00Z</dcterms:created>
  <dcterms:modified xsi:type="dcterms:W3CDTF">2020-06-12T09:21:00Z</dcterms:modified>
</cp:coreProperties>
</file>