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769" w:rsidRPr="00CF2816" w:rsidRDefault="00451DCC" w:rsidP="00960769">
      <w:pPr>
        <w:pStyle w:val="Nadpis1"/>
        <w:numPr>
          <w:ilvl w:val="0"/>
          <w:numId w:val="3"/>
        </w:numPr>
        <w:jc w:val="both"/>
        <w:rPr>
          <w:lang w:val="en-GB"/>
        </w:rPr>
      </w:pPr>
      <w:bookmarkStart w:id="0" w:name="_Toc446341881"/>
      <w:r w:rsidRPr="00CF2816">
        <w:rPr>
          <w:lang w:val="en-GB"/>
        </w:rPr>
        <w:t>Overall Economic Performance</w:t>
      </w:r>
      <w:bookmarkEnd w:id="0"/>
    </w:p>
    <w:tbl>
      <w:tblPr>
        <w:tblW w:w="5000" w:type="pct"/>
        <w:tblLayout w:type="fixed"/>
        <w:tblLook w:val="00A0"/>
      </w:tblPr>
      <w:tblGrid>
        <w:gridCol w:w="2077"/>
        <w:gridCol w:w="282"/>
        <w:gridCol w:w="7495"/>
      </w:tblGrid>
      <w:tr w:rsidR="00960769" w:rsidRPr="00CF2816" w:rsidTr="00960769">
        <w:tc>
          <w:tcPr>
            <w:tcW w:w="1054" w:type="pct"/>
          </w:tcPr>
          <w:p w:rsidR="00960769" w:rsidRPr="00CF2816" w:rsidRDefault="00CF2816" w:rsidP="00CF2816">
            <w:pPr>
              <w:spacing w:line="240" w:lineRule="auto"/>
              <w:rPr>
                <w:sz w:val="16"/>
                <w:szCs w:val="16"/>
                <w:lang w:val="en-GB"/>
              </w:rPr>
            </w:pPr>
            <w:r>
              <w:rPr>
                <w:sz w:val="16"/>
                <w:szCs w:val="16"/>
                <w:lang w:val="en-GB"/>
              </w:rPr>
              <w:t xml:space="preserve">The growth of the economy was significantly supported by extraordinary influences in </w:t>
            </w:r>
            <w:r w:rsidR="00960769" w:rsidRPr="00CF2816">
              <w:rPr>
                <w:sz w:val="16"/>
                <w:szCs w:val="16"/>
                <w:lang w:val="en-GB"/>
              </w:rPr>
              <w:t>2015</w:t>
            </w:r>
            <w:r>
              <w:rPr>
                <w:sz w:val="16"/>
                <w:szCs w:val="16"/>
                <w:lang w:val="en-GB"/>
              </w:rPr>
              <w:t>. They however already weakened in the last quarter</w:t>
            </w:r>
            <w:r w:rsidR="00C123B4" w:rsidRPr="00CF2816">
              <w:rPr>
                <w:sz w:val="16"/>
                <w:szCs w:val="16"/>
                <w:lang w:val="en-GB"/>
              </w:rPr>
              <w:t>,</w:t>
            </w:r>
            <w:r w:rsidR="00960769" w:rsidRPr="00CF2816">
              <w:rPr>
                <w:sz w:val="16"/>
                <w:szCs w:val="16"/>
                <w:lang w:val="en-GB"/>
              </w:rPr>
              <w:t xml:space="preserve"> …</w:t>
            </w:r>
          </w:p>
        </w:tc>
        <w:tc>
          <w:tcPr>
            <w:tcW w:w="143" w:type="pct"/>
          </w:tcPr>
          <w:p w:rsidR="00960769" w:rsidRPr="00CF2816" w:rsidRDefault="00960769" w:rsidP="00960769">
            <w:pPr>
              <w:pStyle w:val="Textpoznpodarou"/>
              <w:jc w:val="both"/>
              <w:rPr>
                <w:lang w:val="en-GB"/>
              </w:rPr>
            </w:pPr>
          </w:p>
        </w:tc>
        <w:tc>
          <w:tcPr>
            <w:tcW w:w="3803" w:type="pct"/>
          </w:tcPr>
          <w:p w:rsidR="00960769" w:rsidRPr="00CF2816" w:rsidRDefault="00997EE9" w:rsidP="00960769">
            <w:pPr>
              <w:pStyle w:val="Textpoznpodarou"/>
              <w:jc w:val="both"/>
              <w:rPr>
                <w:spacing w:val="-2"/>
                <w:lang w:val="en-GB"/>
              </w:rPr>
            </w:pPr>
            <w:r>
              <w:rPr>
                <w:lang w:val="en-GB"/>
              </w:rPr>
              <w:t xml:space="preserve">The Czech economy </w:t>
            </w:r>
            <w:r w:rsidR="0082601B">
              <w:rPr>
                <w:lang w:val="en-GB"/>
              </w:rPr>
              <w:t>flourished</w:t>
            </w:r>
            <w:r>
              <w:rPr>
                <w:lang w:val="en-GB"/>
              </w:rPr>
              <w:t xml:space="preserve"> in 2015 and its performance rose the most in the last eight years, i.e. since the peak of the business cycle in </w:t>
            </w:r>
            <w:r w:rsidR="00960769" w:rsidRPr="00CF2816">
              <w:rPr>
                <w:lang w:val="en-GB"/>
              </w:rPr>
              <w:t>2007.</w:t>
            </w:r>
            <w:r w:rsidR="00960769" w:rsidRPr="00CF2816">
              <w:rPr>
                <w:rStyle w:val="Znakapoznpodarou"/>
                <w:lang w:val="en-GB"/>
              </w:rPr>
              <w:footnoteReference w:id="1"/>
            </w:r>
            <w:r w:rsidR="009867BC" w:rsidRPr="00CF2816">
              <w:rPr>
                <w:lang w:val="en-GB"/>
              </w:rPr>
              <w:t xml:space="preserve"> </w:t>
            </w:r>
            <w:r>
              <w:rPr>
                <w:lang w:val="en-GB"/>
              </w:rPr>
              <w:t xml:space="preserve">Gross </w:t>
            </w:r>
            <w:r w:rsidR="000B4192">
              <w:rPr>
                <w:lang w:val="en-GB"/>
              </w:rPr>
              <w:t xml:space="preserve">domestic product </w:t>
            </w:r>
            <w:r w:rsidR="00960769" w:rsidRPr="00CF2816">
              <w:rPr>
                <w:lang w:val="en-GB"/>
              </w:rPr>
              <w:t>(</w:t>
            </w:r>
            <w:r w:rsidR="000B4192">
              <w:rPr>
                <w:lang w:val="en-GB"/>
              </w:rPr>
              <w:t>GDP</w:t>
            </w:r>
            <w:r w:rsidR="00960769" w:rsidRPr="00CF2816">
              <w:rPr>
                <w:lang w:val="en-GB"/>
              </w:rPr>
              <w:t xml:space="preserve">) </w:t>
            </w:r>
            <w:r w:rsidR="000B4192">
              <w:rPr>
                <w:lang w:val="en-GB"/>
              </w:rPr>
              <w:t xml:space="preserve">increased by </w:t>
            </w:r>
            <w:r w:rsidR="00960769" w:rsidRPr="00CF2816">
              <w:rPr>
                <w:lang w:val="en-GB"/>
              </w:rPr>
              <w:t>4</w:t>
            </w:r>
            <w:r w:rsidR="000B4192">
              <w:rPr>
                <w:lang w:val="en-GB"/>
              </w:rPr>
              <w:t>.</w:t>
            </w:r>
            <w:r w:rsidR="009505E4">
              <w:rPr>
                <w:lang w:val="en-GB"/>
              </w:rPr>
              <w:t>3</w:t>
            </w:r>
            <w:r w:rsidR="00960769" w:rsidRPr="00CF2816">
              <w:rPr>
                <w:lang w:val="en-GB"/>
              </w:rPr>
              <w:t xml:space="preserve">%, </w:t>
            </w:r>
            <w:r w:rsidR="000B4192">
              <w:rPr>
                <w:lang w:val="en-GB"/>
              </w:rPr>
              <w:t xml:space="preserve">while its dynamics reached at least </w:t>
            </w:r>
            <w:r w:rsidR="00960769" w:rsidRPr="00CF2816">
              <w:rPr>
                <w:lang w:val="en-GB"/>
              </w:rPr>
              <w:t>4</w:t>
            </w:r>
            <w:r w:rsidR="009505E4">
              <w:rPr>
                <w:lang w:val="en-GB"/>
              </w:rPr>
              <w:t>%</w:t>
            </w:r>
            <w:r w:rsidR="000B4192">
              <w:rPr>
                <w:lang w:val="en-GB"/>
              </w:rPr>
              <w:t xml:space="preserve"> in each of the quarters. Gross value added grew by </w:t>
            </w:r>
            <w:r w:rsidR="00960769" w:rsidRPr="00CF2816">
              <w:rPr>
                <w:lang w:val="en-GB"/>
              </w:rPr>
              <w:t>3</w:t>
            </w:r>
            <w:r w:rsidR="000B4192">
              <w:rPr>
                <w:lang w:val="en-GB"/>
              </w:rPr>
              <w:t>.</w:t>
            </w:r>
            <w:r w:rsidR="009505E4">
              <w:rPr>
                <w:lang w:val="en-GB"/>
              </w:rPr>
              <w:t>8</w:t>
            </w:r>
            <w:r w:rsidR="00960769" w:rsidRPr="00CF2816">
              <w:rPr>
                <w:lang w:val="en-GB"/>
              </w:rPr>
              <w:t xml:space="preserve">%. </w:t>
            </w:r>
            <w:r w:rsidR="000B4192">
              <w:rPr>
                <w:lang w:val="en-GB"/>
              </w:rPr>
              <w:t>Especially the domestic demand shared the most in the economic growth on the expenditure side, mostly the manufacturing and private and public services then had a favourable effect on the supply side</w:t>
            </w:r>
            <w:r w:rsidR="00960769" w:rsidRPr="00CF2816">
              <w:rPr>
                <w:lang w:val="en-GB"/>
              </w:rPr>
              <w:t xml:space="preserve">. </w:t>
            </w:r>
            <w:r w:rsidR="0082601B">
              <w:rPr>
                <w:lang w:val="en-GB"/>
              </w:rPr>
              <w:t>T</w:t>
            </w:r>
            <w:r w:rsidR="00031A35">
              <w:rPr>
                <w:lang w:val="en-GB"/>
              </w:rPr>
              <w:t xml:space="preserve">he economy grew in the year-on-year comparison already nine quarters in a row, its dynamics was supported by extraordinary influences in </w:t>
            </w:r>
            <w:r w:rsidR="00960769" w:rsidRPr="00CF2816">
              <w:rPr>
                <w:lang w:val="en-GB"/>
              </w:rPr>
              <w:t xml:space="preserve">2015. </w:t>
            </w:r>
            <w:r w:rsidR="00EB0562">
              <w:rPr>
                <w:lang w:val="en-GB"/>
              </w:rPr>
              <w:t>It was the slump of the oil price on the world market, which lowered the cost of inputs for companies and expenditure</w:t>
            </w:r>
            <w:r w:rsidR="0082601B">
              <w:rPr>
                <w:lang w:val="en-GB"/>
              </w:rPr>
              <w:t>s</w:t>
            </w:r>
            <w:r w:rsidR="00EB0562">
              <w:rPr>
                <w:lang w:val="en-GB"/>
              </w:rPr>
              <w:t xml:space="preserve"> on purchases of fuels for households, and also the completion of drawing of finances from the EU funds at the end of </w:t>
            </w:r>
            <w:r w:rsidR="0082601B">
              <w:rPr>
                <w:lang w:val="en-GB"/>
              </w:rPr>
              <w:t xml:space="preserve">the </w:t>
            </w:r>
            <w:r w:rsidR="00EB0562">
              <w:rPr>
                <w:lang w:val="en-GB"/>
              </w:rPr>
              <w:t xml:space="preserve">programme period </w:t>
            </w:r>
            <w:r w:rsidR="00960769" w:rsidRPr="00CF2816">
              <w:rPr>
                <w:lang w:val="en-GB"/>
              </w:rPr>
              <w:t>2007–2013</w:t>
            </w:r>
            <w:r w:rsidR="00967AD2" w:rsidRPr="00CF2816">
              <w:rPr>
                <w:lang w:val="en-GB"/>
              </w:rPr>
              <w:t>.</w:t>
            </w:r>
          </w:p>
          <w:p w:rsidR="00960769" w:rsidRPr="00CF2816" w:rsidRDefault="00960769" w:rsidP="00960769">
            <w:pPr>
              <w:pStyle w:val="Textpoznpodarou"/>
              <w:jc w:val="both"/>
              <w:rPr>
                <w:spacing w:val="-2"/>
                <w:lang w:val="en-GB"/>
              </w:rPr>
            </w:pPr>
          </w:p>
        </w:tc>
      </w:tr>
      <w:tr w:rsidR="00960769" w:rsidRPr="002A7D6D" w:rsidTr="00960769">
        <w:tc>
          <w:tcPr>
            <w:tcW w:w="1054" w:type="pct"/>
          </w:tcPr>
          <w:p w:rsidR="00960769" w:rsidRPr="00110513" w:rsidRDefault="00960769" w:rsidP="006F3458">
            <w:pPr>
              <w:spacing w:line="240" w:lineRule="auto"/>
              <w:rPr>
                <w:sz w:val="16"/>
                <w:szCs w:val="16"/>
              </w:rPr>
            </w:pPr>
            <w:r w:rsidRPr="00110513">
              <w:rPr>
                <w:sz w:val="16"/>
                <w:szCs w:val="16"/>
              </w:rPr>
              <w:t>…</w:t>
            </w:r>
            <w:r w:rsidR="00971DC6">
              <w:rPr>
                <w:sz w:val="16"/>
                <w:szCs w:val="16"/>
              </w:rPr>
              <w:t xml:space="preserve"> </w:t>
            </w:r>
            <w:r w:rsidR="006F3458" w:rsidRPr="006F3458">
              <w:rPr>
                <w:sz w:val="16"/>
                <w:szCs w:val="16"/>
                <w:lang w:val="en-GB"/>
              </w:rPr>
              <w:t xml:space="preserve">GDP stagnated in quarter-on-quarter comparison and gross value added increased only by </w:t>
            </w:r>
            <w:r w:rsidRPr="006F3458">
              <w:rPr>
                <w:sz w:val="16"/>
                <w:szCs w:val="16"/>
                <w:lang w:val="en-GB"/>
              </w:rPr>
              <w:t>0</w:t>
            </w:r>
            <w:r w:rsidR="006F3458" w:rsidRPr="006F3458">
              <w:rPr>
                <w:sz w:val="16"/>
                <w:szCs w:val="16"/>
                <w:lang w:val="en-GB"/>
              </w:rPr>
              <w:t>.</w:t>
            </w:r>
            <w:r w:rsidR="009505E4">
              <w:rPr>
                <w:sz w:val="16"/>
                <w:szCs w:val="16"/>
                <w:lang w:val="en-GB"/>
              </w:rPr>
              <w:t>5</w:t>
            </w:r>
            <w:r w:rsidRPr="006F3458">
              <w:rPr>
                <w:sz w:val="16"/>
                <w:szCs w:val="16"/>
                <w:lang w:val="en-GB"/>
              </w:rPr>
              <w:t xml:space="preserve">%, </w:t>
            </w:r>
            <w:r w:rsidR="006F3458">
              <w:rPr>
                <w:sz w:val="16"/>
                <w:szCs w:val="16"/>
                <w:lang w:val="en-GB"/>
              </w:rPr>
              <w:t xml:space="preserve">the slowest since Q4 </w:t>
            </w:r>
            <w:r w:rsidRPr="006F3458">
              <w:rPr>
                <w:sz w:val="16"/>
                <w:szCs w:val="16"/>
                <w:lang w:val="en-GB"/>
              </w:rPr>
              <w:t>2013</w:t>
            </w:r>
          </w:p>
        </w:tc>
        <w:tc>
          <w:tcPr>
            <w:tcW w:w="143" w:type="pct"/>
          </w:tcPr>
          <w:p w:rsidR="00960769" w:rsidRPr="00110513" w:rsidRDefault="00960769" w:rsidP="00960769">
            <w:pPr>
              <w:pStyle w:val="Textpoznpodarou"/>
              <w:jc w:val="both"/>
            </w:pPr>
          </w:p>
        </w:tc>
        <w:tc>
          <w:tcPr>
            <w:tcW w:w="3803" w:type="pct"/>
          </w:tcPr>
          <w:p w:rsidR="00960769" w:rsidRPr="006F3458" w:rsidRDefault="006F3458" w:rsidP="00960769">
            <w:pPr>
              <w:pStyle w:val="Textpoznpodarou"/>
              <w:jc w:val="both"/>
              <w:rPr>
                <w:lang w:val="en-GB"/>
              </w:rPr>
            </w:pPr>
            <w:r w:rsidRPr="006F3458">
              <w:rPr>
                <w:lang w:val="en-GB"/>
              </w:rPr>
              <w:t xml:space="preserve">The GDP expanded gradually by </w:t>
            </w:r>
            <w:r w:rsidR="00960769" w:rsidRPr="006F3458">
              <w:rPr>
                <w:lang w:val="en-GB"/>
              </w:rPr>
              <w:t>2</w:t>
            </w:r>
            <w:r w:rsidRPr="006F3458">
              <w:rPr>
                <w:lang w:val="en-GB"/>
              </w:rPr>
              <w:t>.</w:t>
            </w:r>
            <w:r w:rsidR="009505E4">
              <w:rPr>
                <w:lang w:val="en-GB"/>
              </w:rPr>
              <w:t>4%, 1</w:t>
            </w:r>
            <w:r w:rsidR="00960769" w:rsidRPr="006F3458">
              <w:rPr>
                <w:lang w:val="en-GB"/>
              </w:rPr>
              <w:t>% a</w:t>
            </w:r>
            <w:r w:rsidRPr="006F3458">
              <w:rPr>
                <w:lang w:val="en-GB"/>
              </w:rPr>
              <w:t>nd</w:t>
            </w:r>
            <w:r w:rsidR="00960769" w:rsidRPr="006F3458">
              <w:rPr>
                <w:lang w:val="en-GB"/>
              </w:rPr>
              <w:t xml:space="preserve"> 0</w:t>
            </w:r>
            <w:r w:rsidRPr="006F3458">
              <w:rPr>
                <w:lang w:val="en-GB"/>
              </w:rPr>
              <w:t>.</w:t>
            </w:r>
            <w:r w:rsidR="009505E4">
              <w:rPr>
                <w:lang w:val="en-GB"/>
              </w:rPr>
              <w:t>7</w:t>
            </w:r>
            <w:r w:rsidR="00960769" w:rsidRPr="006F3458">
              <w:rPr>
                <w:lang w:val="en-GB"/>
              </w:rPr>
              <w:t xml:space="preserve">% </w:t>
            </w:r>
            <w:r w:rsidRPr="006F3458">
              <w:rPr>
                <w:lang w:val="en-GB"/>
              </w:rPr>
              <w:t>in the first three quarters of the last year in quarter-on-quarter comparison and the economy was thus slowing down. It even went into stagnation in the last quarter, since the GDP did not change compared to Q3</w:t>
            </w:r>
            <w:r w:rsidR="00960769" w:rsidRPr="006F3458">
              <w:rPr>
                <w:lang w:val="en-GB"/>
              </w:rPr>
              <w:t xml:space="preserve">. </w:t>
            </w:r>
            <w:r w:rsidRPr="006F3458">
              <w:rPr>
                <w:lang w:val="en-GB"/>
              </w:rPr>
              <w:t>Even though this development was partially caused by the seasonal adjustment</w:t>
            </w:r>
            <w:r w:rsidR="00960769" w:rsidRPr="006F3458">
              <w:rPr>
                <w:lang w:val="en-GB"/>
              </w:rPr>
              <w:t>,</w:t>
            </w:r>
            <w:r w:rsidR="00960769" w:rsidRPr="006F3458">
              <w:rPr>
                <w:rStyle w:val="Znakapoznpodarou"/>
                <w:lang w:val="en-GB"/>
              </w:rPr>
              <w:footnoteReference w:id="2"/>
            </w:r>
            <w:r w:rsidR="00960769" w:rsidRPr="006F3458">
              <w:rPr>
                <w:lang w:val="en-GB"/>
              </w:rPr>
              <w:t xml:space="preserve"> </w:t>
            </w:r>
            <w:r w:rsidRPr="006F3458">
              <w:rPr>
                <w:lang w:val="en-GB"/>
              </w:rPr>
              <w:t>it was still apparent, that the economy started to decrease its pace. The development of the gross value added also confirmed this conclusion. Its quarter-on-quarter additions were stable in Q1 till Q</w:t>
            </w:r>
            <w:r w:rsidR="00960769" w:rsidRPr="006F3458">
              <w:rPr>
                <w:lang w:val="en-GB"/>
              </w:rPr>
              <w:t>3</w:t>
            </w:r>
            <w:r w:rsidRPr="006F3458">
              <w:rPr>
                <w:lang w:val="en-GB"/>
              </w:rPr>
              <w:t xml:space="preserve">, with a range of </w:t>
            </w:r>
            <w:r w:rsidR="009505E4">
              <w:rPr>
                <w:lang w:val="en-GB"/>
              </w:rPr>
              <w:t>+1</w:t>
            </w:r>
            <w:r w:rsidR="00960769" w:rsidRPr="006F3458">
              <w:rPr>
                <w:lang w:val="en-GB"/>
              </w:rPr>
              <w:t xml:space="preserve">% </w:t>
            </w:r>
            <w:r w:rsidRPr="006F3458">
              <w:rPr>
                <w:lang w:val="en-GB"/>
              </w:rPr>
              <w:t xml:space="preserve">to </w:t>
            </w:r>
            <w:r w:rsidR="00960769" w:rsidRPr="006F3458">
              <w:rPr>
                <w:spacing w:val="-2"/>
                <w:lang w:val="en-GB"/>
              </w:rPr>
              <w:t>+1</w:t>
            </w:r>
            <w:r w:rsidRPr="006F3458">
              <w:rPr>
                <w:spacing w:val="-2"/>
                <w:lang w:val="en-GB"/>
              </w:rPr>
              <w:t>.</w:t>
            </w:r>
            <w:r w:rsidR="009505E4">
              <w:rPr>
                <w:spacing w:val="-2"/>
                <w:lang w:val="en-GB"/>
              </w:rPr>
              <w:t>2</w:t>
            </w:r>
            <w:r w:rsidR="00960769" w:rsidRPr="006F3458">
              <w:rPr>
                <w:spacing w:val="-2"/>
                <w:lang w:val="en-GB"/>
              </w:rPr>
              <w:t xml:space="preserve">%. </w:t>
            </w:r>
            <w:r w:rsidRPr="006F3458">
              <w:rPr>
                <w:spacing w:val="-2"/>
                <w:lang w:val="en-GB"/>
              </w:rPr>
              <w:t xml:space="preserve">The gross value added nevertheless increased only by </w:t>
            </w:r>
            <w:r w:rsidR="00960769" w:rsidRPr="006F3458">
              <w:rPr>
                <w:spacing w:val="-2"/>
                <w:lang w:val="en-GB"/>
              </w:rPr>
              <w:t>0</w:t>
            </w:r>
            <w:r w:rsidRPr="006F3458">
              <w:rPr>
                <w:spacing w:val="-2"/>
                <w:lang w:val="en-GB"/>
              </w:rPr>
              <w:t>.</w:t>
            </w:r>
            <w:r w:rsidR="00960769" w:rsidRPr="006F3458">
              <w:rPr>
                <w:spacing w:val="-2"/>
                <w:lang w:val="en-GB"/>
              </w:rPr>
              <w:t>5</w:t>
            </w:r>
            <w:r w:rsidR="00960769" w:rsidRPr="006F3458">
              <w:rPr>
                <w:lang w:val="en-GB"/>
              </w:rPr>
              <w:t>%</w:t>
            </w:r>
            <w:r w:rsidR="0082601B">
              <w:rPr>
                <w:lang w:val="en-GB"/>
              </w:rPr>
              <w:t xml:space="preserve"> in the last quarter</w:t>
            </w:r>
            <w:r w:rsidR="00960769" w:rsidRPr="006F3458">
              <w:rPr>
                <w:lang w:val="en-GB"/>
              </w:rPr>
              <w:t>,</w:t>
            </w:r>
            <w:r>
              <w:rPr>
                <w:lang w:val="en-GB"/>
              </w:rPr>
              <w:t xml:space="preserve"> the least since</w:t>
            </w:r>
            <w:r w:rsidR="00E30A1A">
              <w:rPr>
                <w:lang w:val="en-GB"/>
              </w:rPr>
              <w:t xml:space="preserve"> the end of</w:t>
            </w:r>
            <w:r>
              <w:rPr>
                <w:lang w:val="en-GB"/>
              </w:rPr>
              <w:t xml:space="preserve"> </w:t>
            </w:r>
            <w:r w:rsidR="00960769" w:rsidRPr="006F3458">
              <w:rPr>
                <w:lang w:val="en-GB"/>
              </w:rPr>
              <w:t>2013.</w:t>
            </w:r>
          </w:p>
          <w:p w:rsidR="00960769" w:rsidRPr="00967AD2" w:rsidRDefault="00960769" w:rsidP="00960769">
            <w:pPr>
              <w:pStyle w:val="Textpoznpodarou"/>
              <w:jc w:val="both"/>
            </w:pPr>
          </w:p>
        </w:tc>
      </w:tr>
      <w:tr w:rsidR="00960769" w:rsidRPr="002A7D6D" w:rsidTr="00960769">
        <w:tc>
          <w:tcPr>
            <w:tcW w:w="1054" w:type="pct"/>
          </w:tcPr>
          <w:p w:rsidR="00960769" w:rsidRPr="004549B0" w:rsidRDefault="004549B0" w:rsidP="004549B0">
            <w:pPr>
              <w:spacing w:line="240" w:lineRule="auto"/>
              <w:rPr>
                <w:sz w:val="16"/>
                <w:szCs w:val="16"/>
                <w:lang w:val="en-GB"/>
              </w:rPr>
            </w:pPr>
            <w:r w:rsidRPr="004549B0">
              <w:rPr>
                <w:sz w:val="16"/>
                <w:szCs w:val="16"/>
                <w:lang w:val="en-GB"/>
              </w:rPr>
              <w:t>All V4 countries prospered in the last year, the CR fared the best</w:t>
            </w:r>
          </w:p>
        </w:tc>
        <w:tc>
          <w:tcPr>
            <w:tcW w:w="143" w:type="pct"/>
          </w:tcPr>
          <w:p w:rsidR="00960769" w:rsidRPr="004549B0" w:rsidRDefault="00960769" w:rsidP="00960769">
            <w:pPr>
              <w:pStyle w:val="Textpoznpodarou"/>
              <w:jc w:val="both"/>
              <w:rPr>
                <w:lang w:val="en-GB"/>
              </w:rPr>
            </w:pPr>
          </w:p>
        </w:tc>
        <w:tc>
          <w:tcPr>
            <w:tcW w:w="3803" w:type="pct"/>
          </w:tcPr>
          <w:p w:rsidR="00960769" w:rsidRPr="004549B0" w:rsidRDefault="004549B0" w:rsidP="00960769">
            <w:pPr>
              <w:pStyle w:val="Textpoznpodarou"/>
              <w:jc w:val="both"/>
              <w:rPr>
                <w:lang w:val="en-GB"/>
              </w:rPr>
            </w:pPr>
            <w:r w:rsidRPr="004549B0">
              <w:rPr>
                <w:spacing w:val="-4"/>
                <w:lang w:val="en-GB"/>
              </w:rPr>
              <w:t xml:space="preserve">The Czech Republic was among the fastest growing countries in the EU in the last year. Only Malta achieved a higher addition </w:t>
            </w:r>
            <w:r w:rsidR="00960769" w:rsidRPr="004549B0">
              <w:rPr>
                <w:lang w:val="en-GB"/>
              </w:rPr>
              <w:t>(+6</w:t>
            </w:r>
            <w:r w:rsidRPr="004549B0">
              <w:rPr>
                <w:lang w:val="en-GB"/>
              </w:rPr>
              <w:t>.</w:t>
            </w:r>
            <w:r w:rsidR="009505E4">
              <w:rPr>
                <w:lang w:val="en-GB"/>
              </w:rPr>
              <w:t>3</w:t>
            </w:r>
            <w:r w:rsidR="00960769" w:rsidRPr="004549B0">
              <w:rPr>
                <w:lang w:val="en-GB"/>
              </w:rPr>
              <w:t>%)</w:t>
            </w:r>
            <w:r w:rsidRPr="004549B0">
              <w:rPr>
                <w:lang w:val="en-GB"/>
              </w:rPr>
              <w:t xml:space="preserve"> based on the available data</w:t>
            </w:r>
            <w:r w:rsidR="00960769" w:rsidRPr="004549B0">
              <w:rPr>
                <w:lang w:val="en-GB"/>
              </w:rPr>
              <w:t>.</w:t>
            </w:r>
            <w:r w:rsidR="00CF75EC" w:rsidRPr="004549B0">
              <w:rPr>
                <w:rStyle w:val="Znakapoznpodarou"/>
                <w:lang w:val="en-GB"/>
              </w:rPr>
              <w:footnoteReference w:id="3"/>
            </w:r>
            <w:r w:rsidR="00960769" w:rsidRPr="004549B0">
              <w:rPr>
                <w:lang w:val="en-GB"/>
              </w:rPr>
              <w:t xml:space="preserve"> </w:t>
            </w:r>
            <w:r w:rsidRPr="004549B0">
              <w:rPr>
                <w:lang w:val="en-GB"/>
              </w:rPr>
              <w:t xml:space="preserve">Year 2015 was successful also for the other countries of the Visegrad group. Poland increased together with Slovakia by </w:t>
            </w:r>
            <w:r w:rsidR="00960769" w:rsidRPr="004549B0">
              <w:rPr>
                <w:lang w:val="en-GB"/>
              </w:rPr>
              <w:t>3</w:t>
            </w:r>
            <w:r w:rsidRPr="004549B0">
              <w:rPr>
                <w:lang w:val="en-GB"/>
              </w:rPr>
              <w:t>.</w:t>
            </w:r>
            <w:r w:rsidR="009505E4">
              <w:rPr>
                <w:lang w:val="en-GB"/>
              </w:rPr>
              <w:t>6</w:t>
            </w:r>
            <w:r w:rsidR="00960769" w:rsidRPr="004549B0">
              <w:rPr>
                <w:lang w:val="en-GB"/>
              </w:rPr>
              <w:t xml:space="preserve">%, </w:t>
            </w:r>
            <w:r w:rsidRPr="004549B0">
              <w:rPr>
                <w:lang w:val="en-GB"/>
              </w:rPr>
              <w:t xml:space="preserve">Hungary by </w:t>
            </w:r>
            <w:r w:rsidR="00960769" w:rsidRPr="004549B0">
              <w:rPr>
                <w:spacing w:val="-2"/>
                <w:lang w:val="en-GB"/>
              </w:rPr>
              <w:t>2</w:t>
            </w:r>
            <w:r w:rsidRPr="004549B0">
              <w:rPr>
                <w:spacing w:val="-2"/>
                <w:lang w:val="en-GB"/>
              </w:rPr>
              <w:t>.</w:t>
            </w:r>
            <w:r w:rsidR="009505E4">
              <w:rPr>
                <w:spacing w:val="-2"/>
                <w:lang w:val="en-GB"/>
              </w:rPr>
              <w:t>9</w:t>
            </w:r>
            <w:r w:rsidR="00960769" w:rsidRPr="004549B0">
              <w:rPr>
                <w:spacing w:val="-2"/>
                <w:lang w:val="en-GB"/>
              </w:rPr>
              <w:t xml:space="preserve">%. </w:t>
            </w:r>
            <w:r w:rsidRPr="004549B0">
              <w:rPr>
                <w:spacing w:val="-2"/>
                <w:lang w:val="en-GB"/>
              </w:rPr>
              <w:t xml:space="preserve">The lowering number of countries registering a GDP fall was a positive occurrence in a wider context. </w:t>
            </w:r>
            <w:r>
              <w:rPr>
                <w:spacing w:val="-2"/>
                <w:lang w:val="en-GB"/>
              </w:rPr>
              <w:t xml:space="preserve">There were eleven of these countries in </w:t>
            </w:r>
            <w:r w:rsidR="00960769" w:rsidRPr="004549B0">
              <w:rPr>
                <w:lang w:val="en-GB"/>
              </w:rPr>
              <w:t>2013</w:t>
            </w:r>
            <w:r>
              <w:rPr>
                <w:lang w:val="en-GB"/>
              </w:rPr>
              <w:t xml:space="preserve">, four in 2014 and only one </w:t>
            </w:r>
            <w:r w:rsidR="00960769" w:rsidRPr="004549B0">
              <w:rPr>
                <w:lang w:val="en-GB"/>
              </w:rPr>
              <w:t>(</w:t>
            </w:r>
            <w:r>
              <w:rPr>
                <w:lang w:val="en-GB"/>
              </w:rPr>
              <w:t>Greece</w:t>
            </w:r>
            <w:r w:rsidR="00960769" w:rsidRPr="004549B0">
              <w:rPr>
                <w:lang w:val="en-GB"/>
              </w:rPr>
              <w:t>, -0</w:t>
            </w:r>
            <w:r>
              <w:rPr>
                <w:lang w:val="en-GB"/>
              </w:rPr>
              <w:t>.</w:t>
            </w:r>
            <w:r w:rsidR="009505E4">
              <w:rPr>
                <w:lang w:val="en-GB"/>
              </w:rPr>
              <w:t>3</w:t>
            </w:r>
            <w:r w:rsidR="00960769" w:rsidRPr="004549B0">
              <w:rPr>
                <w:lang w:val="en-GB"/>
              </w:rPr>
              <w:t>%)</w:t>
            </w:r>
            <w:r>
              <w:rPr>
                <w:lang w:val="en-GB"/>
              </w:rPr>
              <w:t xml:space="preserve"> in the last year</w:t>
            </w:r>
            <w:r w:rsidR="00960769" w:rsidRPr="004549B0">
              <w:rPr>
                <w:lang w:val="en-GB"/>
              </w:rPr>
              <w:t>.</w:t>
            </w:r>
          </w:p>
          <w:p w:rsidR="00960769" w:rsidRPr="004549B0" w:rsidRDefault="00960769" w:rsidP="00960769">
            <w:pPr>
              <w:pStyle w:val="Textpoznpodarou"/>
              <w:jc w:val="both"/>
              <w:rPr>
                <w:lang w:val="en-GB"/>
              </w:rPr>
            </w:pPr>
          </w:p>
        </w:tc>
      </w:tr>
      <w:tr w:rsidR="00960769" w:rsidRPr="002A7D6D" w:rsidTr="00960769">
        <w:tc>
          <w:tcPr>
            <w:tcW w:w="1054" w:type="pct"/>
          </w:tcPr>
          <w:p w:rsidR="00960769" w:rsidRPr="003D65A7" w:rsidRDefault="003D65A7" w:rsidP="00A118A2">
            <w:pPr>
              <w:spacing w:line="240" w:lineRule="auto"/>
              <w:rPr>
                <w:sz w:val="16"/>
                <w:szCs w:val="16"/>
                <w:lang w:val="en-GB"/>
              </w:rPr>
            </w:pPr>
            <w:r w:rsidRPr="003D65A7">
              <w:rPr>
                <w:sz w:val="16"/>
                <w:szCs w:val="16"/>
                <w:lang w:val="en-GB"/>
              </w:rPr>
              <w:t>Addition to GDP more than doub</w:t>
            </w:r>
            <w:r w:rsidR="00A118A2">
              <w:rPr>
                <w:sz w:val="16"/>
                <w:szCs w:val="16"/>
                <w:lang w:val="en-GB"/>
              </w:rPr>
              <w:t xml:space="preserve">le in the CR compared to the EU and </w:t>
            </w:r>
            <w:r w:rsidRPr="003D65A7">
              <w:rPr>
                <w:sz w:val="16"/>
                <w:szCs w:val="16"/>
                <w:lang w:val="en-GB"/>
              </w:rPr>
              <w:t>nearly triple compared to the euro area</w:t>
            </w:r>
          </w:p>
        </w:tc>
        <w:tc>
          <w:tcPr>
            <w:tcW w:w="143" w:type="pct"/>
          </w:tcPr>
          <w:p w:rsidR="00960769" w:rsidRPr="00BC6D27" w:rsidRDefault="00960769" w:rsidP="00960769">
            <w:pPr>
              <w:pStyle w:val="Textpoznpodarou"/>
              <w:jc w:val="both"/>
            </w:pPr>
          </w:p>
        </w:tc>
        <w:tc>
          <w:tcPr>
            <w:tcW w:w="3803" w:type="pct"/>
          </w:tcPr>
          <w:p w:rsidR="00960769" w:rsidRPr="00B50F9A" w:rsidRDefault="003D65A7" w:rsidP="00960769">
            <w:pPr>
              <w:pStyle w:val="Textpoznpodarou"/>
              <w:jc w:val="both"/>
              <w:rPr>
                <w:lang w:val="en-GB"/>
              </w:rPr>
            </w:pPr>
            <w:r w:rsidRPr="00B50F9A">
              <w:rPr>
                <w:spacing w:val="-2"/>
                <w:lang w:val="en-GB"/>
              </w:rPr>
              <w:t xml:space="preserve">The GDP increased more than twice as fast in the CR compared to the EU </w:t>
            </w:r>
            <w:r w:rsidR="00960769" w:rsidRPr="00B50F9A">
              <w:rPr>
                <w:spacing w:val="-2"/>
                <w:lang w:val="en-GB"/>
              </w:rPr>
              <w:t>(+1</w:t>
            </w:r>
            <w:r w:rsidRPr="00B50F9A">
              <w:rPr>
                <w:spacing w:val="-2"/>
                <w:lang w:val="en-GB"/>
              </w:rPr>
              <w:t>.</w:t>
            </w:r>
            <w:r w:rsidR="009505E4">
              <w:rPr>
                <w:spacing w:val="-2"/>
                <w:lang w:val="en-GB"/>
              </w:rPr>
              <w:t>8</w:t>
            </w:r>
            <w:r w:rsidR="00960769" w:rsidRPr="00B50F9A">
              <w:rPr>
                <w:spacing w:val="-2"/>
                <w:lang w:val="en-GB"/>
              </w:rPr>
              <w:t>%)</w:t>
            </w:r>
            <w:r w:rsidR="00A118A2">
              <w:rPr>
                <w:spacing w:val="-2"/>
                <w:lang w:val="en-GB"/>
              </w:rPr>
              <w:t xml:space="preserve"> in 2015.</w:t>
            </w:r>
            <w:r w:rsidRPr="00B50F9A">
              <w:rPr>
                <w:spacing w:val="-2"/>
                <w:lang w:val="en-GB"/>
              </w:rPr>
              <w:t xml:space="preserve"> </w:t>
            </w:r>
            <w:r w:rsidR="00A118A2">
              <w:rPr>
                <w:lang w:val="en-GB"/>
              </w:rPr>
              <w:t>C</w:t>
            </w:r>
            <w:r w:rsidR="00A118A2" w:rsidRPr="00B50F9A">
              <w:rPr>
                <w:lang w:val="en-GB"/>
              </w:rPr>
              <w:t>ompared to the euro area</w:t>
            </w:r>
            <w:r w:rsidR="00A118A2">
              <w:rPr>
                <w:lang w:val="en-GB"/>
              </w:rPr>
              <w:t xml:space="preserve"> </w:t>
            </w:r>
            <w:r w:rsidR="00A118A2" w:rsidRPr="00B50F9A">
              <w:rPr>
                <w:lang w:val="en-GB"/>
              </w:rPr>
              <w:t>(+1.</w:t>
            </w:r>
            <w:r w:rsidR="00A118A2">
              <w:rPr>
                <w:lang w:val="en-GB"/>
              </w:rPr>
              <w:t>5</w:t>
            </w:r>
            <w:r w:rsidR="00A118A2" w:rsidRPr="00B50F9A">
              <w:rPr>
                <w:lang w:val="en-GB"/>
              </w:rPr>
              <w:t>%)</w:t>
            </w:r>
            <w:r w:rsidR="00A118A2">
              <w:rPr>
                <w:lang w:val="en-GB"/>
              </w:rPr>
              <w:t>,</w:t>
            </w:r>
            <w:r w:rsidR="00A118A2" w:rsidRPr="00B50F9A">
              <w:rPr>
                <w:spacing w:val="-2"/>
                <w:lang w:val="en-GB"/>
              </w:rPr>
              <w:t xml:space="preserve"> </w:t>
            </w:r>
            <w:r w:rsidRPr="00B50F9A">
              <w:rPr>
                <w:spacing w:val="-2"/>
                <w:lang w:val="en-GB"/>
              </w:rPr>
              <w:t>the domestic growth was nearly triple</w:t>
            </w:r>
            <w:r w:rsidRPr="00B50F9A">
              <w:rPr>
                <w:lang w:val="en-GB"/>
              </w:rPr>
              <w:t xml:space="preserve">. The situation from year </w:t>
            </w:r>
            <w:r w:rsidR="00960769" w:rsidRPr="00B50F9A">
              <w:rPr>
                <w:lang w:val="en-GB"/>
              </w:rPr>
              <w:t>2014</w:t>
            </w:r>
            <w:r w:rsidRPr="00B50F9A">
              <w:rPr>
                <w:lang w:val="en-GB"/>
              </w:rPr>
              <w:t xml:space="preserve"> was repeated</w:t>
            </w:r>
            <w:r w:rsidR="00960769" w:rsidRPr="00B50F9A">
              <w:rPr>
                <w:lang w:val="en-GB"/>
              </w:rPr>
              <w:t xml:space="preserve">, </w:t>
            </w:r>
            <w:r w:rsidRPr="00B50F9A">
              <w:rPr>
                <w:lang w:val="en-GB"/>
              </w:rPr>
              <w:t xml:space="preserve">nevertheless the difference between the rates of growth in the CR compared to the EU and </w:t>
            </w:r>
            <w:r w:rsidR="00B50F9A" w:rsidRPr="00B50F9A">
              <w:rPr>
                <w:lang w:val="en-GB"/>
              </w:rPr>
              <w:t xml:space="preserve">euro area expanded. </w:t>
            </w:r>
            <w:r w:rsidR="0082601B">
              <w:rPr>
                <w:lang w:val="en-GB"/>
              </w:rPr>
              <w:t>T</w:t>
            </w:r>
            <w:r w:rsidR="00B50F9A" w:rsidRPr="00B50F9A">
              <w:rPr>
                <w:lang w:val="en-GB"/>
              </w:rPr>
              <w:t xml:space="preserve">he domestic economy thus further converged towards these groups in 2015, the pace of its convergence in addition most likely fastened. </w:t>
            </w:r>
          </w:p>
          <w:p w:rsidR="00960769" w:rsidRPr="00967AD2" w:rsidRDefault="00960769" w:rsidP="00960769">
            <w:pPr>
              <w:pStyle w:val="Textpoznpodarou"/>
              <w:jc w:val="both"/>
              <w:rPr>
                <w:spacing w:val="-4"/>
              </w:rPr>
            </w:pPr>
          </w:p>
        </w:tc>
      </w:tr>
      <w:tr w:rsidR="00960769" w:rsidRPr="002A7D6D" w:rsidTr="00960769">
        <w:tc>
          <w:tcPr>
            <w:tcW w:w="1054" w:type="pct"/>
          </w:tcPr>
          <w:p w:rsidR="00960769" w:rsidRPr="00B50F9A" w:rsidRDefault="00B50F9A" w:rsidP="00B50F9A">
            <w:pPr>
              <w:spacing w:line="240" w:lineRule="auto"/>
              <w:rPr>
                <w:sz w:val="16"/>
                <w:szCs w:val="16"/>
                <w:lang w:val="en-GB"/>
              </w:rPr>
            </w:pPr>
            <w:r w:rsidRPr="00B50F9A">
              <w:rPr>
                <w:sz w:val="16"/>
                <w:szCs w:val="16"/>
                <w:lang w:val="en-GB"/>
              </w:rPr>
              <w:t xml:space="preserve">Especially the domestic demand was the source of the economic growth in the last year. Investment contributed </w:t>
            </w:r>
            <w:r w:rsidR="00960769" w:rsidRPr="00B50F9A">
              <w:rPr>
                <w:sz w:val="16"/>
                <w:szCs w:val="16"/>
                <w:lang w:val="en-GB"/>
              </w:rPr>
              <w:t>+1</w:t>
            </w:r>
            <w:r w:rsidRPr="00B50F9A">
              <w:rPr>
                <w:sz w:val="16"/>
                <w:szCs w:val="16"/>
                <w:lang w:val="en-GB"/>
              </w:rPr>
              <w:t>.</w:t>
            </w:r>
            <w:r w:rsidR="00960769" w:rsidRPr="00B50F9A">
              <w:rPr>
                <w:sz w:val="16"/>
                <w:szCs w:val="16"/>
                <w:lang w:val="en-GB"/>
              </w:rPr>
              <w:t>9</w:t>
            </w:r>
            <w:r w:rsidR="00D7162F" w:rsidRPr="00B50F9A">
              <w:rPr>
                <w:sz w:val="16"/>
                <w:szCs w:val="16"/>
                <w:lang w:val="en-GB"/>
              </w:rPr>
              <w:t> </w:t>
            </w:r>
            <w:r w:rsidR="00960769" w:rsidRPr="00B50F9A">
              <w:rPr>
                <w:sz w:val="16"/>
                <w:szCs w:val="16"/>
                <w:lang w:val="en-GB"/>
              </w:rPr>
              <w:t>p</w:t>
            </w:r>
            <w:r w:rsidR="00D7162F" w:rsidRPr="00B50F9A">
              <w:rPr>
                <w:sz w:val="16"/>
                <w:szCs w:val="16"/>
                <w:lang w:val="en-GB"/>
              </w:rPr>
              <w:t>.</w:t>
            </w:r>
            <w:r w:rsidRPr="00B50F9A">
              <w:rPr>
                <w:sz w:val="16"/>
                <w:szCs w:val="16"/>
                <w:lang w:val="en-GB"/>
              </w:rPr>
              <w:t>p</w:t>
            </w:r>
            <w:r w:rsidR="00960769" w:rsidRPr="00B50F9A">
              <w:rPr>
                <w:sz w:val="16"/>
                <w:szCs w:val="16"/>
                <w:lang w:val="en-GB"/>
              </w:rPr>
              <w:t>.</w:t>
            </w:r>
            <w:r w:rsidRPr="00B50F9A">
              <w:rPr>
                <w:sz w:val="16"/>
                <w:szCs w:val="16"/>
                <w:lang w:val="en-GB"/>
              </w:rPr>
              <w:t xml:space="preserve"> and consumption of households </w:t>
            </w:r>
            <w:r w:rsidR="00960769" w:rsidRPr="00B50F9A">
              <w:rPr>
                <w:sz w:val="16"/>
                <w:szCs w:val="16"/>
                <w:lang w:val="en-GB"/>
              </w:rPr>
              <w:t>+1</w:t>
            </w:r>
            <w:r w:rsidRPr="00B50F9A">
              <w:rPr>
                <w:sz w:val="16"/>
                <w:szCs w:val="16"/>
                <w:lang w:val="en-GB"/>
              </w:rPr>
              <w:t>.</w:t>
            </w:r>
            <w:r w:rsidR="00960769" w:rsidRPr="00B50F9A">
              <w:rPr>
                <w:sz w:val="16"/>
                <w:szCs w:val="16"/>
                <w:lang w:val="en-GB"/>
              </w:rPr>
              <w:t>4 p</w:t>
            </w:r>
            <w:r w:rsidR="00D7162F" w:rsidRPr="00B50F9A">
              <w:rPr>
                <w:sz w:val="16"/>
                <w:szCs w:val="16"/>
                <w:lang w:val="en-GB"/>
              </w:rPr>
              <w:t>.</w:t>
            </w:r>
            <w:r w:rsidRPr="00B50F9A">
              <w:rPr>
                <w:sz w:val="16"/>
                <w:szCs w:val="16"/>
                <w:lang w:val="en-GB"/>
              </w:rPr>
              <w:t>p</w:t>
            </w:r>
            <w:r w:rsidR="003F341B" w:rsidRPr="00B50F9A">
              <w:rPr>
                <w:sz w:val="16"/>
                <w:szCs w:val="16"/>
                <w:lang w:val="en-GB"/>
              </w:rPr>
              <w:t>.</w:t>
            </w:r>
            <w:r w:rsidR="00960769" w:rsidRPr="00B50F9A">
              <w:rPr>
                <w:sz w:val="16"/>
                <w:szCs w:val="16"/>
                <w:lang w:val="en-GB"/>
              </w:rPr>
              <w:t xml:space="preserve"> … </w:t>
            </w:r>
          </w:p>
        </w:tc>
        <w:tc>
          <w:tcPr>
            <w:tcW w:w="143" w:type="pct"/>
          </w:tcPr>
          <w:p w:rsidR="00960769" w:rsidRPr="00110513" w:rsidRDefault="00960769" w:rsidP="00960769">
            <w:pPr>
              <w:pStyle w:val="Textpoznpodarou"/>
              <w:jc w:val="both"/>
            </w:pPr>
          </w:p>
        </w:tc>
        <w:tc>
          <w:tcPr>
            <w:tcW w:w="3803" w:type="pct"/>
          </w:tcPr>
          <w:p w:rsidR="00960769" w:rsidRPr="000A26DC" w:rsidRDefault="005B0418" w:rsidP="00960769">
            <w:pPr>
              <w:pStyle w:val="Textpoznpodarou"/>
              <w:jc w:val="both"/>
              <w:rPr>
                <w:lang w:val="en-GB"/>
              </w:rPr>
            </w:pPr>
            <w:r w:rsidRPr="005B0418">
              <w:rPr>
                <w:lang w:val="en-GB"/>
              </w:rPr>
              <w:t>All components of demand contributed positively to the growth of the economy in 2</w:t>
            </w:r>
            <w:r w:rsidR="00960769" w:rsidRPr="005B0418">
              <w:rPr>
                <w:lang w:val="en-GB"/>
              </w:rPr>
              <w:t>015</w:t>
            </w:r>
            <w:r w:rsidRPr="005B0418">
              <w:rPr>
                <w:lang w:val="en-GB"/>
              </w:rPr>
              <w:t>, apart from the foreign trade balance</w:t>
            </w:r>
            <w:r w:rsidR="00960769" w:rsidRPr="005B0418">
              <w:rPr>
                <w:lang w:val="en-GB"/>
              </w:rPr>
              <w:t>.</w:t>
            </w:r>
            <w:r w:rsidR="00960769" w:rsidRPr="005B0418">
              <w:rPr>
                <w:rStyle w:val="Znakapoznpodarou"/>
                <w:lang w:val="en-GB"/>
              </w:rPr>
              <w:footnoteReference w:id="4"/>
            </w:r>
            <w:r w:rsidR="00960769" w:rsidRPr="005B0418">
              <w:rPr>
                <w:lang w:val="en-GB"/>
              </w:rPr>
              <w:t xml:space="preserve"> </w:t>
            </w:r>
            <w:r w:rsidRPr="005B0418">
              <w:rPr>
                <w:lang w:val="en-GB"/>
              </w:rPr>
              <w:t xml:space="preserve">It worsened due to the impact of stronger pace of imports </w:t>
            </w:r>
            <w:r w:rsidR="00960769" w:rsidRPr="005B0418">
              <w:rPr>
                <w:spacing w:val="-2"/>
                <w:lang w:val="en-GB"/>
              </w:rPr>
              <w:t>(+8</w:t>
            </w:r>
            <w:r w:rsidRPr="005B0418">
              <w:rPr>
                <w:spacing w:val="-2"/>
                <w:lang w:val="en-GB"/>
              </w:rPr>
              <w:t>.</w:t>
            </w:r>
            <w:r w:rsidR="009505E4">
              <w:rPr>
                <w:spacing w:val="-2"/>
                <w:lang w:val="en-GB"/>
              </w:rPr>
              <w:t>1</w:t>
            </w:r>
            <w:r w:rsidR="00960769" w:rsidRPr="005B0418">
              <w:rPr>
                <w:spacing w:val="-2"/>
                <w:lang w:val="en-GB"/>
              </w:rPr>
              <w:t xml:space="preserve">%) </w:t>
            </w:r>
            <w:r w:rsidRPr="005B0418">
              <w:rPr>
                <w:spacing w:val="-2"/>
                <w:lang w:val="en-GB"/>
              </w:rPr>
              <w:t xml:space="preserve">compared to exports </w:t>
            </w:r>
            <w:r w:rsidR="00960769" w:rsidRPr="005B0418">
              <w:rPr>
                <w:spacing w:val="-2"/>
                <w:lang w:val="en-GB"/>
              </w:rPr>
              <w:t>(+7</w:t>
            </w:r>
            <w:r w:rsidRPr="005B0418">
              <w:rPr>
                <w:spacing w:val="-2"/>
                <w:lang w:val="en-GB"/>
              </w:rPr>
              <w:t>.</w:t>
            </w:r>
            <w:r w:rsidR="009505E4">
              <w:rPr>
                <w:spacing w:val="-2"/>
                <w:lang w:val="en-GB"/>
              </w:rPr>
              <w:t>2</w:t>
            </w:r>
            <w:r w:rsidR="00960769" w:rsidRPr="005B0418">
              <w:rPr>
                <w:spacing w:val="-2"/>
                <w:lang w:val="en-GB"/>
              </w:rPr>
              <w:t xml:space="preserve">%) </w:t>
            </w:r>
            <w:r w:rsidRPr="005B0418">
              <w:rPr>
                <w:spacing w:val="-2"/>
                <w:lang w:val="en-GB"/>
              </w:rPr>
              <w:t xml:space="preserve">and worked towards the decrease of the economic performance of the CR </w:t>
            </w:r>
            <w:r w:rsidR="00960769" w:rsidRPr="005B0418">
              <w:rPr>
                <w:lang w:val="en-GB"/>
              </w:rPr>
              <w:t>(-0</w:t>
            </w:r>
            <w:r w:rsidRPr="005B0418">
              <w:rPr>
                <w:lang w:val="en-GB"/>
              </w:rPr>
              <w:t>.</w:t>
            </w:r>
            <w:r w:rsidR="00960769" w:rsidRPr="005B0418">
              <w:rPr>
                <w:lang w:val="en-GB"/>
              </w:rPr>
              <w:t>2 p</w:t>
            </w:r>
            <w:r w:rsidR="00D7162F" w:rsidRPr="005B0418">
              <w:rPr>
                <w:lang w:val="en-GB"/>
              </w:rPr>
              <w:t>.</w:t>
            </w:r>
            <w:r w:rsidRPr="005B0418">
              <w:rPr>
                <w:lang w:val="en-GB"/>
              </w:rPr>
              <w:t>p</w:t>
            </w:r>
            <w:r w:rsidR="00960769" w:rsidRPr="005B0418">
              <w:rPr>
                <w:lang w:val="en-GB"/>
              </w:rPr>
              <w:t xml:space="preserve">.). </w:t>
            </w:r>
            <w:r w:rsidRPr="000A26DC">
              <w:rPr>
                <w:lang w:val="en-GB"/>
              </w:rPr>
              <w:t xml:space="preserve">Investment </w:t>
            </w:r>
            <w:r w:rsidR="00960769" w:rsidRPr="000A26DC">
              <w:rPr>
                <w:lang w:val="en-GB"/>
              </w:rPr>
              <w:t>(</w:t>
            </w:r>
            <w:r w:rsidRPr="000A26DC">
              <w:rPr>
                <w:lang w:val="en-GB"/>
              </w:rPr>
              <w:t>gross fixed capital formation</w:t>
            </w:r>
            <w:r w:rsidR="00960769" w:rsidRPr="000A26DC">
              <w:rPr>
                <w:lang w:val="en-GB"/>
              </w:rPr>
              <w:t xml:space="preserve">) </w:t>
            </w:r>
            <w:r w:rsidRPr="000A26DC">
              <w:rPr>
                <w:lang w:val="en-GB"/>
              </w:rPr>
              <w:t xml:space="preserve">contributing </w:t>
            </w:r>
            <w:r w:rsidR="00960769" w:rsidRPr="000A26DC">
              <w:rPr>
                <w:lang w:val="en-GB"/>
              </w:rPr>
              <w:t>+1</w:t>
            </w:r>
            <w:r w:rsidRPr="000A26DC">
              <w:rPr>
                <w:lang w:val="en-GB"/>
              </w:rPr>
              <w:t>.</w:t>
            </w:r>
            <w:r w:rsidR="00960769" w:rsidRPr="000A26DC">
              <w:rPr>
                <w:lang w:val="en-GB"/>
              </w:rPr>
              <w:t>9 p</w:t>
            </w:r>
            <w:r w:rsidR="00D7162F" w:rsidRPr="000A26DC">
              <w:rPr>
                <w:lang w:val="en-GB"/>
              </w:rPr>
              <w:t>.</w:t>
            </w:r>
            <w:r w:rsidRPr="000A26DC">
              <w:rPr>
                <w:lang w:val="en-GB"/>
              </w:rPr>
              <w:t>p</w:t>
            </w:r>
            <w:r w:rsidR="00960769" w:rsidRPr="000A26DC">
              <w:rPr>
                <w:lang w:val="en-GB"/>
              </w:rPr>
              <w:t xml:space="preserve">. </w:t>
            </w:r>
            <w:r w:rsidRPr="000A26DC">
              <w:rPr>
                <w:lang w:val="en-GB"/>
              </w:rPr>
              <w:t xml:space="preserve">and final consumption expenditure of households </w:t>
            </w:r>
            <w:r w:rsidR="00960769" w:rsidRPr="000A26DC">
              <w:rPr>
                <w:lang w:val="en-GB"/>
              </w:rPr>
              <w:t>(+1</w:t>
            </w:r>
            <w:r w:rsidRPr="000A26DC">
              <w:rPr>
                <w:lang w:val="en-GB"/>
              </w:rPr>
              <w:t>.</w:t>
            </w:r>
            <w:r w:rsidR="00960769" w:rsidRPr="000A26DC">
              <w:rPr>
                <w:lang w:val="en-GB"/>
              </w:rPr>
              <w:t>4 p</w:t>
            </w:r>
            <w:r w:rsidR="00D7162F" w:rsidRPr="000A26DC">
              <w:rPr>
                <w:lang w:val="en-GB"/>
              </w:rPr>
              <w:t>.</w:t>
            </w:r>
            <w:r w:rsidRPr="000A26DC">
              <w:rPr>
                <w:lang w:val="en-GB"/>
              </w:rPr>
              <w:t>p</w:t>
            </w:r>
            <w:r w:rsidR="00960769" w:rsidRPr="000A26DC">
              <w:rPr>
                <w:lang w:val="en-GB"/>
              </w:rPr>
              <w:t>.)</w:t>
            </w:r>
            <w:r w:rsidRPr="000A26DC">
              <w:rPr>
                <w:lang w:val="en-GB"/>
              </w:rPr>
              <w:t xml:space="preserve"> were the main source</w:t>
            </w:r>
            <w:r w:rsidR="00934CE8">
              <w:rPr>
                <w:lang w:val="en-GB"/>
              </w:rPr>
              <w:t>s</w:t>
            </w:r>
            <w:r w:rsidRPr="000A26DC">
              <w:rPr>
                <w:lang w:val="en-GB"/>
              </w:rPr>
              <w:t xml:space="preserve"> of growth</w:t>
            </w:r>
            <w:r w:rsidR="00960769" w:rsidRPr="000A26DC">
              <w:rPr>
                <w:lang w:val="en-GB"/>
              </w:rPr>
              <w:t xml:space="preserve">. </w:t>
            </w:r>
            <w:r w:rsidRPr="000A26DC">
              <w:rPr>
                <w:lang w:val="en-GB"/>
              </w:rPr>
              <w:t xml:space="preserve">Investment had a pro-growth effect on the economy already nine quarters in a row, household consumption eleven. </w:t>
            </w:r>
            <w:r w:rsidR="000A26DC" w:rsidRPr="000A26DC">
              <w:rPr>
                <w:lang w:val="en-GB"/>
              </w:rPr>
              <w:t xml:space="preserve">The addition of final consumption expenditure of government was weaker compared to investment and household consumption </w:t>
            </w:r>
            <w:r w:rsidR="00960769" w:rsidRPr="000A26DC">
              <w:rPr>
                <w:lang w:val="en-GB"/>
              </w:rPr>
              <w:t>(+0</w:t>
            </w:r>
            <w:r w:rsidR="000A26DC" w:rsidRPr="000A26DC">
              <w:rPr>
                <w:lang w:val="en-GB"/>
              </w:rPr>
              <w:t>.</w:t>
            </w:r>
            <w:r w:rsidR="00960769" w:rsidRPr="000A26DC">
              <w:rPr>
                <w:lang w:val="en-GB"/>
              </w:rPr>
              <w:t>7 p</w:t>
            </w:r>
            <w:r w:rsidR="00D7162F" w:rsidRPr="000A26DC">
              <w:rPr>
                <w:lang w:val="en-GB"/>
              </w:rPr>
              <w:t>.</w:t>
            </w:r>
            <w:r w:rsidR="000A26DC" w:rsidRPr="000A26DC">
              <w:rPr>
                <w:lang w:val="en-GB"/>
              </w:rPr>
              <w:t>p</w:t>
            </w:r>
            <w:r w:rsidR="00960769" w:rsidRPr="000A26DC">
              <w:rPr>
                <w:lang w:val="en-GB"/>
              </w:rPr>
              <w:t xml:space="preserve">.), </w:t>
            </w:r>
            <w:r w:rsidR="000A26DC" w:rsidRPr="000A26DC">
              <w:rPr>
                <w:lang w:val="en-GB"/>
              </w:rPr>
              <w:t xml:space="preserve">this however occurred due to a lower weight of this demand component. The dynamics of the </w:t>
            </w:r>
            <w:r w:rsidR="00A118A2" w:rsidRPr="000A26DC">
              <w:rPr>
                <w:lang w:val="en-GB"/>
              </w:rPr>
              <w:t xml:space="preserve">government </w:t>
            </w:r>
            <w:r w:rsidR="000A26DC" w:rsidRPr="000A26DC">
              <w:rPr>
                <w:lang w:val="en-GB"/>
              </w:rPr>
              <w:t xml:space="preserve">consumption itself was the highest since </w:t>
            </w:r>
            <w:r w:rsidR="00960769" w:rsidRPr="000A26DC">
              <w:rPr>
                <w:lang w:val="en-GB"/>
              </w:rPr>
              <w:t xml:space="preserve">2003, </w:t>
            </w:r>
            <w:r w:rsidR="00AF5185">
              <w:rPr>
                <w:lang w:val="en-GB"/>
              </w:rPr>
              <w:t>while the strong</w:t>
            </w:r>
            <w:r w:rsidR="000A26DC" w:rsidRPr="000A26DC">
              <w:rPr>
                <w:lang w:val="en-GB"/>
              </w:rPr>
              <w:t xml:space="preserve"> growth occurred mostly in Q3, when the transport infrastructure was quite extensively – utilising the EU funds – repaired. </w:t>
            </w:r>
            <w:r w:rsidR="000A26DC">
              <w:rPr>
                <w:lang w:val="en-GB"/>
              </w:rPr>
              <w:lastRenderedPageBreak/>
              <w:t xml:space="preserve">Change </w:t>
            </w:r>
            <w:r w:rsidR="00A118A2">
              <w:rPr>
                <w:lang w:val="en-GB"/>
              </w:rPr>
              <w:t>in inventories</w:t>
            </w:r>
            <w:r w:rsidR="000A26DC">
              <w:rPr>
                <w:lang w:val="en-GB"/>
              </w:rPr>
              <w:t xml:space="preserve"> stimulating the economy especially at the beginning of the year added </w:t>
            </w:r>
            <w:r w:rsidR="00960769" w:rsidRPr="000A26DC">
              <w:rPr>
                <w:lang w:val="en-GB"/>
              </w:rPr>
              <w:t>+</w:t>
            </w:r>
            <w:proofErr w:type="gramStart"/>
            <w:r w:rsidR="00960769" w:rsidRPr="000A26DC">
              <w:rPr>
                <w:lang w:val="en-GB"/>
              </w:rPr>
              <w:t>0</w:t>
            </w:r>
            <w:r w:rsidR="000A26DC">
              <w:rPr>
                <w:lang w:val="en-GB"/>
              </w:rPr>
              <w:t>.</w:t>
            </w:r>
            <w:r w:rsidR="00134EBC">
              <w:rPr>
                <w:lang w:val="en-GB"/>
              </w:rPr>
              <w:t xml:space="preserve">6 </w:t>
            </w:r>
            <w:r w:rsidR="00960769" w:rsidRPr="000A26DC">
              <w:rPr>
                <w:lang w:val="en-GB"/>
              </w:rPr>
              <w:t>p</w:t>
            </w:r>
            <w:r w:rsidR="00D7162F" w:rsidRPr="000A26DC">
              <w:rPr>
                <w:lang w:val="en-GB"/>
              </w:rPr>
              <w:t>.</w:t>
            </w:r>
            <w:r w:rsidR="000A26DC">
              <w:rPr>
                <w:lang w:val="en-GB"/>
              </w:rPr>
              <w:t>p</w:t>
            </w:r>
            <w:proofErr w:type="gramEnd"/>
            <w:r w:rsidR="00960769" w:rsidRPr="000A26DC">
              <w:rPr>
                <w:lang w:val="en-GB"/>
              </w:rPr>
              <w:t>.</w:t>
            </w:r>
          </w:p>
          <w:p w:rsidR="00960769" w:rsidRPr="008211C3" w:rsidRDefault="00960769" w:rsidP="00960769">
            <w:pPr>
              <w:pStyle w:val="Textpoznpodarou"/>
              <w:jc w:val="both"/>
              <w:rPr>
                <w:spacing w:val="-2"/>
                <w:sz w:val="18"/>
                <w:szCs w:val="18"/>
                <w:lang w:val="en-GB"/>
              </w:rPr>
            </w:pPr>
          </w:p>
        </w:tc>
      </w:tr>
      <w:tr w:rsidR="00960769" w:rsidRPr="002A7D6D" w:rsidTr="00960769">
        <w:tc>
          <w:tcPr>
            <w:tcW w:w="1054" w:type="pct"/>
          </w:tcPr>
          <w:p w:rsidR="00960769" w:rsidRPr="000A26DC" w:rsidRDefault="00960769" w:rsidP="000A26DC">
            <w:pPr>
              <w:spacing w:line="240" w:lineRule="auto"/>
              <w:rPr>
                <w:sz w:val="16"/>
                <w:szCs w:val="16"/>
                <w:lang w:val="en-GB"/>
              </w:rPr>
            </w:pPr>
            <w:r w:rsidRPr="000A26DC">
              <w:rPr>
                <w:sz w:val="16"/>
                <w:szCs w:val="16"/>
                <w:lang w:val="en-GB"/>
              </w:rPr>
              <w:lastRenderedPageBreak/>
              <w:t xml:space="preserve">… </w:t>
            </w:r>
            <w:r w:rsidR="00E8043B">
              <w:rPr>
                <w:sz w:val="16"/>
                <w:szCs w:val="16"/>
                <w:lang w:val="en-GB"/>
              </w:rPr>
              <w:t xml:space="preserve">but </w:t>
            </w:r>
            <w:r w:rsidR="000A26DC" w:rsidRPr="000A26DC">
              <w:rPr>
                <w:sz w:val="16"/>
                <w:szCs w:val="16"/>
                <w:lang w:val="en-GB"/>
              </w:rPr>
              <w:t xml:space="preserve">after exclusion of import for final use only by </w:t>
            </w:r>
            <w:r w:rsidRPr="000A26DC">
              <w:rPr>
                <w:sz w:val="16"/>
                <w:szCs w:val="16"/>
                <w:lang w:val="en-GB"/>
              </w:rPr>
              <w:t>+1</w:t>
            </w:r>
            <w:r w:rsidR="000A26DC" w:rsidRPr="000A26DC">
              <w:rPr>
                <w:sz w:val="16"/>
                <w:szCs w:val="16"/>
                <w:lang w:val="en-GB"/>
              </w:rPr>
              <w:t>.</w:t>
            </w:r>
            <w:r w:rsidRPr="000A26DC">
              <w:rPr>
                <w:sz w:val="16"/>
                <w:szCs w:val="16"/>
                <w:lang w:val="en-GB"/>
              </w:rPr>
              <w:t>4 p</w:t>
            </w:r>
            <w:r w:rsidR="00D7162F" w:rsidRPr="000A26DC">
              <w:rPr>
                <w:sz w:val="16"/>
                <w:szCs w:val="16"/>
                <w:lang w:val="en-GB"/>
              </w:rPr>
              <w:t>.</w:t>
            </w:r>
            <w:r w:rsidR="000A26DC" w:rsidRPr="000A26DC">
              <w:rPr>
                <w:sz w:val="16"/>
                <w:szCs w:val="16"/>
                <w:lang w:val="en-GB"/>
              </w:rPr>
              <w:t>p</w:t>
            </w:r>
            <w:r w:rsidRPr="000A26DC">
              <w:rPr>
                <w:sz w:val="16"/>
                <w:szCs w:val="16"/>
                <w:lang w:val="en-GB"/>
              </w:rPr>
              <w:t>. a</w:t>
            </w:r>
            <w:r w:rsidR="000A26DC" w:rsidRPr="000A26DC">
              <w:rPr>
                <w:sz w:val="16"/>
                <w:szCs w:val="16"/>
                <w:lang w:val="en-GB"/>
              </w:rPr>
              <w:t>nd</w:t>
            </w:r>
            <w:r w:rsidRPr="000A26DC">
              <w:rPr>
                <w:sz w:val="16"/>
                <w:szCs w:val="16"/>
                <w:lang w:val="en-GB"/>
              </w:rPr>
              <w:t xml:space="preserve"> +0</w:t>
            </w:r>
            <w:r w:rsidR="000A26DC" w:rsidRPr="000A26DC">
              <w:rPr>
                <w:sz w:val="16"/>
                <w:szCs w:val="16"/>
                <w:lang w:val="en-GB"/>
              </w:rPr>
              <w:t>.</w:t>
            </w:r>
            <w:r w:rsidRPr="000A26DC">
              <w:rPr>
                <w:sz w:val="16"/>
                <w:szCs w:val="16"/>
                <w:lang w:val="en-GB"/>
              </w:rPr>
              <w:t>8 p</w:t>
            </w:r>
            <w:r w:rsidR="00D7162F" w:rsidRPr="000A26DC">
              <w:rPr>
                <w:sz w:val="16"/>
                <w:szCs w:val="16"/>
                <w:lang w:val="en-GB"/>
              </w:rPr>
              <w:t>.</w:t>
            </w:r>
            <w:r w:rsidR="000A26DC" w:rsidRPr="000A26DC">
              <w:rPr>
                <w:sz w:val="16"/>
                <w:szCs w:val="16"/>
                <w:lang w:val="en-GB"/>
              </w:rPr>
              <w:t>p</w:t>
            </w:r>
            <w:r w:rsidRPr="000A26DC">
              <w:rPr>
                <w:sz w:val="16"/>
                <w:szCs w:val="16"/>
                <w:lang w:val="en-GB"/>
              </w:rPr>
              <w:t>.</w:t>
            </w:r>
          </w:p>
        </w:tc>
        <w:tc>
          <w:tcPr>
            <w:tcW w:w="143" w:type="pct"/>
          </w:tcPr>
          <w:p w:rsidR="00960769" w:rsidRPr="000A26DC" w:rsidRDefault="00960769" w:rsidP="00960769">
            <w:pPr>
              <w:pStyle w:val="Textpoznpodarou"/>
              <w:jc w:val="both"/>
              <w:rPr>
                <w:lang w:val="en-GB"/>
              </w:rPr>
            </w:pPr>
          </w:p>
        </w:tc>
        <w:tc>
          <w:tcPr>
            <w:tcW w:w="3803" w:type="pct"/>
          </w:tcPr>
          <w:p w:rsidR="00960769" w:rsidRPr="00EA5307" w:rsidRDefault="000A26DC" w:rsidP="00960769">
            <w:pPr>
              <w:pStyle w:val="Textpoznpodarou"/>
              <w:jc w:val="both"/>
              <w:rPr>
                <w:lang w:val="en-GB"/>
              </w:rPr>
            </w:pPr>
            <w:r w:rsidRPr="000A26DC">
              <w:rPr>
                <w:lang w:val="en-GB"/>
              </w:rPr>
              <w:t>If the import for final use is excluded from the total volu</w:t>
            </w:r>
            <w:r>
              <w:rPr>
                <w:lang w:val="en-GB"/>
              </w:rPr>
              <w:t>me</w:t>
            </w:r>
            <w:r w:rsidRPr="000A26DC">
              <w:rPr>
                <w:lang w:val="en-GB"/>
              </w:rPr>
              <w:t xml:space="preserve"> of import into the CR, in other words import, which is not directed to further utilisation in the production process, the additions of final consumption expenditure of households </w:t>
            </w:r>
            <w:r w:rsidR="00960769" w:rsidRPr="000A26DC">
              <w:rPr>
                <w:spacing w:val="-4"/>
                <w:lang w:val="en-GB"/>
              </w:rPr>
              <w:t>(+0</w:t>
            </w:r>
            <w:r w:rsidRPr="000A26DC">
              <w:rPr>
                <w:spacing w:val="-4"/>
                <w:lang w:val="en-GB"/>
              </w:rPr>
              <w:t>.</w:t>
            </w:r>
            <w:r w:rsidR="00960769" w:rsidRPr="000A26DC">
              <w:rPr>
                <w:spacing w:val="-4"/>
                <w:lang w:val="en-GB"/>
              </w:rPr>
              <w:t>8 p</w:t>
            </w:r>
            <w:r w:rsidR="00D7162F" w:rsidRPr="000A26DC">
              <w:rPr>
                <w:spacing w:val="-4"/>
                <w:lang w:val="en-GB"/>
              </w:rPr>
              <w:t>.</w:t>
            </w:r>
            <w:r w:rsidRPr="000A26DC">
              <w:rPr>
                <w:spacing w:val="-4"/>
                <w:lang w:val="en-GB"/>
              </w:rPr>
              <w:t>p</w:t>
            </w:r>
            <w:r w:rsidR="00960769" w:rsidRPr="000A26DC">
              <w:rPr>
                <w:spacing w:val="-4"/>
                <w:lang w:val="en-GB"/>
              </w:rPr>
              <w:t>.) a</w:t>
            </w:r>
            <w:r w:rsidRPr="000A26DC">
              <w:rPr>
                <w:spacing w:val="-4"/>
                <w:lang w:val="en-GB"/>
              </w:rPr>
              <w:t xml:space="preserve">nd investment </w:t>
            </w:r>
            <w:r w:rsidR="00960769" w:rsidRPr="000A26DC">
              <w:rPr>
                <w:spacing w:val="-4"/>
                <w:lang w:val="en-GB"/>
              </w:rPr>
              <w:t>(+1</w:t>
            </w:r>
            <w:r w:rsidRPr="000A26DC">
              <w:rPr>
                <w:spacing w:val="-4"/>
                <w:lang w:val="en-GB"/>
              </w:rPr>
              <w:t>.</w:t>
            </w:r>
            <w:r w:rsidR="00960769" w:rsidRPr="000A26DC">
              <w:rPr>
                <w:lang w:val="en-GB"/>
              </w:rPr>
              <w:t>4 p</w:t>
            </w:r>
            <w:r w:rsidR="00D7162F" w:rsidRPr="000A26DC">
              <w:rPr>
                <w:lang w:val="en-GB"/>
              </w:rPr>
              <w:t>.</w:t>
            </w:r>
            <w:r w:rsidRPr="000A26DC">
              <w:rPr>
                <w:lang w:val="en-GB"/>
              </w:rPr>
              <w:t>p</w:t>
            </w:r>
            <w:r w:rsidR="00960769" w:rsidRPr="000A26DC">
              <w:rPr>
                <w:lang w:val="en-GB"/>
              </w:rPr>
              <w:t xml:space="preserve">.) </w:t>
            </w:r>
            <w:r w:rsidR="00934CE8">
              <w:rPr>
                <w:lang w:val="en-GB"/>
              </w:rPr>
              <w:t xml:space="preserve">are </w:t>
            </w:r>
            <w:r w:rsidRPr="000A26DC">
              <w:rPr>
                <w:lang w:val="en-GB"/>
              </w:rPr>
              <w:t xml:space="preserve">significantly </w:t>
            </w:r>
            <w:r w:rsidRPr="00EA5307">
              <w:rPr>
                <w:lang w:val="en-GB"/>
              </w:rPr>
              <w:t xml:space="preserve">smaller. </w:t>
            </w:r>
            <w:r w:rsidR="00EA5307" w:rsidRPr="00EA5307">
              <w:rPr>
                <w:lang w:val="en-GB"/>
              </w:rPr>
              <w:t>It is because the increase of household consumption and investment was for a large part satisfied from abroad, i.e. by import</w:t>
            </w:r>
            <w:r w:rsidR="00111CA5" w:rsidRPr="00EA5307">
              <w:rPr>
                <w:lang w:val="en-GB"/>
              </w:rPr>
              <w:t>.</w:t>
            </w:r>
            <w:r w:rsidR="00960769" w:rsidRPr="00EA5307">
              <w:rPr>
                <w:lang w:val="en-GB"/>
              </w:rPr>
              <w:t xml:space="preserve"> </w:t>
            </w:r>
            <w:r w:rsidR="00EA5307" w:rsidRPr="00EA5307">
              <w:rPr>
                <w:lang w:val="en-GB"/>
              </w:rPr>
              <w:t>It followed especially from higher purchases of motor vehicles and machinery equipment, which it was not possible with respect to variety and specific requests satisfy from the local sources. The contribution of final consumption expenditure of government is lower compared t</w:t>
            </w:r>
            <w:r w:rsidR="00EA5307">
              <w:rPr>
                <w:lang w:val="en-GB"/>
              </w:rPr>
              <w:t>o</w:t>
            </w:r>
            <w:r w:rsidR="00EA5307" w:rsidRPr="00EA5307">
              <w:rPr>
                <w:lang w:val="en-GB"/>
              </w:rPr>
              <w:t xml:space="preserve"> the classical concept only negligibly </w:t>
            </w:r>
            <w:r w:rsidR="00960769" w:rsidRPr="00EA5307">
              <w:rPr>
                <w:lang w:val="en-GB"/>
              </w:rPr>
              <w:t>(+0</w:t>
            </w:r>
            <w:r w:rsidR="00EA5307" w:rsidRPr="00EA5307">
              <w:rPr>
                <w:lang w:val="en-GB"/>
              </w:rPr>
              <w:t>.</w:t>
            </w:r>
            <w:r w:rsidR="00960769" w:rsidRPr="00EA5307">
              <w:rPr>
                <w:lang w:val="en-GB"/>
              </w:rPr>
              <w:t>6 p</w:t>
            </w:r>
            <w:r w:rsidR="0023355C" w:rsidRPr="00EA5307">
              <w:rPr>
                <w:lang w:val="en-GB"/>
              </w:rPr>
              <w:t>.</w:t>
            </w:r>
            <w:r w:rsidR="00EA5307" w:rsidRPr="00EA5307">
              <w:rPr>
                <w:lang w:val="en-GB"/>
              </w:rPr>
              <w:t>p</w:t>
            </w:r>
            <w:r w:rsidR="00960769" w:rsidRPr="00EA5307">
              <w:rPr>
                <w:lang w:val="en-GB"/>
              </w:rPr>
              <w:t xml:space="preserve">.), </w:t>
            </w:r>
            <w:r w:rsidR="00EA5307" w:rsidRPr="00EA5307">
              <w:rPr>
                <w:lang w:val="en-GB"/>
              </w:rPr>
              <w:t xml:space="preserve">similarly the change </w:t>
            </w:r>
            <w:r w:rsidR="00A118A2">
              <w:rPr>
                <w:lang w:val="en-GB"/>
              </w:rPr>
              <w:t>in inventories</w:t>
            </w:r>
            <w:r w:rsidR="00EA5307" w:rsidRPr="00EA5307">
              <w:rPr>
                <w:lang w:val="en-GB"/>
              </w:rPr>
              <w:t xml:space="preserve"> </w:t>
            </w:r>
            <w:r w:rsidR="00960769" w:rsidRPr="00EA5307">
              <w:rPr>
                <w:lang w:val="en-GB"/>
              </w:rPr>
              <w:t>(+0</w:t>
            </w:r>
            <w:r w:rsidR="00EA5307" w:rsidRPr="00EA5307">
              <w:rPr>
                <w:lang w:val="en-GB"/>
              </w:rPr>
              <w:t>.</w:t>
            </w:r>
            <w:r w:rsidR="00960769" w:rsidRPr="00EA5307">
              <w:rPr>
                <w:lang w:val="en-GB"/>
              </w:rPr>
              <w:t>5 p</w:t>
            </w:r>
            <w:r w:rsidR="0023355C" w:rsidRPr="00EA5307">
              <w:rPr>
                <w:lang w:val="en-GB"/>
              </w:rPr>
              <w:t>.</w:t>
            </w:r>
            <w:r w:rsidR="00EA5307" w:rsidRPr="00EA5307">
              <w:rPr>
                <w:lang w:val="en-GB"/>
              </w:rPr>
              <w:t>p</w:t>
            </w:r>
            <w:r w:rsidR="00960769" w:rsidRPr="00EA5307">
              <w:rPr>
                <w:lang w:val="en-GB"/>
              </w:rPr>
              <w:t xml:space="preserve">.). </w:t>
            </w:r>
            <w:r w:rsidR="00EA5307" w:rsidRPr="00EA5307">
              <w:rPr>
                <w:lang w:val="en-GB"/>
              </w:rPr>
              <w:t xml:space="preserve">Foreign trade balance, after exclusion of import meant for final use, contributed to the economic growth by </w:t>
            </w:r>
            <w:r w:rsidR="00960769" w:rsidRPr="00EA5307">
              <w:rPr>
                <w:lang w:val="en-GB"/>
              </w:rPr>
              <w:t>+1 p</w:t>
            </w:r>
            <w:r w:rsidR="0023355C" w:rsidRPr="00EA5307">
              <w:rPr>
                <w:lang w:val="en-GB"/>
              </w:rPr>
              <w:t>.</w:t>
            </w:r>
            <w:r w:rsidR="00EA5307" w:rsidRPr="00EA5307">
              <w:rPr>
                <w:lang w:val="en-GB"/>
              </w:rPr>
              <w:t>p</w:t>
            </w:r>
            <w:r w:rsidR="00960769" w:rsidRPr="00EA5307">
              <w:rPr>
                <w:lang w:val="en-GB"/>
              </w:rPr>
              <w:t>.</w:t>
            </w:r>
          </w:p>
          <w:p w:rsidR="00960769" w:rsidRPr="008211C3" w:rsidRDefault="00960769" w:rsidP="00960769">
            <w:pPr>
              <w:pStyle w:val="Textpoznpodarou"/>
              <w:jc w:val="both"/>
              <w:rPr>
                <w:sz w:val="18"/>
                <w:szCs w:val="18"/>
              </w:rPr>
            </w:pPr>
          </w:p>
        </w:tc>
      </w:tr>
      <w:tr w:rsidR="00960769" w:rsidRPr="002A7D6D" w:rsidTr="00960769">
        <w:tc>
          <w:tcPr>
            <w:tcW w:w="1054" w:type="pct"/>
          </w:tcPr>
          <w:p w:rsidR="00960769" w:rsidRPr="00110513" w:rsidRDefault="008752FB" w:rsidP="008752FB">
            <w:pPr>
              <w:spacing w:line="240" w:lineRule="auto"/>
              <w:rPr>
                <w:sz w:val="16"/>
                <w:szCs w:val="16"/>
              </w:rPr>
            </w:pPr>
            <w:r w:rsidRPr="008752FB">
              <w:rPr>
                <w:sz w:val="16"/>
                <w:szCs w:val="16"/>
                <w:lang w:val="en-GB"/>
              </w:rPr>
              <w:t>Higher income of households and high consumer confidence were reflected in the increase of household consumption</w:t>
            </w:r>
            <w:r w:rsidR="00960769" w:rsidRPr="008752FB">
              <w:rPr>
                <w:sz w:val="16"/>
                <w:szCs w:val="16"/>
                <w:lang w:val="en-GB"/>
              </w:rPr>
              <w:t>,</w:t>
            </w:r>
            <w:r w:rsidR="00960769" w:rsidRPr="00110513">
              <w:rPr>
                <w:sz w:val="16"/>
                <w:szCs w:val="16"/>
              </w:rPr>
              <w:t xml:space="preserve"> …</w:t>
            </w:r>
          </w:p>
        </w:tc>
        <w:tc>
          <w:tcPr>
            <w:tcW w:w="143" w:type="pct"/>
          </w:tcPr>
          <w:p w:rsidR="00960769" w:rsidRPr="00110513" w:rsidRDefault="00960769" w:rsidP="00960769">
            <w:pPr>
              <w:pStyle w:val="Textpoznpodarou"/>
              <w:jc w:val="both"/>
            </w:pPr>
          </w:p>
        </w:tc>
        <w:tc>
          <w:tcPr>
            <w:tcW w:w="3803" w:type="pct"/>
          </w:tcPr>
          <w:p w:rsidR="00960769" w:rsidRPr="00110513" w:rsidRDefault="00B76CCC" w:rsidP="00960769">
            <w:pPr>
              <w:pStyle w:val="Textpoznpodarou"/>
              <w:jc w:val="both"/>
            </w:pPr>
            <w:r w:rsidRPr="00B76CCC">
              <w:rPr>
                <w:lang w:val="en-GB"/>
              </w:rPr>
              <w:t xml:space="preserve">Final consumption expenditure of households increased by </w:t>
            </w:r>
            <w:r w:rsidR="00960769" w:rsidRPr="00B76CCC">
              <w:rPr>
                <w:lang w:val="en-GB"/>
              </w:rPr>
              <w:t>2</w:t>
            </w:r>
            <w:r w:rsidRPr="00B76CCC">
              <w:rPr>
                <w:lang w:val="en-GB"/>
              </w:rPr>
              <w:t>.</w:t>
            </w:r>
            <w:r w:rsidR="009505E4">
              <w:rPr>
                <w:lang w:val="en-GB"/>
              </w:rPr>
              <w:t>9</w:t>
            </w:r>
            <w:r w:rsidR="00960769" w:rsidRPr="00B76CCC">
              <w:rPr>
                <w:lang w:val="en-GB"/>
              </w:rPr>
              <w:t>%</w:t>
            </w:r>
            <w:r w:rsidRPr="00B76CCC">
              <w:rPr>
                <w:lang w:val="en-GB"/>
              </w:rPr>
              <w:t xml:space="preserve"> in 2015, featuring equal year-on-year dynamics in individual quarters</w:t>
            </w:r>
            <w:r w:rsidR="00960769" w:rsidRPr="00B76CCC">
              <w:rPr>
                <w:lang w:val="en-GB"/>
              </w:rPr>
              <w:t xml:space="preserve"> </w:t>
            </w:r>
            <w:r w:rsidR="00960769" w:rsidRPr="00B76CCC">
              <w:rPr>
                <w:spacing w:val="-2"/>
                <w:lang w:val="en-GB"/>
              </w:rPr>
              <w:t>(+2</w:t>
            </w:r>
            <w:r w:rsidRPr="00B76CCC">
              <w:rPr>
                <w:spacing w:val="-2"/>
                <w:lang w:val="en-GB"/>
              </w:rPr>
              <w:t>.</w:t>
            </w:r>
            <w:r w:rsidR="009505E4">
              <w:rPr>
                <w:spacing w:val="-2"/>
                <w:lang w:val="en-GB"/>
              </w:rPr>
              <w:t>7</w:t>
            </w:r>
            <w:r w:rsidR="00960769" w:rsidRPr="00B76CCC">
              <w:rPr>
                <w:spacing w:val="-2"/>
                <w:lang w:val="en-GB"/>
              </w:rPr>
              <w:t>%, +2</w:t>
            </w:r>
            <w:r w:rsidRPr="00B76CCC">
              <w:rPr>
                <w:spacing w:val="-2"/>
                <w:lang w:val="en-GB"/>
              </w:rPr>
              <w:t>.</w:t>
            </w:r>
            <w:r w:rsidR="009505E4">
              <w:rPr>
                <w:spacing w:val="-2"/>
                <w:lang w:val="en-GB"/>
              </w:rPr>
              <w:t>9</w:t>
            </w:r>
            <w:r w:rsidR="00960769" w:rsidRPr="00B76CCC">
              <w:rPr>
                <w:spacing w:val="-2"/>
                <w:lang w:val="en-GB"/>
              </w:rPr>
              <w:t>%, +3</w:t>
            </w:r>
            <w:r w:rsidR="00960769" w:rsidRPr="00B76CCC">
              <w:rPr>
                <w:lang w:val="en-GB"/>
              </w:rPr>
              <w:t xml:space="preserve">%, </w:t>
            </w:r>
            <w:r w:rsidR="00960769" w:rsidRPr="00B76CCC">
              <w:rPr>
                <w:spacing w:val="-2"/>
                <w:lang w:val="en-GB"/>
              </w:rPr>
              <w:t>+2</w:t>
            </w:r>
            <w:r w:rsidRPr="00B76CCC">
              <w:rPr>
                <w:spacing w:val="-2"/>
                <w:lang w:val="en-GB"/>
              </w:rPr>
              <w:t>.</w:t>
            </w:r>
            <w:r w:rsidR="009505E4">
              <w:rPr>
                <w:spacing w:val="-2"/>
                <w:lang w:val="en-GB"/>
              </w:rPr>
              <w:t>9</w:t>
            </w:r>
            <w:r w:rsidR="00960769" w:rsidRPr="00B76CCC">
              <w:rPr>
                <w:spacing w:val="-2"/>
                <w:lang w:val="en-GB"/>
              </w:rPr>
              <w:t>%) a</w:t>
            </w:r>
            <w:r w:rsidRPr="00B76CCC">
              <w:rPr>
                <w:spacing w:val="-2"/>
                <w:lang w:val="en-GB"/>
              </w:rPr>
              <w:t>nd fast quarter-on-quarter growth at the beginning and end of the</w:t>
            </w:r>
            <w:r w:rsidR="00934CE8">
              <w:rPr>
                <w:spacing w:val="-2"/>
                <w:lang w:val="en-GB"/>
              </w:rPr>
              <w:t xml:space="preserve"> year </w:t>
            </w:r>
            <w:r w:rsidR="00960769" w:rsidRPr="00B76CCC">
              <w:rPr>
                <w:spacing w:val="-2"/>
                <w:lang w:val="en-GB"/>
              </w:rPr>
              <w:t>(+1</w:t>
            </w:r>
            <w:r w:rsidRPr="00B76CCC">
              <w:rPr>
                <w:spacing w:val="-2"/>
                <w:lang w:val="en-GB"/>
              </w:rPr>
              <w:t>.</w:t>
            </w:r>
            <w:r w:rsidR="009505E4">
              <w:rPr>
                <w:spacing w:val="-2"/>
                <w:lang w:val="en-GB"/>
              </w:rPr>
              <w:t>1</w:t>
            </w:r>
            <w:r w:rsidR="00960769" w:rsidRPr="00B76CCC">
              <w:rPr>
                <w:spacing w:val="-2"/>
                <w:lang w:val="en-GB"/>
              </w:rPr>
              <w:t>%, +0</w:t>
            </w:r>
            <w:r w:rsidRPr="00B76CCC">
              <w:rPr>
                <w:spacing w:val="-2"/>
                <w:lang w:val="en-GB"/>
              </w:rPr>
              <w:t>.</w:t>
            </w:r>
            <w:r w:rsidR="009505E4">
              <w:rPr>
                <w:spacing w:val="-2"/>
                <w:lang w:val="en-GB"/>
              </w:rPr>
              <w:t>5</w:t>
            </w:r>
            <w:r w:rsidR="00960769" w:rsidRPr="00B76CCC">
              <w:rPr>
                <w:spacing w:val="-2"/>
                <w:lang w:val="en-GB"/>
              </w:rPr>
              <w:t>%,</w:t>
            </w:r>
            <w:r w:rsidR="00960769" w:rsidRPr="00B76CCC">
              <w:rPr>
                <w:lang w:val="en-GB"/>
              </w:rPr>
              <w:t xml:space="preserve"> +0</w:t>
            </w:r>
            <w:r w:rsidRPr="00B76CCC">
              <w:rPr>
                <w:lang w:val="en-GB"/>
              </w:rPr>
              <w:t>.</w:t>
            </w:r>
            <w:r w:rsidR="00960769" w:rsidRPr="00B76CCC">
              <w:rPr>
                <w:lang w:val="en-GB"/>
              </w:rPr>
              <w:t>4%, +0</w:t>
            </w:r>
            <w:r w:rsidRPr="00B76CCC">
              <w:rPr>
                <w:lang w:val="en-GB"/>
              </w:rPr>
              <w:t>.</w:t>
            </w:r>
            <w:r w:rsidR="009505E4">
              <w:rPr>
                <w:lang w:val="en-GB"/>
              </w:rPr>
              <w:t>9</w:t>
            </w:r>
            <w:r w:rsidR="00960769" w:rsidRPr="00B76CCC">
              <w:rPr>
                <w:lang w:val="en-GB"/>
              </w:rPr>
              <w:t xml:space="preserve">%). </w:t>
            </w:r>
            <w:r w:rsidR="00F52CAE">
              <w:rPr>
                <w:lang w:val="en-GB"/>
              </w:rPr>
              <w:t>They mirrored the increasing nominal household income in t</w:t>
            </w:r>
            <w:r w:rsidR="00A118A2">
              <w:rPr>
                <w:lang w:val="en-GB"/>
              </w:rPr>
              <w:t>he low-inflationary environment. T</w:t>
            </w:r>
            <w:r w:rsidR="00F52CAE">
              <w:rPr>
                <w:lang w:val="en-GB"/>
              </w:rPr>
              <w:t xml:space="preserve">he high consumer confidence also had a favourable effect. </w:t>
            </w:r>
            <w:r w:rsidR="00A118A2">
              <w:rPr>
                <w:lang w:val="en-GB"/>
              </w:rPr>
              <w:t>In December 2015, i</w:t>
            </w:r>
            <w:r w:rsidR="00F52CAE">
              <w:rPr>
                <w:lang w:val="en-GB"/>
              </w:rPr>
              <w:t>t was the highest on the available time series tracing</w:t>
            </w:r>
            <w:r w:rsidR="00F90C35">
              <w:rPr>
                <w:lang w:val="en-GB"/>
              </w:rPr>
              <w:t xml:space="preserve"> </w:t>
            </w:r>
            <w:r w:rsidR="00134EBC">
              <w:rPr>
                <w:lang w:val="en-GB"/>
              </w:rPr>
              <w:t>back from</w:t>
            </w:r>
            <w:r w:rsidR="00F52CAE">
              <w:rPr>
                <w:lang w:val="en-GB"/>
              </w:rPr>
              <w:t xml:space="preserve"> 1998 </w:t>
            </w:r>
            <w:r w:rsidR="00F90C35">
              <w:rPr>
                <w:lang w:val="en-GB"/>
              </w:rPr>
              <w:t>(nevertheless, it was overtaken immediately in January 2016</w:t>
            </w:r>
            <w:r w:rsidR="00057C16">
              <w:t>)</w:t>
            </w:r>
            <w:r w:rsidR="00960769" w:rsidRPr="00110513">
              <w:t>.</w:t>
            </w:r>
          </w:p>
          <w:p w:rsidR="00960769" w:rsidRPr="008211C3" w:rsidRDefault="00960769" w:rsidP="00960769">
            <w:pPr>
              <w:pStyle w:val="Textpoznpodarou"/>
              <w:jc w:val="both"/>
              <w:rPr>
                <w:sz w:val="16"/>
                <w:szCs w:val="16"/>
              </w:rPr>
            </w:pPr>
          </w:p>
        </w:tc>
      </w:tr>
      <w:tr w:rsidR="00960769" w:rsidRPr="002A7D6D" w:rsidTr="00960769">
        <w:tc>
          <w:tcPr>
            <w:tcW w:w="1054" w:type="pct"/>
          </w:tcPr>
          <w:p w:rsidR="00960769" w:rsidRPr="004A3FB7" w:rsidRDefault="00960769" w:rsidP="00E8043B">
            <w:pPr>
              <w:spacing w:line="240" w:lineRule="auto"/>
              <w:rPr>
                <w:sz w:val="16"/>
                <w:szCs w:val="16"/>
                <w:lang w:val="en-GB"/>
              </w:rPr>
            </w:pPr>
            <w:r w:rsidRPr="004A3FB7">
              <w:rPr>
                <w:sz w:val="16"/>
                <w:szCs w:val="16"/>
                <w:lang w:val="en-GB"/>
              </w:rPr>
              <w:t xml:space="preserve">… </w:t>
            </w:r>
            <w:r w:rsidR="00E8043B">
              <w:rPr>
                <w:sz w:val="16"/>
                <w:szCs w:val="16"/>
                <w:lang w:val="en-GB"/>
              </w:rPr>
              <w:t>it</w:t>
            </w:r>
            <w:r w:rsidR="00175FB4" w:rsidRPr="004A3FB7">
              <w:rPr>
                <w:sz w:val="16"/>
                <w:szCs w:val="16"/>
                <w:lang w:val="en-GB"/>
              </w:rPr>
              <w:t xml:space="preserve"> increased throughout its whole structure for the first time since </w:t>
            </w:r>
            <w:r w:rsidRPr="004A3FB7">
              <w:rPr>
                <w:sz w:val="16"/>
                <w:szCs w:val="16"/>
                <w:lang w:val="en-GB"/>
              </w:rPr>
              <w:t>2007</w:t>
            </w:r>
          </w:p>
        </w:tc>
        <w:tc>
          <w:tcPr>
            <w:tcW w:w="143" w:type="pct"/>
          </w:tcPr>
          <w:p w:rsidR="00960769" w:rsidRPr="004A3FB7" w:rsidRDefault="00960769" w:rsidP="00960769">
            <w:pPr>
              <w:pStyle w:val="Textpoznpodarou"/>
              <w:jc w:val="both"/>
              <w:rPr>
                <w:lang w:val="en-GB"/>
              </w:rPr>
            </w:pPr>
          </w:p>
        </w:tc>
        <w:tc>
          <w:tcPr>
            <w:tcW w:w="3803" w:type="pct"/>
          </w:tcPr>
          <w:p w:rsidR="00960769" w:rsidRPr="004A3FB7" w:rsidRDefault="00175FB4" w:rsidP="00960769">
            <w:pPr>
              <w:pStyle w:val="Textpoznpodarou"/>
              <w:jc w:val="both"/>
              <w:rPr>
                <w:lang w:val="en-GB"/>
              </w:rPr>
            </w:pPr>
            <w:r w:rsidRPr="004A3FB7">
              <w:rPr>
                <w:lang w:val="en-GB"/>
              </w:rPr>
              <w:t xml:space="preserve">Household consumption grew in its entire structure last year for the first time since </w:t>
            </w:r>
            <w:r w:rsidR="00960769" w:rsidRPr="004A3FB7">
              <w:rPr>
                <w:lang w:val="en-GB"/>
              </w:rPr>
              <w:t xml:space="preserve">2007. </w:t>
            </w:r>
            <w:r w:rsidRPr="004A3FB7">
              <w:rPr>
                <w:lang w:val="en-GB"/>
              </w:rPr>
              <w:t xml:space="preserve">Addition to expenditure on durable goods </w:t>
            </w:r>
            <w:r w:rsidR="00960769" w:rsidRPr="004A3FB7">
              <w:rPr>
                <w:lang w:val="en-GB"/>
              </w:rPr>
              <w:t>(</w:t>
            </w:r>
            <w:r w:rsidRPr="004A3FB7">
              <w:rPr>
                <w:lang w:val="en-GB"/>
              </w:rPr>
              <w:t>e.g. motor vehicles</w:t>
            </w:r>
            <w:r w:rsidR="00960769" w:rsidRPr="004A3FB7">
              <w:rPr>
                <w:lang w:val="en-GB"/>
              </w:rPr>
              <w:t xml:space="preserve">) </w:t>
            </w:r>
            <w:r w:rsidRPr="004A3FB7">
              <w:rPr>
                <w:lang w:val="en-GB"/>
              </w:rPr>
              <w:t xml:space="preserve">lowered from </w:t>
            </w:r>
            <w:r w:rsidR="00960769" w:rsidRPr="004A3FB7">
              <w:rPr>
                <w:lang w:val="en-GB"/>
              </w:rPr>
              <w:t>+10</w:t>
            </w:r>
            <w:r w:rsidRPr="004A3FB7">
              <w:rPr>
                <w:lang w:val="en-GB"/>
              </w:rPr>
              <w:t>.</w:t>
            </w:r>
            <w:r w:rsidR="009505E4">
              <w:rPr>
                <w:lang w:val="en-GB"/>
              </w:rPr>
              <w:t>7</w:t>
            </w:r>
            <w:r w:rsidR="00960769" w:rsidRPr="004A3FB7">
              <w:rPr>
                <w:lang w:val="en-GB"/>
              </w:rPr>
              <w:t xml:space="preserve">% </w:t>
            </w:r>
            <w:r w:rsidRPr="004A3FB7">
              <w:rPr>
                <w:lang w:val="en-GB"/>
              </w:rPr>
              <w:t xml:space="preserve">to </w:t>
            </w:r>
            <w:r w:rsidR="00960769" w:rsidRPr="004A3FB7">
              <w:rPr>
                <w:lang w:val="en-GB"/>
              </w:rPr>
              <w:t>+7</w:t>
            </w:r>
            <w:r w:rsidRPr="004A3FB7">
              <w:rPr>
                <w:lang w:val="en-GB"/>
              </w:rPr>
              <w:t>.</w:t>
            </w:r>
            <w:r w:rsidR="009505E4">
              <w:rPr>
                <w:lang w:val="en-GB"/>
              </w:rPr>
              <w:t>9</w:t>
            </w:r>
            <w:r w:rsidR="00960769" w:rsidRPr="004A3FB7">
              <w:rPr>
                <w:lang w:val="en-GB"/>
              </w:rPr>
              <w:t>%</w:t>
            </w:r>
            <w:r w:rsidR="009833FA" w:rsidRPr="004A3FB7">
              <w:rPr>
                <w:lang w:val="en-GB"/>
              </w:rPr>
              <w:t xml:space="preserve">, </w:t>
            </w:r>
            <w:r w:rsidR="004A3FB7" w:rsidRPr="004A3FB7">
              <w:rPr>
                <w:lang w:val="en-GB"/>
              </w:rPr>
              <w:t>still it remained very high</w:t>
            </w:r>
            <w:r w:rsidR="00960769" w:rsidRPr="004A3FB7">
              <w:rPr>
                <w:lang w:val="en-GB"/>
              </w:rPr>
              <w:t>.</w:t>
            </w:r>
            <w:r w:rsidR="00960769" w:rsidRPr="004A3FB7">
              <w:rPr>
                <w:rStyle w:val="Znakapoznpodarou"/>
                <w:lang w:val="en-GB"/>
              </w:rPr>
              <w:footnoteReference w:id="5"/>
            </w:r>
            <w:r w:rsidR="00960769" w:rsidRPr="004A3FB7">
              <w:rPr>
                <w:lang w:val="en-GB"/>
              </w:rPr>
              <w:t xml:space="preserve"> </w:t>
            </w:r>
            <w:r w:rsidR="004A3FB7" w:rsidRPr="004A3FB7">
              <w:rPr>
                <w:lang w:val="en-GB"/>
              </w:rPr>
              <w:t>The dynamics of expenditure on</w:t>
            </w:r>
            <w:r w:rsidR="00A118A2">
              <w:rPr>
                <w:lang w:val="en-GB"/>
              </w:rPr>
              <w:t xml:space="preserve"> semi-durable</w:t>
            </w:r>
            <w:r w:rsidR="004A3FB7" w:rsidRPr="004A3FB7">
              <w:rPr>
                <w:lang w:val="en-GB"/>
              </w:rPr>
              <w:t xml:space="preserve"> goods went up from </w:t>
            </w:r>
            <w:r w:rsidR="009867BC" w:rsidRPr="004A3FB7">
              <w:rPr>
                <w:lang w:val="en-GB"/>
              </w:rPr>
              <w:t>+2</w:t>
            </w:r>
            <w:r w:rsidR="004A3FB7" w:rsidRPr="004A3FB7">
              <w:rPr>
                <w:lang w:val="en-GB"/>
              </w:rPr>
              <w:t>.</w:t>
            </w:r>
            <w:r w:rsidR="009505E4">
              <w:rPr>
                <w:lang w:val="en-GB"/>
              </w:rPr>
              <w:t>9%</w:t>
            </w:r>
            <w:r w:rsidR="009867BC" w:rsidRPr="004A3FB7">
              <w:rPr>
                <w:lang w:val="en-GB"/>
              </w:rPr>
              <w:t xml:space="preserve"> </w:t>
            </w:r>
            <w:r w:rsidR="004A3FB7" w:rsidRPr="004A3FB7">
              <w:rPr>
                <w:lang w:val="en-GB"/>
              </w:rPr>
              <w:t>to</w:t>
            </w:r>
            <w:r w:rsidR="009867BC" w:rsidRPr="004A3FB7">
              <w:rPr>
                <w:lang w:val="en-GB"/>
              </w:rPr>
              <w:t xml:space="preserve"> +4</w:t>
            </w:r>
            <w:r w:rsidR="004A3FB7" w:rsidRPr="004A3FB7">
              <w:rPr>
                <w:lang w:val="en-GB"/>
              </w:rPr>
              <w:t>.</w:t>
            </w:r>
            <w:r w:rsidR="009505E4">
              <w:rPr>
                <w:lang w:val="en-GB"/>
              </w:rPr>
              <w:t>2</w:t>
            </w:r>
            <w:r w:rsidR="009867BC" w:rsidRPr="004A3FB7">
              <w:rPr>
                <w:lang w:val="en-GB"/>
              </w:rPr>
              <w:t xml:space="preserve">%, </w:t>
            </w:r>
            <w:r w:rsidR="004A3FB7">
              <w:rPr>
                <w:lang w:val="en-GB"/>
              </w:rPr>
              <w:t>the dynamics of expenditure on</w:t>
            </w:r>
            <w:r w:rsidR="00C735E6">
              <w:rPr>
                <w:lang w:val="en-GB"/>
              </w:rPr>
              <w:t xml:space="preserve"> non-durable</w:t>
            </w:r>
            <w:r w:rsidR="004A3FB7">
              <w:rPr>
                <w:lang w:val="en-GB"/>
              </w:rPr>
              <w:t xml:space="preserve"> goods also increased </w:t>
            </w:r>
            <w:r w:rsidR="00960769" w:rsidRPr="004A3FB7">
              <w:rPr>
                <w:spacing w:val="-2"/>
                <w:lang w:val="en-GB"/>
              </w:rPr>
              <w:t>(</w:t>
            </w:r>
            <w:r w:rsidR="004A3FB7">
              <w:rPr>
                <w:spacing w:val="-2"/>
                <w:lang w:val="en-GB"/>
              </w:rPr>
              <w:t xml:space="preserve">from </w:t>
            </w:r>
            <w:r w:rsidR="00960769" w:rsidRPr="004A3FB7">
              <w:rPr>
                <w:spacing w:val="-2"/>
                <w:lang w:val="en-GB"/>
              </w:rPr>
              <w:t>+0</w:t>
            </w:r>
            <w:r w:rsidR="004A3FB7">
              <w:rPr>
                <w:spacing w:val="-2"/>
                <w:lang w:val="en-GB"/>
              </w:rPr>
              <w:t>.</w:t>
            </w:r>
            <w:r w:rsidR="009505E4">
              <w:rPr>
                <w:spacing w:val="-2"/>
                <w:lang w:val="en-GB"/>
              </w:rPr>
              <w:t>8</w:t>
            </w:r>
            <w:r w:rsidR="00960769" w:rsidRPr="004A3FB7">
              <w:rPr>
                <w:spacing w:val="-2"/>
                <w:lang w:val="en-GB"/>
              </w:rPr>
              <w:t xml:space="preserve">% </w:t>
            </w:r>
            <w:r w:rsidR="004A3FB7">
              <w:rPr>
                <w:spacing w:val="-2"/>
                <w:lang w:val="en-GB"/>
              </w:rPr>
              <w:t xml:space="preserve">to </w:t>
            </w:r>
            <w:r w:rsidR="00960769" w:rsidRPr="004A3FB7">
              <w:rPr>
                <w:spacing w:val="-2"/>
                <w:lang w:val="en-GB"/>
              </w:rPr>
              <w:t>+2</w:t>
            </w:r>
            <w:r w:rsidR="004A3FB7">
              <w:rPr>
                <w:spacing w:val="-2"/>
                <w:lang w:val="en-GB"/>
              </w:rPr>
              <w:t>.</w:t>
            </w:r>
            <w:r w:rsidR="009505E4">
              <w:rPr>
                <w:spacing w:val="-2"/>
                <w:lang w:val="en-GB"/>
              </w:rPr>
              <w:t>9</w:t>
            </w:r>
            <w:r w:rsidR="00960769" w:rsidRPr="004A3FB7">
              <w:rPr>
                <w:spacing w:val="-2"/>
                <w:lang w:val="en-GB"/>
              </w:rPr>
              <w:t>%).</w:t>
            </w:r>
            <w:r w:rsidR="00960769" w:rsidRPr="004A3FB7">
              <w:rPr>
                <w:lang w:val="en-GB"/>
              </w:rPr>
              <w:t xml:space="preserve"> </w:t>
            </w:r>
            <w:r w:rsidR="004A3FB7">
              <w:rPr>
                <w:lang w:val="en-GB"/>
              </w:rPr>
              <w:t xml:space="preserve">Demand for services, which was weaker in </w:t>
            </w:r>
            <w:r w:rsidR="00960769" w:rsidRPr="004A3FB7">
              <w:rPr>
                <w:lang w:val="en-GB"/>
              </w:rPr>
              <w:t>2014</w:t>
            </w:r>
            <w:r w:rsidR="004A3FB7">
              <w:rPr>
                <w:lang w:val="en-GB"/>
              </w:rPr>
              <w:t xml:space="preserve"> </w:t>
            </w:r>
            <w:r w:rsidR="00960769" w:rsidRPr="004A3FB7">
              <w:rPr>
                <w:lang w:val="en-GB"/>
              </w:rPr>
              <w:t>(-0</w:t>
            </w:r>
            <w:r w:rsidR="004A3FB7">
              <w:rPr>
                <w:lang w:val="en-GB"/>
              </w:rPr>
              <w:t>.</w:t>
            </w:r>
            <w:r w:rsidR="009505E4">
              <w:rPr>
                <w:lang w:val="en-GB"/>
              </w:rPr>
              <w:t>5</w:t>
            </w:r>
            <w:r w:rsidR="00960769" w:rsidRPr="004A3FB7">
              <w:rPr>
                <w:lang w:val="en-GB"/>
              </w:rPr>
              <w:t>%)</w:t>
            </w:r>
            <w:r w:rsidR="00C735E6">
              <w:rPr>
                <w:lang w:val="en-GB"/>
              </w:rPr>
              <w:t>,</w:t>
            </w:r>
            <w:r w:rsidR="004A3FB7">
              <w:rPr>
                <w:lang w:val="en-GB"/>
              </w:rPr>
              <w:t xml:space="preserve"> already recovered </w:t>
            </w:r>
            <w:r w:rsidR="00960769" w:rsidRPr="004A3FB7">
              <w:rPr>
                <w:lang w:val="en-GB"/>
              </w:rPr>
              <w:t>(+1</w:t>
            </w:r>
            <w:r w:rsidR="004A3FB7">
              <w:rPr>
                <w:lang w:val="en-GB"/>
              </w:rPr>
              <w:t>.</w:t>
            </w:r>
            <w:r w:rsidR="009505E4">
              <w:rPr>
                <w:lang w:val="en-GB"/>
              </w:rPr>
              <w:t>4</w:t>
            </w:r>
            <w:r w:rsidR="00960769" w:rsidRPr="004A3FB7">
              <w:rPr>
                <w:lang w:val="en-GB"/>
              </w:rPr>
              <w:t>%).</w:t>
            </w:r>
          </w:p>
          <w:p w:rsidR="00960769" w:rsidRPr="004A3FB7" w:rsidRDefault="00960769" w:rsidP="00960769">
            <w:pPr>
              <w:pStyle w:val="Textpoznpodarou"/>
              <w:jc w:val="both"/>
              <w:rPr>
                <w:sz w:val="18"/>
                <w:szCs w:val="18"/>
                <w:lang w:val="en-GB"/>
              </w:rPr>
            </w:pPr>
          </w:p>
        </w:tc>
      </w:tr>
      <w:tr w:rsidR="00960769" w:rsidRPr="002A7D6D" w:rsidTr="00960769">
        <w:tc>
          <w:tcPr>
            <w:tcW w:w="1054" w:type="pct"/>
          </w:tcPr>
          <w:p w:rsidR="00960769" w:rsidRPr="00240355" w:rsidRDefault="00240355" w:rsidP="00C735E6">
            <w:pPr>
              <w:spacing w:line="240" w:lineRule="auto"/>
              <w:rPr>
                <w:sz w:val="16"/>
                <w:szCs w:val="16"/>
                <w:lang w:val="en-GB"/>
              </w:rPr>
            </w:pPr>
            <w:r w:rsidRPr="00240355">
              <w:rPr>
                <w:sz w:val="16"/>
                <w:szCs w:val="16"/>
                <w:lang w:val="en-GB"/>
              </w:rPr>
              <w:t xml:space="preserve">The growth of the dynamics of the final consumption expenditure of government </w:t>
            </w:r>
            <w:r w:rsidR="00C735E6" w:rsidRPr="00240355">
              <w:rPr>
                <w:sz w:val="16"/>
                <w:szCs w:val="16"/>
                <w:lang w:val="en-GB"/>
              </w:rPr>
              <w:t>in Q3</w:t>
            </w:r>
            <w:r w:rsidR="00C735E6">
              <w:rPr>
                <w:sz w:val="16"/>
                <w:szCs w:val="16"/>
                <w:lang w:val="en-GB"/>
              </w:rPr>
              <w:t xml:space="preserve"> </w:t>
            </w:r>
            <w:r w:rsidRPr="00240355">
              <w:rPr>
                <w:sz w:val="16"/>
                <w:szCs w:val="16"/>
                <w:lang w:val="en-GB"/>
              </w:rPr>
              <w:t>was the result of extensive infrastructure repairs and</w:t>
            </w:r>
            <w:r w:rsidR="00C735E6">
              <w:rPr>
                <w:sz w:val="16"/>
                <w:szCs w:val="16"/>
                <w:lang w:val="en-GB"/>
              </w:rPr>
              <w:t> </w:t>
            </w:r>
            <w:r w:rsidRPr="00240355">
              <w:rPr>
                <w:sz w:val="16"/>
                <w:szCs w:val="16"/>
                <w:lang w:val="en-GB"/>
              </w:rPr>
              <w:t>maintenance</w:t>
            </w:r>
          </w:p>
        </w:tc>
        <w:tc>
          <w:tcPr>
            <w:tcW w:w="143" w:type="pct"/>
          </w:tcPr>
          <w:p w:rsidR="00960769" w:rsidRPr="00110513" w:rsidRDefault="00960769" w:rsidP="00960769">
            <w:pPr>
              <w:pStyle w:val="Textpoznpodarou"/>
              <w:jc w:val="both"/>
            </w:pPr>
          </w:p>
        </w:tc>
        <w:tc>
          <w:tcPr>
            <w:tcW w:w="3803" w:type="pct"/>
          </w:tcPr>
          <w:p w:rsidR="00960769" w:rsidRPr="00F57DB4" w:rsidRDefault="00960769" w:rsidP="00960769">
            <w:pPr>
              <w:pStyle w:val="Textpoznpodarou"/>
              <w:jc w:val="both"/>
              <w:rPr>
                <w:lang w:val="en-GB"/>
              </w:rPr>
            </w:pPr>
            <w:r w:rsidRPr="00F57DB4">
              <w:rPr>
                <w:lang w:val="en-GB"/>
              </w:rPr>
              <w:t>Expan</w:t>
            </w:r>
            <w:r w:rsidR="00240355" w:rsidRPr="00F57DB4">
              <w:rPr>
                <w:lang w:val="en-GB"/>
              </w:rPr>
              <w:t>sive fiscal policy was</w:t>
            </w:r>
            <w:r w:rsidR="00C735E6">
              <w:rPr>
                <w:lang w:val="en-GB"/>
              </w:rPr>
              <w:t xml:space="preserve"> mirrored in the large addition</w:t>
            </w:r>
            <w:r w:rsidR="00240355" w:rsidRPr="00F57DB4">
              <w:rPr>
                <w:lang w:val="en-GB"/>
              </w:rPr>
              <w:t xml:space="preserve"> of final consumption</w:t>
            </w:r>
            <w:r w:rsidR="00C735E6">
              <w:rPr>
                <w:lang w:val="en-GB"/>
              </w:rPr>
              <w:t xml:space="preserve"> expenditure</w:t>
            </w:r>
            <w:r w:rsidR="00240355" w:rsidRPr="00F57DB4">
              <w:rPr>
                <w:lang w:val="en-GB"/>
              </w:rPr>
              <w:t xml:space="preserve"> of government </w:t>
            </w:r>
            <w:r w:rsidRPr="00F57DB4">
              <w:rPr>
                <w:lang w:val="en-GB"/>
              </w:rPr>
              <w:t>(+3</w:t>
            </w:r>
            <w:r w:rsidR="00240355" w:rsidRPr="00F57DB4">
              <w:rPr>
                <w:lang w:val="en-GB"/>
              </w:rPr>
              <w:t>.</w:t>
            </w:r>
            <w:r w:rsidR="009505E4">
              <w:rPr>
                <w:lang w:val="en-GB"/>
              </w:rPr>
              <w:t>4</w:t>
            </w:r>
            <w:r w:rsidR="00C735E6">
              <w:rPr>
                <w:lang w:val="en-GB"/>
              </w:rPr>
              <w:t>%).</w:t>
            </w:r>
            <w:r w:rsidRPr="00F57DB4">
              <w:rPr>
                <w:lang w:val="en-GB"/>
              </w:rPr>
              <w:t xml:space="preserve"> </w:t>
            </w:r>
            <w:r w:rsidR="00C735E6">
              <w:rPr>
                <w:lang w:val="en-GB"/>
              </w:rPr>
              <w:t>I</w:t>
            </w:r>
            <w:r w:rsidR="00C735E6" w:rsidRPr="00F57DB4">
              <w:rPr>
                <w:lang w:val="en-GB"/>
              </w:rPr>
              <w:t>n Q3 itself</w:t>
            </w:r>
            <w:r w:rsidR="00C735E6">
              <w:rPr>
                <w:lang w:val="en-GB"/>
              </w:rPr>
              <w:t>,</w:t>
            </w:r>
            <w:r w:rsidR="00C735E6" w:rsidRPr="00F57DB4">
              <w:rPr>
                <w:lang w:val="en-GB"/>
              </w:rPr>
              <w:t xml:space="preserve"> </w:t>
            </w:r>
            <w:r w:rsidR="00C735E6">
              <w:rPr>
                <w:lang w:val="en-GB"/>
              </w:rPr>
              <w:t>the</w:t>
            </w:r>
            <w:r w:rsidR="00240355" w:rsidRPr="00F57DB4">
              <w:rPr>
                <w:lang w:val="en-GB"/>
              </w:rPr>
              <w:t>s</w:t>
            </w:r>
            <w:r w:rsidR="00C735E6">
              <w:rPr>
                <w:lang w:val="en-GB"/>
              </w:rPr>
              <w:t>e</w:t>
            </w:r>
            <w:r w:rsidR="00240355" w:rsidRPr="00F57DB4">
              <w:rPr>
                <w:lang w:val="en-GB"/>
              </w:rPr>
              <w:t xml:space="preserve"> ex</w:t>
            </w:r>
            <w:r w:rsidR="009505E4">
              <w:rPr>
                <w:lang w:val="en-GB"/>
              </w:rPr>
              <w:t>penditure increased even by 4.7</w:t>
            </w:r>
            <w:r w:rsidR="00240355" w:rsidRPr="00F57DB4">
              <w:rPr>
                <w:lang w:val="en-GB"/>
              </w:rPr>
              <w:t>% year-o</w:t>
            </w:r>
            <w:r w:rsidR="009505E4">
              <w:rPr>
                <w:lang w:val="en-GB"/>
              </w:rPr>
              <w:t>n</w:t>
            </w:r>
            <w:r w:rsidR="00240355" w:rsidRPr="00F57DB4">
              <w:rPr>
                <w:lang w:val="en-GB"/>
              </w:rPr>
              <w:t>-year</w:t>
            </w:r>
            <w:r w:rsidRPr="00F57DB4">
              <w:rPr>
                <w:lang w:val="en-GB"/>
              </w:rPr>
              <w:t xml:space="preserve">. </w:t>
            </w:r>
            <w:r w:rsidR="00F57DB4" w:rsidRPr="00F57DB4">
              <w:rPr>
                <w:lang w:val="en-GB"/>
              </w:rPr>
              <w:t xml:space="preserve">Annual consumption volume exceeded the level from year </w:t>
            </w:r>
            <w:r w:rsidRPr="00F57DB4">
              <w:rPr>
                <w:lang w:val="en-GB"/>
              </w:rPr>
              <w:t>2010 (</w:t>
            </w:r>
            <w:r w:rsidR="00F57DB4" w:rsidRPr="00F57DB4">
              <w:rPr>
                <w:lang w:val="en-GB"/>
              </w:rPr>
              <w:t>by</w:t>
            </w:r>
            <w:r w:rsidRPr="00F57DB4">
              <w:rPr>
                <w:lang w:val="en-GB"/>
              </w:rPr>
              <w:t xml:space="preserve"> 2</w:t>
            </w:r>
            <w:r w:rsidR="00F57DB4" w:rsidRPr="00F57DB4">
              <w:rPr>
                <w:lang w:val="en-GB"/>
              </w:rPr>
              <w:t>.</w:t>
            </w:r>
            <w:r w:rsidR="009505E4">
              <w:rPr>
                <w:lang w:val="en-GB"/>
              </w:rPr>
              <w:t>7</w:t>
            </w:r>
            <w:r w:rsidRPr="00F57DB4">
              <w:rPr>
                <w:lang w:val="en-GB"/>
              </w:rPr>
              <w:t>%)</w:t>
            </w:r>
            <w:r w:rsidR="00F57DB4" w:rsidRPr="00F57DB4">
              <w:rPr>
                <w:lang w:val="en-GB"/>
              </w:rPr>
              <w:t xml:space="preserve"> for the first time</w:t>
            </w:r>
            <w:r w:rsidRPr="00F57DB4">
              <w:rPr>
                <w:lang w:val="en-GB"/>
              </w:rPr>
              <w:t xml:space="preserve">. </w:t>
            </w:r>
            <w:r w:rsidR="00F57DB4">
              <w:rPr>
                <w:lang w:val="en-GB"/>
              </w:rPr>
              <w:t>Data for the first nine months show that the expenditure on individual consumption grew faster than those on collective consumption in Q</w:t>
            </w:r>
            <w:r w:rsidRPr="00F57DB4">
              <w:rPr>
                <w:lang w:val="en-GB"/>
              </w:rPr>
              <w:t>1</w:t>
            </w:r>
            <w:r w:rsidR="00F57DB4">
              <w:rPr>
                <w:lang w:val="en-GB"/>
              </w:rPr>
              <w:t xml:space="preserve"> and Q</w:t>
            </w:r>
            <w:r w:rsidRPr="00F57DB4">
              <w:rPr>
                <w:lang w:val="en-GB"/>
              </w:rPr>
              <w:t>2</w:t>
            </w:r>
            <w:r w:rsidR="00F57DB4">
              <w:rPr>
                <w:lang w:val="en-GB"/>
              </w:rPr>
              <w:t>. The relation turned in Q</w:t>
            </w:r>
            <w:r w:rsidRPr="00F57DB4">
              <w:rPr>
                <w:lang w:val="en-GB"/>
              </w:rPr>
              <w:t>3</w:t>
            </w:r>
            <w:r w:rsidR="00F57DB4">
              <w:rPr>
                <w:lang w:val="en-GB"/>
              </w:rPr>
              <w:t xml:space="preserve"> </w:t>
            </w:r>
            <w:r w:rsidRPr="00F57DB4">
              <w:rPr>
                <w:lang w:val="en-GB"/>
              </w:rPr>
              <w:t>a</w:t>
            </w:r>
            <w:r w:rsidR="00F57DB4">
              <w:rPr>
                <w:lang w:val="en-GB"/>
              </w:rPr>
              <w:t xml:space="preserve">nd the dynamics of expenditure on collective consumption </w:t>
            </w:r>
            <w:r w:rsidRPr="00F57DB4">
              <w:rPr>
                <w:lang w:val="en-GB"/>
              </w:rPr>
              <w:t xml:space="preserve">– </w:t>
            </w:r>
            <w:r w:rsidR="00F57DB4">
              <w:rPr>
                <w:lang w:val="en-GB"/>
              </w:rPr>
              <w:t xml:space="preserve">with the view to the extensive transport infrastructure repairs and maintenance </w:t>
            </w:r>
            <w:r w:rsidRPr="00F57DB4">
              <w:rPr>
                <w:lang w:val="en-GB"/>
              </w:rPr>
              <w:t xml:space="preserve">– </w:t>
            </w:r>
            <w:r w:rsidR="00F57DB4">
              <w:rPr>
                <w:lang w:val="en-GB"/>
              </w:rPr>
              <w:t xml:space="preserve">dominated. </w:t>
            </w:r>
          </w:p>
          <w:p w:rsidR="00960769" w:rsidRPr="00110513" w:rsidRDefault="00960769" w:rsidP="00960769">
            <w:pPr>
              <w:pStyle w:val="Textpoznpodarou"/>
              <w:jc w:val="both"/>
              <w:rPr>
                <w:sz w:val="18"/>
                <w:szCs w:val="18"/>
              </w:rPr>
            </w:pPr>
          </w:p>
        </w:tc>
      </w:tr>
      <w:tr w:rsidR="00960769" w:rsidRPr="002A7D6D" w:rsidTr="00960769">
        <w:tc>
          <w:tcPr>
            <w:tcW w:w="1054" w:type="pct"/>
          </w:tcPr>
          <w:p w:rsidR="00960769" w:rsidRPr="00881F72" w:rsidRDefault="00881F72" w:rsidP="00881F72">
            <w:pPr>
              <w:spacing w:line="240" w:lineRule="auto"/>
              <w:rPr>
                <w:sz w:val="16"/>
                <w:szCs w:val="16"/>
                <w:lang w:val="en-GB"/>
              </w:rPr>
            </w:pPr>
            <w:r w:rsidRPr="00881F72">
              <w:rPr>
                <w:sz w:val="16"/>
                <w:szCs w:val="16"/>
                <w:lang w:val="en-GB"/>
              </w:rPr>
              <w:t xml:space="preserve">Nine quarters lasting quarter-on-quarter growth of investment already halted at the end of the last year </w:t>
            </w:r>
          </w:p>
        </w:tc>
        <w:tc>
          <w:tcPr>
            <w:tcW w:w="143" w:type="pct"/>
          </w:tcPr>
          <w:p w:rsidR="00960769" w:rsidRPr="00110513" w:rsidRDefault="00960769" w:rsidP="00960769">
            <w:pPr>
              <w:pStyle w:val="Textpoznpodarou"/>
              <w:jc w:val="both"/>
            </w:pPr>
          </w:p>
        </w:tc>
        <w:tc>
          <w:tcPr>
            <w:tcW w:w="3803" w:type="pct"/>
          </w:tcPr>
          <w:p w:rsidR="00960769" w:rsidRPr="00342932" w:rsidRDefault="00342932" w:rsidP="00960769">
            <w:pPr>
              <w:pStyle w:val="Textpoznpodarou"/>
              <w:jc w:val="both"/>
              <w:rPr>
                <w:lang w:val="en-GB"/>
              </w:rPr>
            </w:pPr>
            <w:r w:rsidRPr="00342932">
              <w:rPr>
                <w:lang w:val="en-GB"/>
              </w:rPr>
              <w:t xml:space="preserve">Investment was the main source of growth of the Czech economy in the last year. </w:t>
            </w:r>
            <w:r w:rsidR="00934CE8">
              <w:rPr>
                <w:lang w:val="en-GB"/>
              </w:rPr>
              <w:t xml:space="preserve">Its </w:t>
            </w:r>
            <w:r w:rsidRPr="00342932">
              <w:rPr>
                <w:lang w:val="en-GB"/>
              </w:rPr>
              <w:t>dynamics was growing till Q</w:t>
            </w:r>
            <w:r w:rsidR="00960769" w:rsidRPr="00342932">
              <w:rPr>
                <w:lang w:val="en-GB"/>
              </w:rPr>
              <w:t>3</w:t>
            </w:r>
            <w:r w:rsidRPr="00342932">
              <w:rPr>
                <w:lang w:val="en-GB"/>
              </w:rPr>
              <w:t xml:space="preserve">, when it reached </w:t>
            </w:r>
            <w:r w:rsidR="00960769" w:rsidRPr="00342932">
              <w:rPr>
                <w:lang w:val="en-GB"/>
              </w:rPr>
              <w:t>+9</w:t>
            </w:r>
            <w:r w:rsidRPr="00342932">
              <w:rPr>
                <w:lang w:val="en-GB"/>
              </w:rPr>
              <w:t>.</w:t>
            </w:r>
            <w:r w:rsidR="00A32462">
              <w:rPr>
                <w:lang w:val="en-GB"/>
              </w:rPr>
              <w:t>6</w:t>
            </w:r>
            <w:r w:rsidR="00960769" w:rsidRPr="00342932">
              <w:rPr>
                <w:lang w:val="en-GB"/>
              </w:rPr>
              <w:t xml:space="preserve">% </w:t>
            </w:r>
            <w:r w:rsidRPr="00342932">
              <w:rPr>
                <w:lang w:val="en-GB"/>
              </w:rPr>
              <w:t xml:space="preserve">year-on-year and it was the highest since the end of </w:t>
            </w:r>
            <w:r w:rsidR="00960769" w:rsidRPr="00342932">
              <w:rPr>
                <w:lang w:val="en-GB"/>
              </w:rPr>
              <w:t xml:space="preserve">2007. </w:t>
            </w:r>
            <w:r w:rsidRPr="00342932">
              <w:rPr>
                <w:lang w:val="en-GB"/>
              </w:rPr>
              <w:t>Investment increased by</w:t>
            </w:r>
            <w:r w:rsidR="00960769" w:rsidRPr="00342932">
              <w:rPr>
                <w:lang w:val="en-GB"/>
              </w:rPr>
              <w:t> 7</w:t>
            </w:r>
            <w:r w:rsidRPr="00342932">
              <w:rPr>
                <w:lang w:val="en-GB"/>
              </w:rPr>
              <w:t>.</w:t>
            </w:r>
            <w:r w:rsidR="00A32462">
              <w:rPr>
                <w:lang w:val="en-GB"/>
              </w:rPr>
              <w:t>5</w:t>
            </w:r>
            <w:r w:rsidR="00960769" w:rsidRPr="00342932">
              <w:rPr>
                <w:lang w:val="en-GB"/>
              </w:rPr>
              <w:t>%</w:t>
            </w:r>
            <w:r w:rsidRPr="00342932">
              <w:rPr>
                <w:lang w:val="en-GB"/>
              </w:rPr>
              <w:t xml:space="preserve"> in total for the whole last year and it was connected to a higher investment activity of non-financial </w:t>
            </w:r>
            <w:r w:rsidR="006F7709">
              <w:rPr>
                <w:lang w:val="en-GB"/>
              </w:rPr>
              <w:t>corporations</w:t>
            </w:r>
            <w:r w:rsidR="00960769" w:rsidRPr="00342932">
              <w:rPr>
                <w:lang w:val="en-GB"/>
              </w:rPr>
              <w:t xml:space="preserve">, </w:t>
            </w:r>
            <w:r w:rsidR="00180D04">
              <w:rPr>
                <w:lang w:val="en-GB"/>
              </w:rPr>
              <w:t>government as well as households</w:t>
            </w:r>
            <w:r w:rsidR="00960769" w:rsidRPr="00342932">
              <w:rPr>
                <w:spacing w:val="-4"/>
                <w:lang w:val="en-GB"/>
              </w:rPr>
              <w:t xml:space="preserve">. </w:t>
            </w:r>
            <w:r w:rsidR="00180D04">
              <w:rPr>
                <w:spacing w:val="-4"/>
                <w:lang w:val="en-GB"/>
              </w:rPr>
              <w:t xml:space="preserve">The dynamics already mildly weakened </w:t>
            </w:r>
            <w:r w:rsidR="00960769" w:rsidRPr="00342932">
              <w:rPr>
                <w:spacing w:val="-4"/>
                <w:lang w:val="en-GB"/>
              </w:rPr>
              <w:t>(</w:t>
            </w:r>
            <w:r w:rsidR="00180D04">
              <w:rPr>
                <w:spacing w:val="-4"/>
                <w:lang w:val="en-GB"/>
              </w:rPr>
              <w:t xml:space="preserve">to </w:t>
            </w:r>
            <w:r w:rsidR="00960769" w:rsidRPr="00342932">
              <w:rPr>
                <w:spacing w:val="-4"/>
                <w:lang w:val="en-GB"/>
              </w:rPr>
              <w:t>+7</w:t>
            </w:r>
            <w:r w:rsidR="00180D04">
              <w:rPr>
                <w:spacing w:val="-4"/>
                <w:lang w:val="en-GB"/>
              </w:rPr>
              <w:t>.</w:t>
            </w:r>
            <w:r w:rsidR="00A32462">
              <w:rPr>
                <w:lang w:val="en-GB"/>
              </w:rPr>
              <w:t>9</w:t>
            </w:r>
            <w:r w:rsidR="00960769" w:rsidRPr="00342932">
              <w:rPr>
                <w:lang w:val="en-GB"/>
              </w:rPr>
              <w:t>%)</w:t>
            </w:r>
            <w:r w:rsidR="00180D04">
              <w:rPr>
                <w:lang w:val="en-GB"/>
              </w:rPr>
              <w:t xml:space="preserve"> in the last quarter year-on-year</w:t>
            </w:r>
            <w:r w:rsidR="00960769" w:rsidRPr="00342932">
              <w:rPr>
                <w:lang w:val="en-GB"/>
              </w:rPr>
              <w:t xml:space="preserve">, </w:t>
            </w:r>
            <w:r w:rsidR="00180D04">
              <w:rPr>
                <w:lang w:val="en-GB"/>
              </w:rPr>
              <w:t xml:space="preserve">investment even decreased quarter-on-quarter </w:t>
            </w:r>
            <w:r w:rsidR="00960769" w:rsidRPr="00342932">
              <w:rPr>
                <w:lang w:val="en-GB"/>
              </w:rPr>
              <w:t>(-0</w:t>
            </w:r>
            <w:r w:rsidR="00180D04">
              <w:rPr>
                <w:lang w:val="en-GB"/>
              </w:rPr>
              <w:t>.</w:t>
            </w:r>
            <w:r w:rsidR="00A32462">
              <w:rPr>
                <w:lang w:val="en-GB"/>
              </w:rPr>
              <w:t>9</w:t>
            </w:r>
            <w:r w:rsidR="00960769" w:rsidRPr="00342932">
              <w:rPr>
                <w:lang w:val="en-GB"/>
              </w:rPr>
              <w:t>%).</w:t>
            </w:r>
          </w:p>
          <w:p w:rsidR="00960769" w:rsidRPr="00110513" w:rsidRDefault="00960769" w:rsidP="00960769">
            <w:pPr>
              <w:pStyle w:val="Textpoznpodarou"/>
              <w:jc w:val="both"/>
              <w:rPr>
                <w:sz w:val="18"/>
                <w:szCs w:val="18"/>
              </w:rPr>
            </w:pPr>
          </w:p>
        </w:tc>
      </w:tr>
      <w:tr w:rsidR="00960769" w:rsidRPr="002A7D6D" w:rsidTr="00960769">
        <w:trPr>
          <w:trHeight w:val="2085"/>
        </w:trPr>
        <w:tc>
          <w:tcPr>
            <w:tcW w:w="1054" w:type="pct"/>
          </w:tcPr>
          <w:p w:rsidR="00960769" w:rsidRPr="00F75EA2" w:rsidRDefault="00F75EA2" w:rsidP="001F726C">
            <w:pPr>
              <w:spacing w:line="240" w:lineRule="auto"/>
              <w:rPr>
                <w:sz w:val="16"/>
                <w:szCs w:val="16"/>
                <w:lang w:val="en-GB"/>
              </w:rPr>
            </w:pPr>
            <w:r w:rsidRPr="00F75EA2">
              <w:rPr>
                <w:sz w:val="16"/>
                <w:szCs w:val="16"/>
                <w:lang w:val="en-GB"/>
              </w:rPr>
              <w:t>Investment into buildings and structure</w:t>
            </w:r>
            <w:r w:rsidR="001F726C">
              <w:rPr>
                <w:sz w:val="16"/>
                <w:szCs w:val="16"/>
                <w:lang w:val="en-GB"/>
              </w:rPr>
              <w:t>s</w:t>
            </w:r>
            <w:r w:rsidRPr="00F75EA2">
              <w:rPr>
                <w:sz w:val="16"/>
                <w:szCs w:val="16"/>
                <w:lang w:val="en-GB"/>
              </w:rPr>
              <w:t xml:space="preserve"> increased by nearly one tenth in the last year.</w:t>
            </w:r>
            <w:r w:rsidR="00960769" w:rsidRPr="00F75EA2">
              <w:rPr>
                <w:sz w:val="16"/>
                <w:szCs w:val="16"/>
                <w:lang w:val="en-GB"/>
              </w:rPr>
              <w:t xml:space="preserve"> </w:t>
            </w:r>
            <w:r w:rsidRPr="00F75EA2">
              <w:rPr>
                <w:sz w:val="16"/>
                <w:szCs w:val="16"/>
                <w:lang w:val="en-GB"/>
              </w:rPr>
              <w:t xml:space="preserve">They grew faster last time in </w:t>
            </w:r>
            <w:r w:rsidR="00960769" w:rsidRPr="00F75EA2">
              <w:rPr>
                <w:sz w:val="16"/>
                <w:szCs w:val="16"/>
                <w:lang w:val="en-GB"/>
              </w:rPr>
              <w:t>1995</w:t>
            </w:r>
          </w:p>
        </w:tc>
        <w:tc>
          <w:tcPr>
            <w:tcW w:w="143" w:type="pct"/>
          </w:tcPr>
          <w:p w:rsidR="00960769" w:rsidRPr="00110513" w:rsidRDefault="00960769" w:rsidP="00960769">
            <w:pPr>
              <w:pStyle w:val="Textpoznpodarou"/>
              <w:jc w:val="both"/>
            </w:pPr>
          </w:p>
        </w:tc>
        <w:tc>
          <w:tcPr>
            <w:tcW w:w="3803" w:type="pct"/>
          </w:tcPr>
          <w:p w:rsidR="00960769" w:rsidRPr="008211C3" w:rsidRDefault="00B12B11" w:rsidP="006F7709">
            <w:pPr>
              <w:pStyle w:val="Textpoznpodarou"/>
              <w:jc w:val="both"/>
              <w:rPr>
                <w:spacing w:val="-4"/>
                <w:sz w:val="18"/>
                <w:szCs w:val="18"/>
              </w:rPr>
            </w:pPr>
            <w:r w:rsidRPr="008211C3">
              <w:rPr>
                <w:spacing w:val="-4"/>
                <w:lang w:val="en-GB"/>
              </w:rPr>
              <w:t>Based on the type classification of gross fixed capital formation</w:t>
            </w:r>
            <w:r w:rsidRPr="008211C3">
              <w:rPr>
                <w:rStyle w:val="Znakapoznpodarou"/>
                <w:spacing w:val="-4"/>
                <w:lang w:val="en-GB"/>
              </w:rPr>
              <w:footnoteReference w:id="6"/>
            </w:r>
            <w:r w:rsidRPr="008211C3">
              <w:rPr>
                <w:spacing w:val="-4"/>
                <w:lang w:val="en-GB"/>
              </w:rPr>
              <w:t>, mo</w:t>
            </w:r>
            <w:r w:rsidR="006F7709">
              <w:rPr>
                <w:spacing w:val="-4"/>
                <w:lang w:val="en-GB"/>
              </w:rPr>
              <w:t>stly the purchases of transport</w:t>
            </w:r>
            <w:r w:rsidRPr="008211C3">
              <w:rPr>
                <w:spacing w:val="-4"/>
                <w:lang w:val="en-GB"/>
              </w:rPr>
              <w:t xml:space="preserve"> equipment </w:t>
            </w:r>
            <w:r w:rsidR="00960769" w:rsidRPr="008211C3">
              <w:rPr>
                <w:spacing w:val="-4"/>
                <w:lang w:val="en-GB"/>
              </w:rPr>
              <w:t>(+14</w:t>
            </w:r>
            <w:r w:rsidRPr="008211C3">
              <w:rPr>
                <w:spacing w:val="-4"/>
                <w:lang w:val="en-GB"/>
              </w:rPr>
              <w:t>.</w:t>
            </w:r>
            <w:r w:rsidR="00A32462" w:rsidRPr="008211C3">
              <w:rPr>
                <w:spacing w:val="-4"/>
                <w:lang w:val="en-GB"/>
              </w:rPr>
              <w:t>9</w:t>
            </w:r>
            <w:r w:rsidR="00960769" w:rsidRPr="008211C3">
              <w:rPr>
                <w:spacing w:val="-4"/>
                <w:lang w:val="en-GB"/>
              </w:rPr>
              <w:t>%)</w:t>
            </w:r>
            <w:r w:rsidRPr="008211C3">
              <w:rPr>
                <w:spacing w:val="-4"/>
                <w:lang w:val="en-GB"/>
              </w:rPr>
              <w:t xml:space="preserve"> increased in 2015</w:t>
            </w:r>
            <w:r w:rsidR="00960769" w:rsidRPr="008211C3">
              <w:rPr>
                <w:spacing w:val="-4"/>
                <w:lang w:val="en-GB"/>
              </w:rPr>
              <w:t xml:space="preserve">, </w:t>
            </w:r>
            <w:r w:rsidRPr="008211C3">
              <w:rPr>
                <w:spacing w:val="-4"/>
                <w:lang w:val="en-GB"/>
              </w:rPr>
              <w:t xml:space="preserve">however also higher investment into </w:t>
            </w:r>
            <w:r w:rsidR="00960769" w:rsidRPr="008211C3">
              <w:rPr>
                <w:spacing w:val="-4"/>
                <w:lang w:val="en-GB"/>
              </w:rPr>
              <w:t xml:space="preserve">ICT, </w:t>
            </w:r>
            <w:r w:rsidRPr="008211C3">
              <w:rPr>
                <w:spacing w:val="-4"/>
                <w:lang w:val="en-GB"/>
              </w:rPr>
              <w:t xml:space="preserve">machinery and equipment </w:t>
            </w:r>
            <w:r w:rsidR="00960769" w:rsidRPr="008211C3">
              <w:rPr>
                <w:spacing w:val="-4"/>
                <w:lang w:val="en-GB"/>
              </w:rPr>
              <w:t>(+5</w:t>
            </w:r>
            <w:r w:rsidRPr="008211C3">
              <w:rPr>
                <w:spacing w:val="-4"/>
                <w:lang w:val="en-GB"/>
              </w:rPr>
              <w:t>.</w:t>
            </w:r>
            <w:r w:rsidR="00A32462" w:rsidRPr="008211C3">
              <w:rPr>
                <w:spacing w:val="-4"/>
                <w:lang w:val="en-GB"/>
              </w:rPr>
              <w:t>9</w:t>
            </w:r>
            <w:r w:rsidR="00960769" w:rsidRPr="008211C3">
              <w:rPr>
                <w:spacing w:val="-4"/>
                <w:lang w:val="en-GB"/>
              </w:rPr>
              <w:t>%) a</w:t>
            </w:r>
            <w:r w:rsidRPr="008211C3">
              <w:rPr>
                <w:spacing w:val="-4"/>
                <w:lang w:val="en-GB"/>
              </w:rPr>
              <w:t xml:space="preserve">nd two years not monitored growth of investment into the intellectual property products framed the growth of investment of non-financial </w:t>
            </w:r>
            <w:r w:rsidR="006F7709">
              <w:rPr>
                <w:spacing w:val="-4"/>
                <w:lang w:val="en-GB"/>
              </w:rPr>
              <w:t>corporations</w:t>
            </w:r>
            <w:r w:rsidRPr="008211C3">
              <w:rPr>
                <w:spacing w:val="-4"/>
                <w:lang w:val="en-GB"/>
              </w:rPr>
              <w:t>. Accelerated drawing of money from the EU funds</w:t>
            </w:r>
            <w:r w:rsidR="00960769" w:rsidRPr="008211C3">
              <w:rPr>
                <w:spacing w:val="-4"/>
                <w:lang w:val="en-GB"/>
              </w:rPr>
              <w:t xml:space="preserve"> </w:t>
            </w:r>
            <w:r w:rsidR="00C2054C" w:rsidRPr="008211C3">
              <w:rPr>
                <w:spacing w:val="-4"/>
                <w:lang w:val="en-GB"/>
              </w:rPr>
              <w:t>was very strongly reflected in investment into buildings and structure</w:t>
            </w:r>
            <w:r w:rsidR="001F726C" w:rsidRPr="008211C3">
              <w:rPr>
                <w:spacing w:val="-4"/>
                <w:lang w:val="en-GB"/>
              </w:rPr>
              <w:t>s</w:t>
            </w:r>
            <w:r w:rsidR="00C2054C" w:rsidRPr="008211C3">
              <w:rPr>
                <w:spacing w:val="-4"/>
                <w:lang w:val="en-GB"/>
              </w:rPr>
              <w:t xml:space="preserve"> </w:t>
            </w:r>
            <w:r w:rsidR="00960769" w:rsidRPr="008211C3">
              <w:rPr>
                <w:spacing w:val="-4"/>
                <w:lang w:val="en-GB"/>
              </w:rPr>
              <w:t>(+9</w:t>
            </w:r>
            <w:r w:rsidR="00C2054C" w:rsidRPr="008211C3">
              <w:rPr>
                <w:spacing w:val="-4"/>
                <w:lang w:val="en-GB"/>
              </w:rPr>
              <w:t>.</w:t>
            </w:r>
            <w:r w:rsidR="00A32462" w:rsidRPr="008211C3">
              <w:rPr>
                <w:spacing w:val="-4"/>
                <w:lang w:val="en-GB"/>
              </w:rPr>
              <w:t>2</w:t>
            </w:r>
            <w:r w:rsidR="00960769" w:rsidRPr="008211C3">
              <w:rPr>
                <w:spacing w:val="-4"/>
                <w:lang w:val="en-GB"/>
              </w:rPr>
              <w:t xml:space="preserve">%), </w:t>
            </w:r>
            <w:r w:rsidR="00C2054C" w:rsidRPr="008211C3">
              <w:rPr>
                <w:spacing w:val="-4"/>
                <w:lang w:val="en-GB"/>
              </w:rPr>
              <w:t xml:space="preserve">while </w:t>
            </w:r>
            <w:r w:rsidR="006F7709">
              <w:rPr>
                <w:spacing w:val="-4"/>
                <w:lang w:val="en-GB"/>
              </w:rPr>
              <w:t>its addition</w:t>
            </w:r>
            <w:r w:rsidR="00C2054C" w:rsidRPr="008211C3">
              <w:rPr>
                <w:spacing w:val="-4"/>
                <w:lang w:val="en-GB"/>
              </w:rPr>
              <w:t xml:space="preserve"> w</w:t>
            </w:r>
            <w:r w:rsidR="006F7709">
              <w:rPr>
                <w:spacing w:val="-4"/>
                <w:lang w:val="en-GB"/>
              </w:rPr>
              <w:t>as</w:t>
            </w:r>
            <w:r w:rsidR="00C2054C" w:rsidRPr="008211C3">
              <w:rPr>
                <w:spacing w:val="-4"/>
                <w:lang w:val="en-GB"/>
              </w:rPr>
              <w:t xml:space="preserve"> the highest – similarly to the final consumption expenditure of government – in Q3 </w:t>
            </w:r>
            <w:r w:rsidR="00960769" w:rsidRPr="008211C3">
              <w:rPr>
                <w:spacing w:val="-4"/>
                <w:lang w:val="en-GB"/>
              </w:rPr>
              <w:t>(+13</w:t>
            </w:r>
            <w:r w:rsidR="00C2054C" w:rsidRPr="008211C3">
              <w:rPr>
                <w:spacing w:val="-4"/>
                <w:lang w:val="en-GB"/>
              </w:rPr>
              <w:t>.</w:t>
            </w:r>
            <w:r w:rsidR="00A32462" w:rsidRPr="008211C3">
              <w:rPr>
                <w:spacing w:val="-4"/>
                <w:lang w:val="en-GB"/>
              </w:rPr>
              <w:t>6</w:t>
            </w:r>
            <w:r w:rsidR="00960769" w:rsidRPr="008211C3">
              <w:rPr>
                <w:spacing w:val="-4"/>
                <w:lang w:val="en-GB"/>
              </w:rPr>
              <w:t xml:space="preserve">% </w:t>
            </w:r>
            <w:r w:rsidR="00C2054C" w:rsidRPr="008211C3">
              <w:rPr>
                <w:spacing w:val="-4"/>
                <w:lang w:val="en-GB"/>
              </w:rPr>
              <w:t>year-on-year</w:t>
            </w:r>
            <w:r w:rsidR="00960769" w:rsidRPr="008211C3">
              <w:rPr>
                <w:spacing w:val="-4"/>
                <w:lang w:val="en-GB"/>
              </w:rPr>
              <w:t xml:space="preserve">). </w:t>
            </w:r>
            <w:r w:rsidR="00C2054C" w:rsidRPr="008211C3">
              <w:rPr>
                <w:spacing w:val="-4"/>
                <w:lang w:val="en-GB"/>
              </w:rPr>
              <w:t xml:space="preserve">Households were also very active in the last year and the low interest rates on </w:t>
            </w:r>
            <w:r w:rsidR="006F7709">
              <w:rPr>
                <w:spacing w:val="-4"/>
                <w:lang w:val="en-GB"/>
              </w:rPr>
              <w:t>loans for house purchase</w:t>
            </w:r>
            <w:r w:rsidR="00C2054C" w:rsidRPr="008211C3">
              <w:rPr>
                <w:spacing w:val="-4"/>
                <w:lang w:val="en-GB"/>
              </w:rPr>
              <w:t xml:space="preserve"> assisted this </w:t>
            </w:r>
            <w:r w:rsidR="00A32462" w:rsidRPr="008211C3">
              <w:rPr>
                <w:spacing w:val="-4"/>
                <w:lang w:val="en-GB"/>
              </w:rPr>
              <w:t xml:space="preserve">development </w:t>
            </w:r>
            <w:r w:rsidR="00F33263" w:rsidRPr="008211C3">
              <w:rPr>
                <w:spacing w:val="-4"/>
                <w:lang w:val="en-GB"/>
              </w:rPr>
              <w:t>–</w:t>
            </w:r>
            <w:r w:rsidR="00C2054C" w:rsidRPr="008211C3">
              <w:rPr>
                <w:spacing w:val="-4"/>
                <w:lang w:val="en-GB"/>
              </w:rPr>
              <w:t xml:space="preserve"> investment into buildings for housing grew by </w:t>
            </w:r>
            <w:r w:rsidR="00A32462" w:rsidRPr="008211C3">
              <w:rPr>
                <w:spacing w:val="-4"/>
                <w:lang w:val="en-GB"/>
              </w:rPr>
              <w:t>7</w:t>
            </w:r>
            <w:r w:rsidR="00960769" w:rsidRPr="008211C3">
              <w:rPr>
                <w:spacing w:val="-4"/>
                <w:lang w:val="en-GB"/>
              </w:rPr>
              <w:t>%.</w:t>
            </w:r>
          </w:p>
        </w:tc>
      </w:tr>
      <w:tr w:rsidR="00960769" w:rsidRPr="002A7D6D" w:rsidTr="00960769">
        <w:tc>
          <w:tcPr>
            <w:tcW w:w="1054" w:type="pct"/>
          </w:tcPr>
          <w:p w:rsidR="00960769" w:rsidRPr="0024481A" w:rsidRDefault="00C2054C" w:rsidP="00EB6FA2">
            <w:pPr>
              <w:spacing w:line="240" w:lineRule="auto"/>
              <w:rPr>
                <w:sz w:val="16"/>
                <w:szCs w:val="16"/>
                <w:lang w:val="en-GB"/>
              </w:rPr>
            </w:pPr>
            <w:r w:rsidRPr="0024481A">
              <w:rPr>
                <w:sz w:val="16"/>
                <w:szCs w:val="16"/>
                <w:lang w:val="en-GB"/>
              </w:rPr>
              <w:lastRenderedPageBreak/>
              <w:t xml:space="preserve">Surplus of foreign trade with goods and services expanded only by </w:t>
            </w:r>
            <w:r w:rsidR="00960769" w:rsidRPr="0024481A">
              <w:rPr>
                <w:sz w:val="16"/>
                <w:szCs w:val="16"/>
                <w:lang w:val="en-GB"/>
              </w:rPr>
              <w:t>2</w:t>
            </w:r>
            <w:r w:rsidRPr="0024481A">
              <w:rPr>
                <w:sz w:val="16"/>
                <w:szCs w:val="16"/>
                <w:lang w:val="en-GB"/>
              </w:rPr>
              <w:t>.</w:t>
            </w:r>
            <w:r w:rsidR="00960769" w:rsidRPr="0024481A">
              <w:rPr>
                <w:sz w:val="16"/>
                <w:szCs w:val="16"/>
                <w:lang w:val="en-GB"/>
              </w:rPr>
              <w:t>1 </w:t>
            </w:r>
            <w:r w:rsidR="00EB6FA2">
              <w:rPr>
                <w:sz w:val="16"/>
                <w:szCs w:val="16"/>
                <w:lang w:val="en-GB"/>
              </w:rPr>
              <w:t xml:space="preserve">CZK bn </w:t>
            </w:r>
            <w:r w:rsidRPr="0024481A">
              <w:rPr>
                <w:sz w:val="16"/>
                <w:szCs w:val="16"/>
                <w:lang w:val="en-GB"/>
              </w:rPr>
              <w:t>in nominal terms in 2015</w:t>
            </w:r>
            <w:r w:rsidR="00960769" w:rsidRPr="0024481A">
              <w:rPr>
                <w:sz w:val="16"/>
                <w:szCs w:val="16"/>
                <w:lang w:val="en-GB"/>
              </w:rPr>
              <w:t>, …</w:t>
            </w:r>
          </w:p>
        </w:tc>
        <w:tc>
          <w:tcPr>
            <w:tcW w:w="143" w:type="pct"/>
          </w:tcPr>
          <w:p w:rsidR="00960769" w:rsidRPr="0024481A" w:rsidRDefault="00960769" w:rsidP="00960769">
            <w:pPr>
              <w:pStyle w:val="Textpoznpodarou"/>
              <w:jc w:val="both"/>
              <w:rPr>
                <w:lang w:val="en-GB"/>
              </w:rPr>
            </w:pPr>
          </w:p>
        </w:tc>
        <w:tc>
          <w:tcPr>
            <w:tcW w:w="3803" w:type="pct"/>
          </w:tcPr>
          <w:p w:rsidR="00960769" w:rsidRPr="0024481A" w:rsidRDefault="0024481A" w:rsidP="00960769">
            <w:pPr>
              <w:pStyle w:val="Textpoznpodarou"/>
              <w:jc w:val="both"/>
              <w:rPr>
                <w:lang w:val="en-GB"/>
              </w:rPr>
            </w:pPr>
            <w:r w:rsidRPr="0024481A">
              <w:rPr>
                <w:lang w:val="en-GB"/>
              </w:rPr>
              <w:t>Surplus of foreign trade with goods and se</w:t>
            </w:r>
            <w:r w:rsidR="006F7709">
              <w:rPr>
                <w:lang w:val="en-GB"/>
              </w:rPr>
              <w:t>rvices reached in the concept</w:t>
            </w:r>
            <w:r w:rsidRPr="0024481A">
              <w:rPr>
                <w:lang w:val="en-GB"/>
              </w:rPr>
              <w:t xml:space="preserve"> of national accounts </w:t>
            </w:r>
            <w:r w:rsidR="00960769" w:rsidRPr="0024481A">
              <w:rPr>
                <w:lang w:val="en-GB"/>
              </w:rPr>
              <w:t>288</w:t>
            </w:r>
            <w:r w:rsidRPr="0024481A">
              <w:rPr>
                <w:lang w:val="en-GB"/>
              </w:rPr>
              <w:t>.</w:t>
            </w:r>
            <w:r w:rsidR="00960769" w:rsidRPr="0024481A">
              <w:rPr>
                <w:lang w:val="en-GB"/>
              </w:rPr>
              <w:t xml:space="preserve">6 </w:t>
            </w:r>
            <w:r w:rsidR="00EB6FA2">
              <w:rPr>
                <w:lang w:val="en-GB"/>
              </w:rPr>
              <w:t xml:space="preserve">CZK </w:t>
            </w:r>
            <w:r w:rsidRPr="0024481A">
              <w:rPr>
                <w:lang w:val="en-GB"/>
              </w:rPr>
              <w:t>bn</w:t>
            </w:r>
            <w:r w:rsidR="00EB6FA2">
              <w:rPr>
                <w:lang w:val="en-GB"/>
              </w:rPr>
              <w:t xml:space="preserve"> </w:t>
            </w:r>
            <w:r w:rsidRPr="0024481A">
              <w:rPr>
                <w:lang w:val="en-GB"/>
              </w:rPr>
              <w:t xml:space="preserve">in nominal terms. The surplus enlarged only by </w:t>
            </w:r>
            <w:r w:rsidR="00960769" w:rsidRPr="0024481A">
              <w:rPr>
                <w:lang w:val="en-GB"/>
              </w:rPr>
              <w:t>2</w:t>
            </w:r>
            <w:r w:rsidRPr="0024481A">
              <w:rPr>
                <w:lang w:val="en-GB"/>
              </w:rPr>
              <w:t>.</w:t>
            </w:r>
            <w:r w:rsidR="00960769" w:rsidRPr="0024481A">
              <w:rPr>
                <w:lang w:val="en-GB"/>
              </w:rPr>
              <w:t xml:space="preserve">1 </w:t>
            </w:r>
            <w:r w:rsidR="00EB6FA2">
              <w:rPr>
                <w:lang w:val="en-GB"/>
              </w:rPr>
              <w:t xml:space="preserve">CZK </w:t>
            </w:r>
            <w:r w:rsidRPr="0024481A">
              <w:rPr>
                <w:lang w:val="en-GB"/>
              </w:rPr>
              <w:t>bn</w:t>
            </w:r>
            <w:r w:rsidR="00EB6FA2">
              <w:rPr>
                <w:lang w:val="en-GB"/>
              </w:rPr>
              <w:t xml:space="preserve"> </w:t>
            </w:r>
            <w:r w:rsidRPr="0024481A">
              <w:rPr>
                <w:lang w:val="en-GB"/>
              </w:rPr>
              <w:t xml:space="preserve">in comparison to year 2014, the slowest in the last five years. Only the trade with services </w:t>
            </w:r>
            <w:r w:rsidR="00960769" w:rsidRPr="0024481A">
              <w:rPr>
                <w:lang w:val="en-GB"/>
              </w:rPr>
              <w:t>(+21</w:t>
            </w:r>
            <w:r w:rsidRPr="0024481A">
              <w:rPr>
                <w:lang w:val="en-GB"/>
              </w:rPr>
              <w:t>.</w:t>
            </w:r>
            <w:r w:rsidR="00960769" w:rsidRPr="0024481A">
              <w:rPr>
                <w:lang w:val="en-GB"/>
              </w:rPr>
              <w:t xml:space="preserve">3 </w:t>
            </w:r>
            <w:r w:rsidR="00EB6FA2">
              <w:rPr>
                <w:lang w:val="en-GB"/>
              </w:rPr>
              <w:t xml:space="preserve">CZK </w:t>
            </w:r>
            <w:r w:rsidRPr="0024481A">
              <w:rPr>
                <w:lang w:val="en-GB"/>
              </w:rPr>
              <w:t>bn</w:t>
            </w:r>
            <w:r w:rsidR="00960769" w:rsidRPr="0024481A">
              <w:rPr>
                <w:lang w:val="en-GB"/>
              </w:rPr>
              <w:t>)</w:t>
            </w:r>
            <w:r w:rsidRPr="0024481A">
              <w:rPr>
                <w:lang w:val="en-GB"/>
              </w:rPr>
              <w:t xml:space="preserve"> shared in its growth quite surprisingly</w:t>
            </w:r>
            <w:r w:rsidR="00960769" w:rsidRPr="0024481A">
              <w:rPr>
                <w:lang w:val="en-GB"/>
              </w:rPr>
              <w:t xml:space="preserve">, </w:t>
            </w:r>
            <w:r w:rsidRPr="0024481A">
              <w:rPr>
                <w:lang w:val="en-GB"/>
              </w:rPr>
              <w:t xml:space="preserve">the surplus of trade with goods was lower by </w:t>
            </w:r>
            <w:r w:rsidR="00960769" w:rsidRPr="0024481A">
              <w:rPr>
                <w:lang w:val="en-GB"/>
              </w:rPr>
              <w:t>19</w:t>
            </w:r>
            <w:r w:rsidRPr="0024481A">
              <w:rPr>
                <w:lang w:val="en-GB"/>
              </w:rPr>
              <w:t>.</w:t>
            </w:r>
            <w:r w:rsidR="00960769" w:rsidRPr="0024481A">
              <w:rPr>
                <w:lang w:val="en-GB"/>
              </w:rPr>
              <w:t xml:space="preserve">2 </w:t>
            </w:r>
            <w:r w:rsidRPr="0024481A">
              <w:rPr>
                <w:lang w:val="en-GB"/>
              </w:rPr>
              <w:t>bn</w:t>
            </w:r>
            <w:r w:rsidR="00960769" w:rsidRPr="0024481A">
              <w:rPr>
                <w:lang w:val="en-GB"/>
              </w:rPr>
              <w:t xml:space="preserve">. </w:t>
            </w:r>
            <w:r w:rsidRPr="0024481A">
              <w:rPr>
                <w:lang w:val="en-GB"/>
              </w:rPr>
              <w:t xml:space="preserve">With respect to individual quarters, the surpluses in the foreign trade were even weaker year-on-year </w:t>
            </w:r>
            <w:r w:rsidR="00960769" w:rsidRPr="0024481A">
              <w:rPr>
                <w:spacing w:val="4"/>
                <w:lang w:val="en-GB"/>
              </w:rPr>
              <w:t>(-</w:t>
            </w:r>
            <w:r w:rsidR="00960769" w:rsidRPr="0024481A">
              <w:rPr>
                <w:lang w:val="en-GB"/>
              </w:rPr>
              <w:t>9</w:t>
            </w:r>
            <w:r w:rsidRPr="0024481A">
              <w:rPr>
                <w:lang w:val="en-GB"/>
              </w:rPr>
              <w:t>.</w:t>
            </w:r>
            <w:r w:rsidR="00960769" w:rsidRPr="0024481A">
              <w:rPr>
                <w:lang w:val="en-GB"/>
              </w:rPr>
              <w:t xml:space="preserve">1 </w:t>
            </w:r>
            <w:r w:rsidR="00546888">
              <w:rPr>
                <w:lang w:val="en-GB"/>
              </w:rPr>
              <w:t xml:space="preserve">CZK </w:t>
            </w:r>
            <w:r w:rsidRPr="0024481A">
              <w:rPr>
                <w:lang w:val="en-GB"/>
              </w:rPr>
              <w:t>bn</w:t>
            </w:r>
            <w:r w:rsidR="00960769" w:rsidRPr="0024481A">
              <w:rPr>
                <w:spacing w:val="-2"/>
                <w:lang w:val="en-GB"/>
              </w:rPr>
              <w:t>)</w:t>
            </w:r>
            <w:r w:rsidRPr="0024481A">
              <w:rPr>
                <w:spacing w:val="-2"/>
                <w:lang w:val="en-GB"/>
              </w:rPr>
              <w:t xml:space="preserve"> in Q1 to Q3</w:t>
            </w:r>
            <w:r w:rsidR="00960769" w:rsidRPr="0024481A">
              <w:rPr>
                <w:spacing w:val="-2"/>
                <w:lang w:val="en-GB"/>
              </w:rPr>
              <w:t xml:space="preserve">, </w:t>
            </w:r>
            <w:r w:rsidRPr="0024481A">
              <w:rPr>
                <w:spacing w:val="-2"/>
                <w:lang w:val="en-GB"/>
              </w:rPr>
              <w:t xml:space="preserve">only the last quarter improved the yearly result </w:t>
            </w:r>
            <w:r w:rsidR="00960769" w:rsidRPr="0024481A">
              <w:rPr>
                <w:spacing w:val="-2"/>
                <w:lang w:val="en-GB"/>
              </w:rPr>
              <w:t>(+11</w:t>
            </w:r>
            <w:r w:rsidRPr="0024481A">
              <w:rPr>
                <w:spacing w:val="-2"/>
                <w:lang w:val="en-GB"/>
              </w:rPr>
              <w:t>.</w:t>
            </w:r>
            <w:r w:rsidR="00960769" w:rsidRPr="0024481A">
              <w:rPr>
                <w:lang w:val="en-GB"/>
              </w:rPr>
              <w:t xml:space="preserve">3 </w:t>
            </w:r>
            <w:r w:rsidRPr="0024481A">
              <w:rPr>
                <w:lang w:val="en-GB"/>
              </w:rPr>
              <w:t>bn</w:t>
            </w:r>
            <w:r w:rsidR="00960769" w:rsidRPr="0024481A">
              <w:rPr>
                <w:lang w:val="en-GB"/>
              </w:rPr>
              <w:t>).</w:t>
            </w:r>
          </w:p>
          <w:p w:rsidR="00960769" w:rsidRPr="0024481A" w:rsidRDefault="00960769" w:rsidP="00960769">
            <w:pPr>
              <w:pStyle w:val="Textpoznpodarou"/>
              <w:jc w:val="both"/>
              <w:rPr>
                <w:spacing w:val="-2"/>
                <w:sz w:val="18"/>
                <w:szCs w:val="18"/>
                <w:lang w:val="en-GB"/>
              </w:rPr>
            </w:pPr>
          </w:p>
        </w:tc>
      </w:tr>
      <w:tr w:rsidR="00960769" w:rsidRPr="002A7D6D" w:rsidTr="00960769">
        <w:tc>
          <w:tcPr>
            <w:tcW w:w="1054" w:type="pct"/>
          </w:tcPr>
          <w:p w:rsidR="00960769" w:rsidRPr="00C47694" w:rsidRDefault="00960769" w:rsidP="00C72A00">
            <w:pPr>
              <w:spacing w:line="240" w:lineRule="auto"/>
              <w:rPr>
                <w:sz w:val="16"/>
                <w:szCs w:val="16"/>
                <w:lang w:val="en-GB"/>
              </w:rPr>
            </w:pPr>
            <w:r w:rsidRPr="00C47694">
              <w:rPr>
                <w:sz w:val="16"/>
                <w:szCs w:val="16"/>
                <w:lang w:val="en-GB"/>
              </w:rPr>
              <w:t xml:space="preserve">… </w:t>
            </w:r>
            <w:r w:rsidR="00C72A00" w:rsidRPr="00C47694">
              <w:rPr>
                <w:sz w:val="16"/>
                <w:szCs w:val="16"/>
                <w:lang w:val="en-GB"/>
              </w:rPr>
              <w:t xml:space="preserve">only thanks to the prevailing positive terms of trade </w:t>
            </w:r>
          </w:p>
        </w:tc>
        <w:tc>
          <w:tcPr>
            <w:tcW w:w="143" w:type="pct"/>
          </w:tcPr>
          <w:p w:rsidR="00960769" w:rsidRPr="00C47694" w:rsidRDefault="00960769" w:rsidP="00960769">
            <w:pPr>
              <w:pStyle w:val="Textpoznpodarou"/>
              <w:jc w:val="both"/>
              <w:rPr>
                <w:lang w:val="en-GB"/>
              </w:rPr>
            </w:pPr>
          </w:p>
        </w:tc>
        <w:tc>
          <w:tcPr>
            <w:tcW w:w="3803" w:type="pct"/>
          </w:tcPr>
          <w:p w:rsidR="00960769" w:rsidRPr="00C47694" w:rsidRDefault="00C72A00" w:rsidP="00960769">
            <w:pPr>
              <w:pStyle w:val="Textpoznpodarou"/>
              <w:jc w:val="both"/>
              <w:rPr>
                <w:lang w:val="en-GB"/>
              </w:rPr>
            </w:pPr>
            <w:r w:rsidRPr="00C47694">
              <w:rPr>
                <w:lang w:val="en-GB"/>
              </w:rPr>
              <w:t>Real gross domestic income</w:t>
            </w:r>
            <w:r w:rsidR="00960769" w:rsidRPr="00C47694">
              <w:rPr>
                <w:lang w:val="en-GB"/>
              </w:rPr>
              <w:t>,</w:t>
            </w:r>
            <w:r w:rsidR="000767C0">
              <w:rPr>
                <w:vertAlign w:val="superscript"/>
                <w:lang w:val="en-GB"/>
              </w:rPr>
              <w:t>6</w:t>
            </w:r>
            <w:r w:rsidR="00960769" w:rsidRPr="00C47694">
              <w:rPr>
                <w:lang w:val="en-GB"/>
              </w:rPr>
              <w:t xml:space="preserve"> </w:t>
            </w:r>
            <w:r w:rsidRPr="00C47694">
              <w:rPr>
                <w:lang w:val="en-GB"/>
              </w:rPr>
              <w:t xml:space="preserve">which reflects on the contrary from the GDP the additional profits or </w:t>
            </w:r>
            <w:r w:rsidR="00C47694" w:rsidRPr="00C47694">
              <w:rPr>
                <w:lang w:val="en-GB"/>
              </w:rPr>
              <w:t>losses</w:t>
            </w:r>
            <w:r w:rsidRPr="00C47694">
              <w:rPr>
                <w:lang w:val="en-GB"/>
              </w:rPr>
              <w:t xml:space="preserve"> from the development of prices in foreign trade, </w:t>
            </w:r>
            <w:r w:rsidR="004216B5">
              <w:rPr>
                <w:lang w:val="en-GB"/>
              </w:rPr>
              <w:t>or rather</w:t>
            </w:r>
            <w:r w:rsidRPr="00C47694">
              <w:rPr>
                <w:lang w:val="en-GB"/>
              </w:rPr>
              <w:t xml:space="preserve"> profits </w:t>
            </w:r>
            <w:r w:rsidR="006F7709">
              <w:rPr>
                <w:lang w:val="en-GB"/>
              </w:rPr>
              <w:t>or</w:t>
            </w:r>
            <w:r w:rsidRPr="00C47694">
              <w:rPr>
                <w:lang w:val="en-GB"/>
              </w:rPr>
              <w:t xml:space="preserve"> </w:t>
            </w:r>
            <w:r w:rsidR="00C47694" w:rsidRPr="00C47694">
              <w:rPr>
                <w:lang w:val="en-GB"/>
              </w:rPr>
              <w:t>losses</w:t>
            </w:r>
            <w:r w:rsidRPr="00C47694">
              <w:rPr>
                <w:lang w:val="en-GB"/>
              </w:rPr>
              <w:t xml:space="preserve"> from the terms of trade</w:t>
            </w:r>
            <w:r w:rsidR="006F7709">
              <w:rPr>
                <w:lang w:val="en-GB"/>
              </w:rPr>
              <w:t>,</w:t>
            </w:r>
            <w:r w:rsidR="00C47694">
              <w:rPr>
                <w:lang w:val="en-GB"/>
              </w:rPr>
              <w:t xml:space="preserve"> </w:t>
            </w:r>
            <w:r w:rsidRPr="00C47694">
              <w:rPr>
                <w:lang w:val="en-GB"/>
              </w:rPr>
              <w:t xml:space="preserve">increased by </w:t>
            </w:r>
            <w:r w:rsidR="00960769" w:rsidRPr="00C47694">
              <w:rPr>
                <w:spacing w:val="-2"/>
                <w:lang w:val="en-GB"/>
              </w:rPr>
              <w:t>4</w:t>
            </w:r>
            <w:r w:rsidRPr="00C47694">
              <w:rPr>
                <w:spacing w:val="-2"/>
                <w:lang w:val="en-GB"/>
              </w:rPr>
              <w:t>.</w:t>
            </w:r>
            <w:r w:rsidR="00A32462">
              <w:rPr>
                <w:spacing w:val="-2"/>
                <w:lang w:val="en-GB"/>
              </w:rPr>
              <w:t>5</w:t>
            </w:r>
            <w:r w:rsidR="00960769" w:rsidRPr="00C47694">
              <w:rPr>
                <w:spacing w:val="-2"/>
                <w:lang w:val="en-GB"/>
              </w:rPr>
              <w:t>%</w:t>
            </w:r>
            <w:r w:rsidRPr="00C47694">
              <w:rPr>
                <w:spacing w:val="-2"/>
                <w:lang w:val="en-GB"/>
              </w:rPr>
              <w:t xml:space="preserve"> in the last year</w:t>
            </w:r>
            <w:r w:rsidR="00960769" w:rsidRPr="00C47694">
              <w:rPr>
                <w:spacing w:val="-2"/>
                <w:lang w:val="en-GB"/>
              </w:rPr>
              <w:t xml:space="preserve">. </w:t>
            </w:r>
            <w:r w:rsidRPr="00C47694">
              <w:rPr>
                <w:spacing w:val="-2"/>
                <w:lang w:val="en-GB"/>
              </w:rPr>
              <w:t xml:space="preserve">It thus increased by </w:t>
            </w:r>
            <w:r w:rsidR="00960769" w:rsidRPr="00C47694">
              <w:rPr>
                <w:spacing w:val="-2"/>
                <w:lang w:val="en-GB"/>
              </w:rPr>
              <w:t>0</w:t>
            </w:r>
            <w:r w:rsidRPr="00C47694">
              <w:rPr>
                <w:spacing w:val="-2"/>
                <w:lang w:val="en-GB"/>
              </w:rPr>
              <w:t>.</w:t>
            </w:r>
            <w:r w:rsidR="00960769" w:rsidRPr="00C47694">
              <w:rPr>
                <w:spacing w:val="-2"/>
                <w:lang w:val="en-GB"/>
              </w:rPr>
              <w:t>3</w:t>
            </w:r>
            <w:r w:rsidR="00960769" w:rsidRPr="00C47694">
              <w:rPr>
                <w:lang w:val="en-GB"/>
              </w:rPr>
              <w:t xml:space="preserve"> p</w:t>
            </w:r>
            <w:r w:rsidR="00D41281" w:rsidRPr="00C47694">
              <w:rPr>
                <w:lang w:val="en-GB"/>
              </w:rPr>
              <w:t>.</w:t>
            </w:r>
            <w:r w:rsidRPr="00C47694">
              <w:rPr>
                <w:lang w:val="en-GB"/>
              </w:rPr>
              <w:t>p</w:t>
            </w:r>
            <w:r w:rsidR="00960769" w:rsidRPr="00C47694">
              <w:rPr>
                <w:lang w:val="en-GB"/>
              </w:rPr>
              <w:t xml:space="preserve">. </w:t>
            </w:r>
            <w:r w:rsidRPr="00C47694">
              <w:rPr>
                <w:lang w:val="en-GB"/>
              </w:rPr>
              <w:t>faster than the GDP</w:t>
            </w:r>
            <w:r w:rsidR="00022B41" w:rsidRPr="00C47694">
              <w:rPr>
                <w:lang w:val="en-GB"/>
              </w:rPr>
              <w:t xml:space="preserve">. </w:t>
            </w:r>
            <w:r w:rsidR="00BB291C">
              <w:rPr>
                <w:lang w:val="en-GB"/>
              </w:rPr>
              <w:t xml:space="preserve">A significant change occurred in comparison to years </w:t>
            </w:r>
            <w:r w:rsidR="00960769" w:rsidRPr="00C47694">
              <w:rPr>
                <w:lang w:val="en-GB"/>
              </w:rPr>
              <w:t>2013 a</w:t>
            </w:r>
            <w:r w:rsidR="00BB291C">
              <w:rPr>
                <w:lang w:val="en-GB"/>
              </w:rPr>
              <w:t>nd</w:t>
            </w:r>
            <w:r w:rsidR="00960769" w:rsidRPr="00C47694">
              <w:rPr>
                <w:lang w:val="en-GB"/>
              </w:rPr>
              <w:t xml:space="preserve"> 2014</w:t>
            </w:r>
            <w:r w:rsidR="00BB291C">
              <w:rPr>
                <w:lang w:val="en-GB"/>
              </w:rPr>
              <w:t xml:space="preserve">, since the dynamics of real gross domestic income relative to the GDP was by </w:t>
            </w:r>
            <w:r w:rsidR="00960769" w:rsidRPr="00C47694">
              <w:rPr>
                <w:lang w:val="en-GB"/>
              </w:rPr>
              <w:t>0</w:t>
            </w:r>
            <w:r w:rsidR="00BB291C">
              <w:rPr>
                <w:lang w:val="en-GB"/>
              </w:rPr>
              <w:t>.</w:t>
            </w:r>
            <w:r w:rsidR="00960769" w:rsidRPr="00C47694">
              <w:rPr>
                <w:lang w:val="en-GB"/>
              </w:rPr>
              <w:t>9</w:t>
            </w:r>
            <w:r w:rsidR="00022B41" w:rsidRPr="00C47694">
              <w:rPr>
                <w:lang w:val="en-GB"/>
              </w:rPr>
              <w:t> </w:t>
            </w:r>
            <w:r w:rsidR="00960769" w:rsidRPr="00C47694">
              <w:rPr>
                <w:lang w:val="en-GB"/>
              </w:rPr>
              <w:t>p</w:t>
            </w:r>
            <w:r w:rsidR="00D41281" w:rsidRPr="00C47694">
              <w:rPr>
                <w:lang w:val="en-GB"/>
              </w:rPr>
              <w:t>.</w:t>
            </w:r>
            <w:r w:rsidR="00BB291C">
              <w:rPr>
                <w:lang w:val="en-GB"/>
              </w:rPr>
              <w:t>p</w:t>
            </w:r>
            <w:r w:rsidR="00960769" w:rsidRPr="00C47694">
              <w:rPr>
                <w:lang w:val="en-GB"/>
              </w:rPr>
              <w:t>. a</w:t>
            </w:r>
            <w:r w:rsidR="00BB291C">
              <w:rPr>
                <w:lang w:val="en-GB"/>
              </w:rPr>
              <w:t>nd</w:t>
            </w:r>
            <w:r w:rsidR="00960769" w:rsidRPr="00C47694">
              <w:rPr>
                <w:lang w:val="en-GB"/>
              </w:rPr>
              <w:t xml:space="preserve"> 1</w:t>
            </w:r>
            <w:r w:rsidR="00BB291C">
              <w:rPr>
                <w:lang w:val="en-GB"/>
              </w:rPr>
              <w:t>.</w:t>
            </w:r>
            <w:r w:rsidR="00960769" w:rsidRPr="00C47694">
              <w:rPr>
                <w:lang w:val="en-GB"/>
              </w:rPr>
              <w:t>2 p</w:t>
            </w:r>
            <w:r w:rsidR="00D41281" w:rsidRPr="00C47694">
              <w:rPr>
                <w:lang w:val="en-GB"/>
              </w:rPr>
              <w:t>.</w:t>
            </w:r>
            <w:r w:rsidR="00BB291C">
              <w:rPr>
                <w:lang w:val="en-GB"/>
              </w:rPr>
              <w:t>p</w:t>
            </w:r>
            <w:r w:rsidR="00960769" w:rsidRPr="00C47694">
              <w:rPr>
                <w:lang w:val="en-GB"/>
              </w:rPr>
              <w:t>.</w:t>
            </w:r>
            <w:r w:rsidR="00BB291C">
              <w:rPr>
                <w:lang w:val="en-GB"/>
              </w:rPr>
              <w:t xml:space="preserve"> higher at that time. </w:t>
            </w:r>
            <w:r w:rsidR="002902F0">
              <w:rPr>
                <w:lang w:val="en-GB"/>
              </w:rPr>
              <w:t xml:space="preserve">While the terms of trade amounted to </w:t>
            </w:r>
            <w:r w:rsidR="002902F0" w:rsidRPr="00C47694">
              <w:rPr>
                <w:lang w:val="en-GB"/>
              </w:rPr>
              <w:t>101</w:t>
            </w:r>
            <w:r w:rsidR="002902F0">
              <w:rPr>
                <w:lang w:val="en-GB"/>
              </w:rPr>
              <w:t>.</w:t>
            </w:r>
            <w:r w:rsidR="00A32462">
              <w:rPr>
                <w:lang w:val="en-GB"/>
              </w:rPr>
              <w:t>2</w:t>
            </w:r>
            <w:r w:rsidR="002902F0" w:rsidRPr="00C47694">
              <w:rPr>
                <w:lang w:val="en-GB"/>
              </w:rPr>
              <w:t>% a</w:t>
            </w:r>
            <w:r w:rsidR="002902F0">
              <w:rPr>
                <w:lang w:val="en-GB"/>
              </w:rPr>
              <w:t>nd</w:t>
            </w:r>
            <w:r w:rsidR="002902F0" w:rsidRPr="00C47694">
              <w:rPr>
                <w:lang w:val="en-GB"/>
              </w:rPr>
              <w:t> 101</w:t>
            </w:r>
            <w:r w:rsidR="002902F0">
              <w:rPr>
                <w:lang w:val="en-GB"/>
              </w:rPr>
              <w:t>.</w:t>
            </w:r>
            <w:r w:rsidR="00A32462">
              <w:rPr>
                <w:lang w:val="en-GB"/>
              </w:rPr>
              <w:t>5</w:t>
            </w:r>
            <w:r w:rsidR="002902F0" w:rsidRPr="00C47694">
              <w:rPr>
                <w:lang w:val="en-GB"/>
              </w:rPr>
              <w:t>%</w:t>
            </w:r>
            <w:r w:rsidR="002902F0">
              <w:rPr>
                <w:lang w:val="en-GB"/>
              </w:rPr>
              <w:t xml:space="preserve"> in years </w:t>
            </w:r>
            <w:r w:rsidR="00960769" w:rsidRPr="00C47694">
              <w:rPr>
                <w:lang w:val="en-GB"/>
              </w:rPr>
              <w:t>2013 a</w:t>
            </w:r>
            <w:r w:rsidR="002902F0">
              <w:rPr>
                <w:lang w:val="en-GB"/>
              </w:rPr>
              <w:t>nd</w:t>
            </w:r>
            <w:r w:rsidR="00960769" w:rsidRPr="00C47694">
              <w:rPr>
                <w:lang w:val="en-GB"/>
              </w:rPr>
              <w:t xml:space="preserve"> 2014</w:t>
            </w:r>
            <w:r w:rsidR="00D47318">
              <w:rPr>
                <w:lang w:val="en-GB"/>
              </w:rPr>
              <w:t xml:space="preserve">, they were </w:t>
            </w:r>
            <w:r w:rsidR="002902F0">
              <w:rPr>
                <w:lang w:val="en-GB"/>
              </w:rPr>
              <w:t xml:space="preserve">only </w:t>
            </w:r>
            <w:r w:rsidR="00960769" w:rsidRPr="00C47694">
              <w:rPr>
                <w:lang w:val="en-GB"/>
              </w:rPr>
              <w:t>100</w:t>
            </w:r>
            <w:r w:rsidR="002902F0">
              <w:rPr>
                <w:lang w:val="en-GB"/>
              </w:rPr>
              <w:t>.</w:t>
            </w:r>
            <w:r w:rsidR="00A32462">
              <w:rPr>
                <w:lang w:val="en-GB"/>
              </w:rPr>
              <w:t>4</w:t>
            </w:r>
            <w:r w:rsidR="00960769" w:rsidRPr="00C47694">
              <w:rPr>
                <w:lang w:val="en-GB"/>
              </w:rPr>
              <w:t>%</w:t>
            </w:r>
            <w:r w:rsidR="002902F0">
              <w:rPr>
                <w:lang w:val="en-GB"/>
              </w:rPr>
              <w:t xml:space="preserve"> in the last year</w:t>
            </w:r>
            <w:r w:rsidR="00960769" w:rsidRPr="00C47694">
              <w:rPr>
                <w:lang w:val="en-GB"/>
              </w:rPr>
              <w:t>.</w:t>
            </w:r>
          </w:p>
          <w:p w:rsidR="00960769" w:rsidRPr="00C47694" w:rsidRDefault="00960769" w:rsidP="00960769">
            <w:pPr>
              <w:pStyle w:val="Textpoznpodarou"/>
              <w:jc w:val="both"/>
              <w:rPr>
                <w:sz w:val="16"/>
                <w:szCs w:val="16"/>
                <w:lang w:val="en-GB"/>
              </w:rPr>
            </w:pPr>
          </w:p>
        </w:tc>
      </w:tr>
      <w:tr w:rsidR="00960769" w:rsidRPr="002A7D6D" w:rsidTr="00960769">
        <w:tc>
          <w:tcPr>
            <w:tcW w:w="1054" w:type="pct"/>
          </w:tcPr>
          <w:p w:rsidR="009F168D" w:rsidRDefault="004F4352" w:rsidP="004F4352">
            <w:pPr>
              <w:spacing w:line="240" w:lineRule="auto"/>
              <w:rPr>
                <w:sz w:val="16"/>
                <w:szCs w:val="16"/>
                <w:lang w:val="en-GB"/>
              </w:rPr>
            </w:pPr>
            <w:r w:rsidRPr="004F4352">
              <w:rPr>
                <w:sz w:val="16"/>
                <w:szCs w:val="16"/>
                <w:lang w:val="en-GB"/>
              </w:rPr>
              <w:t>Manufacturing</w:t>
            </w:r>
          </w:p>
          <w:p w:rsidR="00960769" w:rsidRPr="004F4352" w:rsidRDefault="004F4352" w:rsidP="004F4352">
            <w:pPr>
              <w:spacing w:line="240" w:lineRule="auto"/>
              <w:rPr>
                <w:sz w:val="16"/>
                <w:szCs w:val="16"/>
                <w:lang w:val="en-GB"/>
              </w:rPr>
            </w:pPr>
            <w:proofErr w:type="gramStart"/>
            <w:r w:rsidRPr="004F4352">
              <w:rPr>
                <w:sz w:val="16"/>
                <w:szCs w:val="16"/>
                <w:lang w:val="en-GB"/>
              </w:rPr>
              <w:t>as</w:t>
            </w:r>
            <w:proofErr w:type="gramEnd"/>
            <w:r w:rsidRPr="004F4352">
              <w:rPr>
                <w:sz w:val="16"/>
                <w:szCs w:val="16"/>
                <w:lang w:val="en-GB"/>
              </w:rPr>
              <w:t xml:space="preserve"> well as services both equally contributed to the economic growth last year</w:t>
            </w:r>
            <w:r w:rsidR="00801818">
              <w:rPr>
                <w:sz w:val="16"/>
                <w:szCs w:val="16"/>
                <w:lang w:val="en-GB"/>
              </w:rPr>
              <w:t>.</w:t>
            </w:r>
            <w:r w:rsidR="00960769" w:rsidRPr="004F4352">
              <w:rPr>
                <w:sz w:val="16"/>
                <w:szCs w:val="16"/>
                <w:lang w:val="en-GB"/>
              </w:rPr>
              <w:t xml:space="preserve"> </w:t>
            </w:r>
            <w:r w:rsidR="00801818">
              <w:rPr>
                <w:sz w:val="16"/>
                <w:szCs w:val="16"/>
                <w:lang w:val="en-GB"/>
              </w:rPr>
              <w:t>T</w:t>
            </w:r>
            <w:r w:rsidRPr="004F4352">
              <w:rPr>
                <w:sz w:val="16"/>
                <w:szCs w:val="16"/>
                <w:lang w:val="en-GB"/>
              </w:rPr>
              <w:t xml:space="preserve">hey added </w:t>
            </w:r>
            <w:r w:rsidR="00960769" w:rsidRPr="004F4352">
              <w:rPr>
                <w:sz w:val="16"/>
                <w:szCs w:val="16"/>
                <w:lang w:val="en-GB"/>
              </w:rPr>
              <w:t>+1</w:t>
            </w:r>
            <w:r w:rsidRPr="004F4352">
              <w:rPr>
                <w:sz w:val="16"/>
                <w:szCs w:val="16"/>
                <w:lang w:val="en-GB"/>
              </w:rPr>
              <w:t>.</w:t>
            </w:r>
            <w:r w:rsidR="00960769" w:rsidRPr="004F4352">
              <w:rPr>
                <w:sz w:val="16"/>
                <w:szCs w:val="16"/>
                <w:lang w:val="en-GB"/>
              </w:rPr>
              <w:t>9 p</w:t>
            </w:r>
            <w:r w:rsidR="00D41281" w:rsidRPr="004F4352">
              <w:rPr>
                <w:sz w:val="16"/>
                <w:szCs w:val="16"/>
                <w:lang w:val="en-GB"/>
              </w:rPr>
              <w:t>.</w:t>
            </w:r>
            <w:r w:rsidRPr="004F4352">
              <w:rPr>
                <w:sz w:val="16"/>
                <w:szCs w:val="16"/>
                <w:lang w:val="en-GB"/>
              </w:rPr>
              <w:t>p</w:t>
            </w:r>
            <w:r w:rsidR="00960769" w:rsidRPr="004F4352">
              <w:rPr>
                <w:sz w:val="16"/>
                <w:szCs w:val="16"/>
                <w:lang w:val="en-GB"/>
              </w:rPr>
              <w:t>. a</w:t>
            </w:r>
            <w:r w:rsidRPr="004F4352">
              <w:rPr>
                <w:sz w:val="16"/>
                <w:szCs w:val="16"/>
                <w:lang w:val="en-GB"/>
              </w:rPr>
              <w:t>nd</w:t>
            </w:r>
            <w:r w:rsidR="00960769" w:rsidRPr="004F4352">
              <w:rPr>
                <w:sz w:val="16"/>
                <w:szCs w:val="16"/>
                <w:lang w:val="en-GB"/>
              </w:rPr>
              <w:t> +1</w:t>
            </w:r>
            <w:r w:rsidRPr="004F4352">
              <w:rPr>
                <w:sz w:val="16"/>
                <w:szCs w:val="16"/>
                <w:lang w:val="en-GB"/>
              </w:rPr>
              <w:t>.</w:t>
            </w:r>
            <w:r w:rsidR="00960769" w:rsidRPr="004F4352">
              <w:rPr>
                <w:sz w:val="16"/>
                <w:szCs w:val="16"/>
                <w:lang w:val="en-GB"/>
              </w:rPr>
              <w:t>8 p</w:t>
            </w:r>
            <w:r w:rsidR="00D41281" w:rsidRPr="004F4352">
              <w:rPr>
                <w:sz w:val="16"/>
                <w:szCs w:val="16"/>
                <w:lang w:val="en-GB"/>
              </w:rPr>
              <w:t>.</w:t>
            </w:r>
            <w:r w:rsidRPr="004F4352">
              <w:rPr>
                <w:sz w:val="16"/>
                <w:szCs w:val="16"/>
                <w:lang w:val="en-GB"/>
              </w:rPr>
              <w:t>p</w:t>
            </w:r>
            <w:r w:rsidR="00960769" w:rsidRPr="004F4352">
              <w:rPr>
                <w:sz w:val="16"/>
                <w:szCs w:val="16"/>
                <w:lang w:val="en-GB"/>
              </w:rPr>
              <w:t>., …</w:t>
            </w:r>
          </w:p>
        </w:tc>
        <w:tc>
          <w:tcPr>
            <w:tcW w:w="143" w:type="pct"/>
          </w:tcPr>
          <w:p w:rsidR="00960769" w:rsidRPr="004F4352" w:rsidRDefault="00960769" w:rsidP="00960769">
            <w:pPr>
              <w:pStyle w:val="Textpoznpodarou"/>
              <w:jc w:val="both"/>
              <w:rPr>
                <w:lang w:val="en-GB"/>
              </w:rPr>
            </w:pPr>
          </w:p>
        </w:tc>
        <w:tc>
          <w:tcPr>
            <w:tcW w:w="3803" w:type="pct"/>
          </w:tcPr>
          <w:p w:rsidR="00960769" w:rsidRPr="004F4352" w:rsidRDefault="004F4352" w:rsidP="00960769">
            <w:pPr>
              <w:pStyle w:val="Textpoznpodarou"/>
              <w:jc w:val="both"/>
              <w:rPr>
                <w:lang w:val="en-GB"/>
              </w:rPr>
            </w:pPr>
            <w:r>
              <w:rPr>
                <w:spacing w:val="-4"/>
                <w:lang w:val="en-GB"/>
              </w:rPr>
              <w:t xml:space="preserve">The economic growth was equally distributed between the manufacturing and the services sector on the supply side. Gross value added of the industry as a whole increased by </w:t>
            </w:r>
            <w:r w:rsidR="00960769" w:rsidRPr="004F4352">
              <w:rPr>
                <w:lang w:val="en-GB"/>
              </w:rPr>
              <w:t>5</w:t>
            </w:r>
            <w:r>
              <w:rPr>
                <w:lang w:val="en-GB"/>
              </w:rPr>
              <w:t>.</w:t>
            </w:r>
            <w:r w:rsidR="00F11E59">
              <w:rPr>
                <w:lang w:val="en-GB"/>
              </w:rPr>
              <w:t>6</w:t>
            </w:r>
            <w:r w:rsidR="00960769" w:rsidRPr="004F4352">
              <w:rPr>
                <w:lang w:val="en-GB"/>
              </w:rPr>
              <w:t>%</w:t>
            </w:r>
            <w:r>
              <w:rPr>
                <w:lang w:val="en-GB"/>
              </w:rPr>
              <w:t xml:space="preserve"> in the last year and participated on the economic growth </w:t>
            </w:r>
            <w:r w:rsidR="00960769" w:rsidRPr="004F4352">
              <w:rPr>
                <w:lang w:val="en-GB"/>
              </w:rPr>
              <w:t>+1</w:t>
            </w:r>
            <w:r>
              <w:rPr>
                <w:lang w:val="en-GB"/>
              </w:rPr>
              <w:t>.</w:t>
            </w:r>
            <w:r w:rsidR="00C723AC">
              <w:rPr>
                <w:lang w:val="en-GB"/>
              </w:rPr>
              <w:t>8 </w:t>
            </w:r>
            <w:r w:rsidR="00960769" w:rsidRPr="004F4352">
              <w:rPr>
                <w:lang w:val="en-GB"/>
              </w:rPr>
              <w:t>p</w:t>
            </w:r>
            <w:r w:rsidR="00D41281" w:rsidRPr="004F4352">
              <w:rPr>
                <w:lang w:val="en-GB"/>
              </w:rPr>
              <w:t>.</w:t>
            </w:r>
            <w:r>
              <w:rPr>
                <w:lang w:val="en-GB"/>
              </w:rPr>
              <w:t>p</w:t>
            </w:r>
            <w:r w:rsidR="00960769" w:rsidRPr="004F4352">
              <w:rPr>
                <w:lang w:val="en-GB"/>
              </w:rPr>
              <w:t>.,</w:t>
            </w:r>
            <w:r>
              <w:rPr>
                <w:lang w:val="en-GB"/>
              </w:rPr>
              <w:t xml:space="preserve"> the manufacturing itself recorded </w:t>
            </w:r>
            <w:r w:rsidR="00960769" w:rsidRPr="004F4352">
              <w:rPr>
                <w:lang w:val="en-GB"/>
              </w:rPr>
              <w:t>+7</w:t>
            </w:r>
            <w:r>
              <w:rPr>
                <w:lang w:val="en-GB"/>
              </w:rPr>
              <w:t>.</w:t>
            </w:r>
            <w:r w:rsidR="00F11E59">
              <w:rPr>
                <w:lang w:val="en-GB"/>
              </w:rPr>
              <w:t>3</w:t>
            </w:r>
            <w:r w:rsidR="00960769" w:rsidRPr="004F4352">
              <w:rPr>
                <w:lang w:val="en-GB"/>
              </w:rPr>
              <w:t>% a</w:t>
            </w:r>
            <w:r>
              <w:rPr>
                <w:lang w:val="en-GB"/>
              </w:rPr>
              <w:t xml:space="preserve">nd added </w:t>
            </w:r>
            <w:r w:rsidR="00960769" w:rsidRPr="004F4352">
              <w:rPr>
                <w:lang w:val="en-GB"/>
              </w:rPr>
              <w:t>+1</w:t>
            </w:r>
            <w:r>
              <w:rPr>
                <w:lang w:val="en-GB"/>
              </w:rPr>
              <w:t>.</w:t>
            </w:r>
            <w:r w:rsidR="00960769" w:rsidRPr="004F4352">
              <w:rPr>
                <w:lang w:val="en-GB"/>
              </w:rPr>
              <w:t>9 p</w:t>
            </w:r>
            <w:r w:rsidR="00D41281" w:rsidRPr="004F4352">
              <w:rPr>
                <w:lang w:val="en-GB"/>
              </w:rPr>
              <w:t>.</w:t>
            </w:r>
            <w:r>
              <w:rPr>
                <w:lang w:val="en-GB"/>
              </w:rPr>
              <w:t>p</w:t>
            </w:r>
            <w:r w:rsidR="00960769" w:rsidRPr="004F4352">
              <w:rPr>
                <w:lang w:val="en-GB"/>
              </w:rPr>
              <w:t>.</w:t>
            </w:r>
            <w:r>
              <w:rPr>
                <w:lang w:val="en-GB"/>
              </w:rPr>
              <w:t xml:space="preserve"> Other industrial branches </w:t>
            </w:r>
            <w:r w:rsidR="005F26CE" w:rsidRPr="004F4352">
              <w:rPr>
                <w:lang w:val="en-GB"/>
              </w:rPr>
              <w:t xml:space="preserve">– </w:t>
            </w:r>
            <w:r>
              <w:rPr>
                <w:lang w:val="en-GB"/>
              </w:rPr>
              <w:t>mining and quarrying</w:t>
            </w:r>
            <w:r w:rsidR="005F26CE" w:rsidRPr="004F4352">
              <w:rPr>
                <w:lang w:val="en-GB"/>
              </w:rPr>
              <w:t xml:space="preserve">, </w:t>
            </w:r>
            <w:proofErr w:type="spellStart"/>
            <w:r w:rsidR="005F26CE" w:rsidRPr="004F4352">
              <w:rPr>
                <w:lang w:val="en-GB"/>
              </w:rPr>
              <w:t>energeti</w:t>
            </w:r>
            <w:r w:rsidR="00FF3F4C">
              <w:rPr>
                <w:lang w:val="en-GB"/>
              </w:rPr>
              <w:t>cs</w:t>
            </w:r>
            <w:proofErr w:type="spellEnd"/>
            <w:r w:rsidR="005F26CE" w:rsidRPr="004F4352">
              <w:rPr>
                <w:lang w:val="en-GB"/>
              </w:rPr>
              <w:t>,</w:t>
            </w:r>
            <w:r w:rsidR="00960769" w:rsidRPr="004F4352">
              <w:rPr>
                <w:lang w:val="en-GB"/>
              </w:rPr>
              <w:t xml:space="preserve"> </w:t>
            </w:r>
            <w:r w:rsidR="006F7709">
              <w:rPr>
                <w:lang w:val="en-GB"/>
              </w:rPr>
              <w:t>water supply</w:t>
            </w:r>
            <w:r w:rsidR="00FF3F4C">
              <w:rPr>
                <w:lang w:val="en-GB"/>
              </w:rPr>
              <w:t xml:space="preserve"> </w:t>
            </w:r>
            <w:r w:rsidR="00960769" w:rsidRPr="004F4352">
              <w:rPr>
                <w:lang w:val="en-GB"/>
              </w:rPr>
              <w:t xml:space="preserve">– </w:t>
            </w:r>
            <w:r w:rsidR="008954A8">
              <w:rPr>
                <w:lang w:val="en-GB"/>
              </w:rPr>
              <w:t>w</w:t>
            </w:r>
            <w:r w:rsidR="001F726C">
              <w:rPr>
                <w:lang w:val="en-GB"/>
              </w:rPr>
              <w:t>ere</w:t>
            </w:r>
            <w:r w:rsidR="008954A8">
              <w:rPr>
                <w:lang w:val="en-GB"/>
              </w:rPr>
              <w:t xml:space="preserve"> declining (</w:t>
            </w:r>
            <w:r w:rsidR="005F26CE" w:rsidRPr="004F4352">
              <w:rPr>
                <w:lang w:val="en-GB"/>
              </w:rPr>
              <w:t>-0</w:t>
            </w:r>
            <w:r w:rsidR="008954A8">
              <w:rPr>
                <w:lang w:val="en-GB"/>
              </w:rPr>
              <w:t>.</w:t>
            </w:r>
            <w:r w:rsidR="005F26CE" w:rsidRPr="004F4352">
              <w:rPr>
                <w:lang w:val="en-GB"/>
              </w:rPr>
              <w:t>1 p</w:t>
            </w:r>
            <w:r w:rsidR="00D41281" w:rsidRPr="004F4352">
              <w:rPr>
                <w:lang w:val="en-GB"/>
              </w:rPr>
              <w:t>.</w:t>
            </w:r>
            <w:r w:rsidR="00C47694" w:rsidRPr="004F4352">
              <w:rPr>
                <w:lang w:val="en-GB"/>
              </w:rPr>
              <w:t>p</w:t>
            </w:r>
            <w:r w:rsidR="005F26CE" w:rsidRPr="004F4352">
              <w:rPr>
                <w:lang w:val="en-GB"/>
              </w:rPr>
              <w:t>.)</w:t>
            </w:r>
            <w:r w:rsidR="00960769" w:rsidRPr="004F4352">
              <w:rPr>
                <w:lang w:val="en-GB"/>
              </w:rPr>
              <w:t>.</w:t>
            </w:r>
            <w:r w:rsidR="008954A8">
              <w:rPr>
                <w:lang w:val="en-GB"/>
              </w:rPr>
              <w:t xml:space="preserve"> Services hiked up by </w:t>
            </w:r>
            <w:r w:rsidR="00F11E59">
              <w:rPr>
                <w:lang w:val="en-GB"/>
              </w:rPr>
              <w:t>3</w:t>
            </w:r>
            <w:r w:rsidR="00960769" w:rsidRPr="004F4352">
              <w:rPr>
                <w:lang w:val="en-GB"/>
              </w:rPr>
              <w:t>% a</w:t>
            </w:r>
            <w:r w:rsidR="008954A8">
              <w:rPr>
                <w:lang w:val="en-GB"/>
              </w:rPr>
              <w:t xml:space="preserve">nd contributed </w:t>
            </w:r>
            <w:r w:rsidR="00883A67" w:rsidRPr="004F4352">
              <w:rPr>
                <w:lang w:val="en-GB"/>
              </w:rPr>
              <w:t>+</w:t>
            </w:r>
            <w:r w:rsidR="00960769" w:rsidRPr="004F4352">
              <w:rPr>
                <w:lang w:val="en-GB"/>
              </w:rPr>
              <w:t>1</w:t>
            </w:r>
            <w:r w:rsidR="008954A8">
              <w:rPr>
                <w:lang w:val="en-GB"/>
              </w:rPr>
              <w:t>.</w:t>
            </w:r>
            <w:r w:rsidR="00960769" w:rsidRPr="004F4352">
              <w:rPr>
                <w:lang w:val="en-GB"/>
              </w:rPr>
              <w:t>8 p</w:t>
            </w:r>
            <w:r w:rsidR="00D41281" w:rsidRPr="004F4352">
              <w:rPr>
                <w:lang w:val="en-GB"/>
              </w:rPr>
              <w:t>.</w:t>
            </w:r>
            <w:r w:rsidR="008954A8">
              <w:rPr>
                <w:lang w:val="en-GB"/>
              </w:rPr>
              <w:t>p</w:t>
            </w:r>
            <w:r w:rsidR="00960769" w:rsidRPr="004F4352">
              <w:rPr>
                <w:lang w:val="en-GB"/>
              </w:rPr>
              <w:t>.</w:t>
            </w:r>
            <w:r w:rsidR="008954A8">
              <w:rPr>
                <w:lang w:val="en-GB"/>
              </w:rPr>
              <w:t xml:space="preserve"> to the growth</w:t>
            </w:r>
            <w:r w:rsidR="00960769" w:rsidRPr="004F4352">
              <w:rPr>
                <w:lang w:val="en-GB"/>
              </w:rPr>
              <w:t xml:space="preserve">, </w:t>
            </w:r>
            <w:r w:rsidR="008954A8">
              <w:rPr>
                <w:lang w:val="en-GB"/>
              </w:rPr>
              <w:t xml:space="preserve">with the important fact, that a wider spectrum of branches prospered in comparison to </w:t>
            </w:r>
            <w:r w:rsidR="00960769" w:rsidRPr="004F4352">
              <w:rPr>
                <w:spacing w:val="-2"/>
                <w:lang w:val="en-GB"/>
              </w:rPr>
              <w:t xml:space="preserve">2014. </w:t>
            </w:r>
            <w:r w:rsidR="008954A8">
              <w:rPr>
                <w:spacing w:val="-2"/>
                <w:lang w:val="en-GB"/>
              </w:rPr>
              <w:t xml:space="preserve">Trade, transportation, accommodation and </w:t>
            </w:r>
            <w:r w:rsidR="00FF3F4C">
              <w:rPr>
                <w:spacing w:val="-2"/>
                <w:lang w:val="en-GB"/>
              </w:rPr>
              <w:t xml:space="preserve">food service </w:t>
            </w:r>
            <w:r w:rsidR="008954A8">
              <w:rPr>
                <w:lang w:val="en-GB"/>
              </w:rPr>
              <w:t xml:space="preserve">added together </w:t>
            </w:r>
            <w:r w:rsidR="00960769" w:rsidRPr="004F4352">
              <w:rPr>
                <w:lang w:val="en-GB"/>
              </w:rPr>
              <w:t>+0</w:t>
            </w:r>
            <w:r w:rsidR="008954A8">
              <w:rPr>
                <w:lang w:val="en-GB"/>
              </w:rPr>
              <w:t>.</w:t>
            </w:r>
            <w:r w:rsidR="00960769" w:rsidRPr="004F4352">
              <w:rPr>
                <w:lang w:val="en-GB"/>
              </w:rPr>
              <w:t>4 p</w:t>
            </w:r>
            <w:r w:rsidR="00D41281" w:rsidRPr="004F4352">
              <w:rPr>
                <w:lang w:val="en-GB"/>
              </w:rPr>
              <w:t>.</w:t>
            </w:r>
            <w:r w:rsidR="008954A8">
              <w:rPr>
                <w:lang w:val="en-GB"/>
              </w:rPr>
              <w:t>p</w:t>
            </w:r>
            <w:r w:rsidR="00893648" w:rsidRPr="004F4352">
              <w:rPr>
                <w:lang w:val="en-GB"/>
              </w:rPr>
              <w:t>.</w:t>
            </w:r>
            <w:r w:rsidR="00960769" w:rsidRPr="004F4352">
              <w:rPr>
                <w:lang w:val="en-GB"/>
              </w:rPr>
              <w:t xml:space="preserve">, </w:t>
            </w:r>
            <w:r w:rsidR="008954A8">
              <w:rPr>
                <w:lang w:val="en-GB"/>
              </w:rPr>
              <w:t xml:space="preserve">the branches with a </w:t>
            </w:r>
            <w:r w:rsidR="00801818">
              <w:rPr>
                <w:lang w:val="en-GB"/>
              </w:rPr>
              <w:t>dominance of</w:t>
            </w:r>
            <w:r w:rsidR="008954A8">
              <w:rPr>
                <w:lang w:val="en-GB"/>
              </w:rPr>
              <w:t xml:space="preserve"> public sector </w:t>
            </w:r>
            <w:r w:rsidR="006F7709" w:rsidRPr="004F4352">
              <w:rPr>
                <w:lang w:val="en-GB"/>
              </w:rPr>
              <w:t>(CZ-NACE O</w:t>
            </w:r>
            <w:r w:rsidR="006F7709">
              <w:rPr>
                <w:lang w:val="en-GB"/>
              </w:rPr>
              <w:t xml:space="preserve"> to </w:t>
            </w:r>
            <w:r w:rsidR="006F7709" w:rsidRPr="004F4352">
              <w:rPr>
                <w:lang w:val="en-GB"/>
              </w:rPr>
              <w:t>Q)</w:t>
            </w:r>
            <w:r w:rsidR="006F7709">
              <w:rPr>
                <w:lang w:val="en-GB"/>
              </w:rPr>
              <w:t xml:space="preserve"> </w:t>
            </w:r>
            <w:r w:rsidR="008954A8">
              <w:rPr>
                <w:lang w:val="en-GB"/>
              </w:rPr>
              <w:t>also participated by an equal share on the economic growth</w:t>
            </w:r>
            <w:r w:rsidR="00960769" w:rsidRPr="004F4352">
              <w:rPr>
                <w:lang w:val="en-GB"/>
              </w:rPr>
              <w:t xml:space="preserve">. </w:t>
            </w:r>
            <w:r w:rsidR="008954A8">
              <w:rPr>
                <w:lang w:val="en-GB"/>
              </w:rPr>
              <w:t xml:space="preserve">Fast growing information and communication </w:t>
            </w:r>
            <w:r w:rsidR="00F11E59">
              <w:rPr>
                <w:lang w:val="en-GB"/>
              </w:rPr>
              <w:t>(+7</w:t>
            </w:r>
            <w:r w:rsidR="00960769" w:rsidRPr="004F4352">
              <w:rPr>
                <w:lang w:val="en-GB"/>
              </w:rPr>
              <w:t xml:space="preserve">%) </w:t>
            </w:r>
            <w:r w:rsidR="00B51C00">
              <w:rPr>
                <w:lang w:val="en-GB"/>
              </w:rPr>
              <w:t xml:space="preserve">contributed </w:t>
            </w:r>
            <w:r w:rsidR="00960769" w:rsidRPr="004F4352">
              <w:rPr>
                <w:lang w:val="en-GB"/>
              </w:rPr>
              <w:t>+0</w:t>
            </w:r>
            <w:r w:rsidR="00B51C00">
              <w:rPr>
                <w:lang w:val="en-GB"/>
              </w:rPr>
              <w:t>.</w:t>
            </w:r>
            <w:r w:rsidR="00960769" w:rsidRPr="004F4352">
              <w:rPr>
                <w:lang w:val="en-GB"/>
              </w:rPr>
              <w:t>3 p</w:t>
            </w:r>
            <w:r w:rsidR="00D41281" w:rsidRPr="004F4352">
              <w:rPr>
                <w:lang w:val="en-GB"/>
              </w:rPr>
              <w:t>.</w:t>
            </w:r>
            <w:r w:rsidR="00B51C00">
              <w:rPr>
                <w:lang w:val="en-GB"/>
              </w:rPr>
              <w:t>p</w:t>
            </w:r>
            <w:r w:rsidR="00960769" w:rsidRPr="004F4352">
              <w:rPr>
                <w:lang w:val="en-GB"/>
              </w:rPr>
              <w:t>.,</w:t>
            </w:r>
            <w:r w:rsidR="00B51C00">
              <w:rPr>
                <w:lang w:val="en-GB"/>
              </w:rPr>
              <w:t xml:space="preserve"> the same as the professional, </w:t>
            </w:r>
            <w:r w:rsidR="006F7709">
              <w:rPr>
                <w:lang w:val="en-GB"/>
              </w:rPr>
              <w:t xml:space="preserve">scientific, </w:t>
            </w:r>
            <w:r w:rsidR="00B51C00">
              <w:rPr>
                <w:lang w:val="en-GB"/>
              </w:rPr>
              <w:t>technical and administrative activities, that are more significant by weight</w:t>
            </w:r>
            <w:r w:rsidR="00960769" w:rsidRPr="004F4352">
              <w:rPr>
                <w:lang w:val="en-GB"/>
              </w:rPr>
              <w:t>.</w:t>
            </w:r>
          </w:p>
          <w:p w:rsidR="00960769" w:rsidRPr="004F4352" w:rsidRDefault="00960769" w:rsidP="00960769">
            <w:pPr>
              <w:pStyle w:val="Textpoznpodarou"/>
              <w:jc w:val="both"/>
              <w:rPr>
                <w:sz w:val="18"/>
                <w:szCs w:val="18"/>
                <w:lang w:val="en-GB"/>
              </w:rPr>
            </w:pPr>
          </w:p>
        </w:tc>
      </w:tr>
      <w:tr w:rsidR="00960769" w:rsidRPr="002A7D6D" w:rsidTr="00960769">
        <w:tc>
          <w:tcPr>
            <w:tcW w:w="1054" w:type="pct"/>
          </w:tcPr>
          <w:p w:rsidR="00960769" w:rsidRPr="0056640C" w:rsidRDefault="00960769" w:rsidP="0056640C">
            <w:pPr>
              <w:spacing w:line="240" w:lineRule="auto"/>
              <w:rPr>
                <w:sz w:val="16"/>
                <w:szCs w:val="16"/>
                <w:lang w:val="en-GB"/>
              </w:rPr>
            </w:pPr>
            <w:r w:rsidRPr="0056640C">
              <w:rPr>
                <w:sz w:val="16"/>
                <w:szCs w:val="16"/>
                <w:lang w:val="en-GB"/>
              </w:rPr>
              <w:t xml:space="preserve">… </w:t>
            </w:r>
            <w:r w:rsidR="0056640C" w:rsidRPr="0056640C">
              <w:rPr>
                <w:sz w:val="16"/>
                <w:szCs w:val="16"/>
                <w:lang w:val="en-GB"/>
              </w:rPr>
              <w:t xml:space="preserve">the contribution of construction remained the same as in the preceding year </w:t>
            </w:r>
            <w:r w:rsidRPr="0056640C">
              <w:rPr>
                <w:sz w:val="16"/>
                <w:szCs w:val="16"/>
                <w:lang w:val="en-GB"/>
              </w:rPr>
              <w:t>(+0</w:t>
            </w:r>
            <w:r w:rsidR="0056640C" w:rsidRPr="0056640C">
              <w:rPr>
                <w:sz w:val="16"/>
                <w:szCs w:val="16"/>
                <w:lang w:val="en-GB"/>
              </w:rPr>
              <w:t>.</w:t>
            </w:r>
            <w:r w:rsidRPr="0056640C">
              <w:rPr>
                <w:sz w:val="16"/>
                <w:szCs w:val="16"/>
                <w:lang w:val="en-GB"/>
              </w:rPr>
              <w:t>2 p</w:t>
            </w:r>
            <w:r w:rsidR="00D41281" w:rsidRPr="0056640C">
              <w:rPr>
                <w:sz w:val="16"/>
                <w:szCs w:val="16"/>
                <w:lang w:val="en-GB"/>
              </w:rPr>
              <w:t>.</w:t>
            </w:r>
            <w:r w:rsidR="00C47694" w:rsidRPr="0056640C">
              <w:rPr>
                <w:sz w:val="16"/>
                <w:szCs w:val="16"/>
                <w:lang w:val="en-GB"/>
              </w:rPr>
              <w:t>p</w:t>
            </w:r>
            <w:r w:rsidRPr="0056640C">
              <w:rPr>
                <w:sz w:val="16"/>
                <w:szCs w:val="16"/>
                <w:lang w:val="en-GB"/>
              </w:rPr>
              <w:t>.)</w:t>
            </w:r>
          </w:p>
        </w:tc>
        <w:tc>
          <w:tcPr>
            <w:tcW w:w="143" w:type="pct"/>
          </w:tcPr>
          <w:p w:rsidR="00960769" w:rsidRPr="0056640C" w:rsidRDefault="00960769" w:rsidP="00960769">
            <w:pPr>
              <w:pStyle w:val="Textpoznpodarou"/>
              <w:jc w:val="both"/>
              <w:rPr>
                <w:lang w:val="en-GB"/>
              </w:rPr>
            </w:pPr>
          </w:p>
        </w:tc>
        <w:tc>
          <w:tcPr>
            <w:tcW w:w="3803" w:type="pct"/>
          </w:tcPr>
          <w:p w:rsidR="00960769" w:rsidRPr="0056640C" w:rsidRDefault="0056640C" w:rsidP="0056640C">
            <w:pPr>
              <w:pStyle w:val="Textpoznpodarou"/>
              <w:jc w:val="both"/>
              <w:rPr>
                <w:lang w:val="en-GB"/>
              </w:rPr>
            </w:pPr>
            <w:r w:rsidRPr="0056640C">
              <w:rPr>
                <w:lang w:val="en-GB"/>
              </w:rPr>
              <w:t xml:space="preserve">The inflow of finances into construction from the EU funds ensured, that this branch was growing by a solid pace also in the last year. The contribution to the total growth did not change and stayed the same as in year </w:t>
            </w:r>
            <w:r w:rsidR="00960769" w:rsidRPr="0056640C">
              <w:rPr>
                <w:lang w:val="en-GB"/>
              </w:rPr>
              <w:t>2014 (+0</w:t>
            </w:r>
            <w:r w:rsidRPr="0056640C">
              <w:rPr>
                <w:lang w:val="en-GB"/>
              </w:rPr>
              <w:t>.</w:t>
            </w:r>
            <w:r w:rsidR="00960769" w:rsidRPr="0056640C">
              <w:rPr>
                <w:lang w:val="en-GB"/>
              </w:rPr>
              <w:t>2 p</w:t>
            </w:r>
            <w:r w:rsidR="00D41281" w:rsidRPr="0056640C">
              <w:rPr>
                <w:lang w:val="en-GB"/>
              </w:rPr>
              <w:t>.</w:t>
            </w:r>
            <w:r w:rsidR="00C47694" w:rsidRPr="0056640C">
              <w:rPr>
                <w:lang w:val="en-GB"/>
              </w:rPr>
              <w:t>p</w:t>
            </w:r>
            <w:r w:rsidR="00960769" w:rsidRPr="0056640C">
              <w:rPr>
                <w:lang w:val="en-GB"/>
              </w:rPr>
              <w:t xml:space="preserve">.). </w:t>
            </w:r>
            <w:r w:rsidRPr="0056640C">
              <w:rPr>
                <w:lang w:val="en-GB"/>
              </w:rPr>
              <w:t xml:space="preserve">Agriculture, forestry and fishing however slowed down due to the high basis associated with a very good harvest and did not share in the growth. </w:t>
            </w:r>
          </w:p>
        </w:tc>
      </w:tr>
    </w:tbl>
    <w:p w:rsidR="00960769" w:rsidRPr="00960769" w:rsidRDefault="00960769" w:rsidP="00960769">
      <w:pPr>
        <w:pStyle w:val="Textpoznpodarou"/>
        <w:jc w:val="both"/>
        <w:rPr>
          <w:sz w:val="16"/>
          <w:szCs w:val="16"/>
        </w:rPr>
      </w:pPr>
    </w:p>
    <w:tbl>
      <w:tblPr>
        <w:tblW w:w="5000" w:type="pct"/>
        <w:tblLayout w:type="fixed"/>
        <w:tblLook w:val="04A0"/>
      </w:tblPr>
      <w:tblGrid>
        <w:gridCol w:w="1062"/>
        <w:gridCol w:w="3867"/>
        <w:gridCol w:w="717"/>
        <w:gridCol w:w="4208"/>
      </w:tblGrid>
      <w:tr w:rsidR="00960769" w:rsidRPr="00C47694" w:rsidTr="003A1F8C">
        <w:tc>
          <w:tcPr>
            <w:tcW w:w="539" w:type="pct"/>
          </w:tcPr>
          <w:p w:rsidR="00960769" w:rsidRPr="00FF314F" w:rsidRDefault="00C72A00" w:rsidP="00C72A00">
            <w:pPr>
              <w:pStyle w:val="Textpoznpodarou"/>
              <w:rPr>
                <w:lang w:eastAsia="en-US"/>
              </w:rPr>
            </w:pPr>
            <w:r>
              <w:rPr>
                <w:lang w:eastAsia="en-US"/>
              </w:rPr>
              <w:t xml:space="preserve">Chart </w:t>
            </w:r>
            <w:r w:rsidR="00960769" w:rsidRPr="00FF314F">
              <w:rPr>
                <w:lang w:eastAsia="en-US"/>
              </w:rPr>
              <w:t>1</w:t>
            </w:r>
          </w:p>
        </w:tc>
        <w:tc>
          <w:tcPr>
            <w:tcW w:w="1962" w:type="pct"/>
          </w:tcPr>
          <w:p w:rsidR="00960769" w:rsidRPr="00FF314F" w:rsidRDefault="00C72A00" w:rsidP="00C72A00">
            <w:pPr>
              <w:pStyle w:val="Textpoznpodarou"/>
              <w:rPr>
                <w:lang w:eastAsia="en-US"/>
              </w:rPr>
            </w:pPr>
            <w:r>
              <w:rPr>
                <w:b/>
                <w:lang w:eastAsia="en-US"/>
              </w:rPr>
              <w:t>GDP</w:t>
            </w:r>
            <w:r w:rsidR="00960769" w:rsidRPr="00960769">
              <w:rPr>
                <w:b/>
                <w:lang w:eastAsia="en-US"/>
              </w:rPr>
              <w:t xml:space="preserve"> </w:t>
            </w:r>
            <w:r w:rsidR="00960769" w:rsidRPr="00FF314F">
              <w:rPr>
                <w:lang w:eastAsia="en-US"/>
              </w:rPr>
              <w:t>(</w:t>
            </w:r>
            <w:r w:rsidRPr="00C72A00">
              <w:rPr>
                <w:lang w:val="en-GB" w:eastAsia="en-US"/>
              </w:rPr>
              <w:t>constant prices</w:t>
            </w:r>
            <w:r w:rsidR="00960769" w:rsidRPr="00C72A00">
              <w:rPr>
                <w:lang w:val="en-GB" w:eastAsia="en-US"/>
              </w:rPr>
              <w:t xml:space="preserve">, </w:t>
            </w:r>
            <w:r w:rsidRPr="00C72A00">
              <w:rPr>
                <w:lang w:val="en-GB" w:eastAsia="en-US"/>
              </w:rPr>
              <w:t>adjusted for seasonal and calendar effects</w:t>
            </w:r>
            <w:r w:rsidR="00960769" w:rsidRPr="00C72A00">
              <w:rPr>
                <w:lang w:val="en-GB" w:eastAsia="en-US"/>
              </w:rPr>
              <w:t xml:space="preserve">, </w:t>
            </w:r>
            <w:r w:rsidRPr="00C72A00">
              <w:rPr>
                <w:lang w:val="en-GB" w:eastAsia="en-US"/>
              </w:rPr>
              <w:t>in</w:t>
            </w:r>
            <w:r w:rsidR="00B21913">
              <w:rPr>
                <w:lang w:val="en-GB" w:eastAsia="en-US"/>
              </w:rPr>
              <w:t xml:space="preserve"> </w:t>
            </w:r>
            <w:r w:rsidR="00960769" w:rsidRPr="00C72A00">
              <w:rPr>
                <w:lang w:val="en-GB" w:eastAsia="en-US"/>
              </w:rPr>
              <w:t>%)</w:t>
            </w:r>
          </w:p>
        </w:tc>
        <w:tc>
          <w:tcPr>
            <w:tcW w:w="364" w:type="pct"/>
          </w:tcPr>
          <w:p w:rsidR="00960769" w:rsidRPr="00FF314F" w:rsidRDefault="00C47694" w:rsidP="00C47694">
            <w:pPr>
              <w:pStyle w:val="Textpoznpodarou"/>
              <w:rPr>
                <w:lang w:eastAsia="en-US"/>
              </w:rPr>
            </w:pPr>
            <w:r>
              <w:rPr>
                <w:lang w:eastAsia="en-US"/>
              </w:rPr>
              <w:t xml:space="preserve">Chart </w:t>
            </w:r>
            <w:r w:rsidR="00960769" w:rsidRPr="00FF314F">
              <w:rPr>
                <w:lang w:eastAsia="en-US"/>
              </w:rPr>
              <w:t>2</w:t>
            </w:r>
          </w:p>
        </w:tc>
        <w:tc>
          <w:tcPr>
            <w:tcW w:w="2135" w:type="pct"/>
          </w:tcPr>
          <w:p w:rsidR="00960769" w:rsidRPr="00C47694" w:rsidRDefault="00C47694" w:rsidP="00C47694">
            <w:pPr>
              <w:pStyle w:val="Textpoznpodarou"/>
              <w:rPr>
                <w:spacing w:val="-2"/>
                <w:lang w:val="en-GB" w:eastAsia="en-US"/>
              </w:rPr>
            </w:pPr>
            <w:r w:rsidRPr="00C47694">
              <w:rPr>
                <w:b/>
                <w:spacing w:val="-2"/>
                <w:lang w:val="en-GB" w:eastAsia="en-US"/>
              </w:rPr>
              <w:t xml:space="preserve">GDP </w:t>
            </w:r>
            <w:r w:rsidR="00960769" w:rsidRPr="00C47694">
              <w:rPr>
                <w:spacing w:val="-2"/>
                <w:lang w:val="en-GB" w:eastAsia="en-US"/>
              </w:rPr>
              <w:t>(</w:t>
            </w:r>
            <w:r w:rsidRPr="00C47694">
              <w:rPr>
                <w:spacing w:val="-2"/>
                <w:lang w:val="en-GB" w:eastAsia="en-US"/>
              </w:rPr>
              <w:t>constant prices</w:t>
            </w:r>
            <w:r w:rsidR="00960769" w:rsidRPr="00C47694">
              <w:rPr>
                <w:spacing w:val="-2"/>
                <w:lang w:val="en-GB" w:eastAsia="en-US"/>
              </w:rPr>
              <w:t xml:space="preserve">, </w:t>
            </w:r>
            <w:r w:rsidRPr="00C47694">
              <w:rPr>
                <w:spacing w:val="-2"/>
                <w:lang w:val="en-GB" w:eastAsia="en-US"/>
              </w:rPr>
              <w:t>adjusted for seasonal and calendar effects</w:t>
            </w:r>
            <w:r w:rsidR="00960769" w:rsidRPr="00C47694">
              <w:rPr>
                <w:spacing w:val="-2"/>
                <w:lang w:val="en-GB" w:eastAsia="en-US"/>
              </w:rPr>
              <w:t xml:space="preserve">, y/y </w:t>
            </w:r>
            <w:r w:rsidRPr="00C47694">
              <w:rPr>
                <w:spacing w:val="-2"/>
                <w:lang w:val="en-GB" w:eastAsia="en-US"/>
              </w:rPr>
              <w:t>in</w:t>
            </w:r>
            <w:r w:rsidR="00960769" w:rsidRPr="00C47694">
              <w:rPr>
                <w:spacing w:val="-2"/>
                <w:lang w:val="en-GB" w:eastAsia="en-US"/>
              </w:rPr>
              <w:t xml:space="preserve"> %, </w:t>
            </w:r>
            <w:r w:rsidRPr="00C47694">
              <w:rPr>
                <w:spacing w:val="-2"/>
                <w:lang w:val="en-GB" w:eastAsia="en-US"/>
              </w:rPr>
              <w:t>right axis</w:t>
            </w:r>
            <w:r w:rsidR="00960769" w:rsidRPr="00C47694">
              <w:rPr>
                <w:spacing w:val="-2"/>
                <w:lang w:val="en-GB" w:eastAsia="en-US"/>
              </w:rPr>
              <w:t xml:space="preserve">) </w:t>
            </w:r>
            <w:r w:rsidR="00960769" w:rsidRPr="00C47694">
              <w:rPr>
                <w:b/>
                <w:spacing w:val="-2"/>
                <w:lang w:val="en-GB" w:eastAsia="en-US"/>
              </w:rPr>
              <w:t>a</w:t>
            </w:r>
            <w:r w:rsidRPr="00C47694">
              <w:rPr>
                <w:b/>
                <w:spacing w:val="-2"/>
                <w:lang w:val="en-GB" w:eastAsia="en-US"/>
              </w:rPr>
              <w:t xml:space="preserve">nd confidence indicators </w:t>
            </w:r>
            <w:r w:rsidR="00960769" w:rsidRPr="00C47694">
              <w:rPr>
                <w:spacing w:val="-2"/>
                <w:lang w:val="en-GB" w:eastAsia="en-US"/>
              </w:rPr>
              <w:t>(2005=100, le</w:t>
            </w:r>
            <w:r w:rsidRPr="00C47694">
              <w:rPr>
                <w:spacing w:val="-2"/>
                <w:lang w:val="en-GB" w:eastAsia="en-US"/>
              </w:rPr>
              <w:t>ft axis</w:t>
            </w:r>
            <w:r w:rsidR="00960769" w:rsidRPr="00C47694">
              <w:rPr>
                <w:spacing w:val="-2"/>
                <w:lang w:val="en-GB" w:eastAsia="en-US"/>
              </w:rPr>
              <w:t>)</w:t>
            </w:r>
          </w:p>
        </w:tc>
      </w:tr>
      <w:tr w:rsidR="00960769" w:rsidRPr="006133A2" w:rsidTr="003A1F8C">
        <w:tc>
          <w:tcPr>
            <w:tcW w:w="2501" w:type="pct"/>
            <w:gridSpan w:val="2"/>
          </w:tcPr>
          <w:p w:rsidR="00960769" w:rsidRPr="00960769" w:rsidRDefault="008211C3" w:rsidP="00960769">
            <w:pPr>
              <w:pStyle w:val="Textpoznpodarou"/>
              <w:jc w:val="both"/>
              <w:rPr>
                <w:color w:val="FF0000"/>
                <w:lang w:eastAsia="en-US"/>
              </w:rPr>
            </w:pPr>
            <w:r w:rsidRPr="008211C3">
              <w:rPr>
                <w:noProof/>
                <w:color w:val="FF0000"/>
              </w:rPr>
              <w:drawing>
                <wp:inline distT="0" distB="0" distL="0" distR="0">
                  <wp:extent cx="3017520" cy="2377440"/>
                  <wp:effectExtent l="19050" t="0" r="0" b="0"/>
                  <wp:docPr id="2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3017520" cy="2377440"/>
                          </a:xfrm>
                          <a:prstGeom prst="rect">
                            <a:avLst/>
                          </a:prstGeom>
                          <a:noFill/>
                        </pic:spPr>
                      </pic:pic>
                    </a:graphicData>
                  </a:graphic>
                </wp:inline>
              </w:drawing>
            </w:r>
          </w:p>
        </w:tc>
        <w:tc>
          <w:tcPr>
            <w:tcW w:w="2499" w:type="pct"/>
            <w:gridSpan w:val="2"/>
          </w:tcPr>
          <w:p w:rsidR="00960769" w:rsidRPr="00960769" w:rsidRDefault="008211C3" w:rsidP="00960769">
            <w:pPr>
              <w:pStyle w:val="Textpoznpodarou"/>
              <w:jc w:val="both"/>
              <w:rPr>
                <w:color w:val="FF0000"/>
                <w:lang w:eastAsia="en-US"/>
              </w:rPr>
            </w:pPr>
            <w:r w:rsidRPr="008211C3">
              <w:rPr>
                <w:noProof/>
                <w:color w:val="FF0000"/>
              </w:rPr>
              <w:drawing>
                <wp:inline distT="0" distB="0" distL="0" distR="0">
                  <wp:extent cx="3005455" cy="2377440"/>
                  <wp:effectExtent l="19050" t="0" r="4445" b="0"/>
                  <wp:docPr id="31"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3005455" cy="2377440"/>
                          </a:xfrm>
                          <a:prstGeom prst="rect">
                            <a:avLst/>
                          </a:prstGeom>
                          <a:noFill/>
                        </pic:spPr>
                      </pic:pic>
                    </a:graphicData>
                  </a:graphic>
                </wp:inline>
              </w:drawing>
            </w:r>
          </w:p>
        </w:tc>
      </w:tr>
      <w:tr w:rsidR="00960769" w:rsidRPr="006133A2" w:rsidTr="003A1F8C">
        <w:tc>
          <w:tcPr>
            <w:tcW w:w="5000" w:type="pct"/>
            <w:gridSpan w:val="4"/>
          </w:tcPr>
          <w:p w:rsidR="00960769" w:rsidRPr="00960769" w:rsidRDefault="001946B9" w:rsidP="001946B9">
            <w:pPr>
              <w:pStyle w:val="Textpoznpodarou"/>
              <w:jc w:val="right"/>
              <w:rPr>
                <w:sz w:val="18"/>
                <w:szCs w:val="18"/>
                <w:lang w:eastAsia="en-US"/>
              </w:rPr>
            </w:pPr>
            <w:r>
              <w:rPr>
                <w:sz w:val="18"/>
                <w:szCs w:val="18"/>
                <w:lang w:eastAsia="en-US"/>
              </w:rPr>
              <w:t>Source</w:t>
            </w:r>
            <w:r w:rsidR="00960769" w:rsidRPr="00960769">
              <w:rPr>
                <w:sz w:val="18"/>
                <w:szCs w:val="18"/>
                <w:lang w:eastAsia="en-US"/>
              </w:rPr>
              <w:t xml:space="preserve">: </w:t>
            </w:r>
            <w:r>
              <w:rPr>
                <w:sz w:val="18"/>
                <w:szCs w:val="18"/>
                <w:lang w:eastAsia="en-US"/>
              </w:rPr>
              <w:t>CZSO</w:t>
            </w:r>
            <w:r w:rsidR="00960769" w:rsidRPr="00960769">
              <w:rPr>
                <w:sz w:val="18"/>
                <w:szCs w:val="18"/>
                <w:lang w:eastAsia="en-US"/>
              </w:rPr>
              <w:t>, Eurostat</w:t>
            </w:r>
          </w:p>
        </w:tc>
      </w:tr>
    </w:tbl>
    <w:p w:rsidR="00960769" w:rsidRDefault="00960769" w:rsidP="00960769">
      <w:pPr>
        <w:pStyle w:val="Textpoznpodarou"/>
        <w:jc w:val="both"/>
        <w:rPr>
          <w:sz w:val="16"/>
          <w:szCs w:val="16"/>
        </w:rPr>
      </w:pPr>
    </w:p>
    <w:p w:rsidR="008211C3" w:rsidRDefault="008211C3" w:rsidP="00960769">
      <w:pPr>
        <w:pStyle w:val="Textpoznpodarou"/>
        <w:jc w:val="both"/>
        <w:rPr>
          <w:sz w:val="16"/>
          <w:szCs w:val="16"/>
        </w:rPr>
      </w:pPr>
    </w:p>
    <w:p w:rsidR="008211C3" w:rsidRDefault="008211C3" w:rsidP="00960769">
      <w:pPr>
        <w:pStyle w:val="Textpoznpodarou"/>
        <w:jc w:val="both"/>
        <w:rPr>
          <w:sz w:val="16"/>
          <w:szCs w:val="16"/>
        </w:rPr>
      </w:pPr>
    </w:p>
    <w:p w:rsidR="008211C3" w:rsidRDefault="008211C3" w:rsidP="00960769">
      <w:pPr>
        <w:pStyle w:val="Textpoznpodarou"/>
        <w:jc w:val="both"/>
        <w:rPr>
          <w:sz w:val="16"/>
          <w:szCs w:val="16"/>
        </w:rPr>
      </w:pPr>
    </w:p>
    <w:p w:rsidR="008211C3" w:rsidRDefault="008211C3" w:rsidP="00960769">
      <w:pPr>
        <w:pStyle w:val="Textpoznpodarou"/>
        <w:jc w:val="both"/>
        <w:rPr>
          <w:sz w:val="16"/>
          <w:szCs w:val="16"/>
        </w:rPr>
      </w:pPr>
    </w:p>
    <w:p w:rsidR="008211C3" w:rsidRPr="00960769" w:rsidRDefault="008211C3" w:rsidP="00960769">
      <w:pPr>
        <w:pStyle w:val="Textpoznpodarou"/>
        <w:jc w:val="both"/>
        <w:rPr>
          <w:sz w:val="16"/>
          <w:szCs w:val="16"/>
        </w:rPr>
      </w:pPr>
    </w:p>
    <w:tbl>
      <w:tblPr>
        <w:tblW w:w="5000" w:type="pct"/>
        <w:tblLook w:val="04A0"/>
      </w:tblPr>
      <w:tblGrid>
        <w:gridCol w:w="816"/>
        <w:gridCol w:w="4104"/>
        <w:gridCol w:w="1009"/>
        <w:gridCol w:w="1393"/>
        <w:gridCol w:w="2532"/>
      </w:tblGrid>
      <w:tr w:rsidR="001946B9" w:rsidRPr="006133A2" w:rsidTr="003A1F8C">
        <w:tc>
          <w:tcPr>
            <w:tcW w:w="415" w:type="pct"/>
          </w:tcPr>
          <w:p w:rsidR="00960769" w:rsidRPr="00FF314F" w:rsidRDefault="001946B9" w:rsidP="001946B9">
            <w:pPr>
              <w:pStyle w:val="Textpoznpodarou"/>
              <w:rPr>
                <w:lang w:eastAsia="en-US"/>
              </w:rPr>
            </w:pPr>
            <w:r>
              <w:rPr>
                <w:lang w:eastAsia="en-US"/>
              </w:rPr>
              <w:lastRenderedPageBreak/>
              <w:t>Chart</w:t>
            </w:r>
            <w:r w:rsidR="00960769" w:rsidRPr="00FF314F">
              <w:rPr>
                <w:lang w:eastAsia="en-US"/>
              </w:rPr>
              <w:t xml:space="preserve"> 3</w:t>
            </w:r>
          </w:p>
        </w:tc>
        <w:tc>
          <w:tcPr>
            <w:tcW w:w="2095" w:type="pct"/>
          </w:tcPr>
          <w:p w:rsidR="00960769" w:rsidRPr="007E3720" w:rsidRDefault="007E3720" w:rsidP="007E3720">
            <w:pPr>
              <w:pStyle w:val="Textpoznpodarou"/>
              <w:rPr>
                <w:spacing w:val="-6"/>
                <w:lang w:val="en-GB" w:eastAsia="en-US"/>
              </w:rPr>
            </w:pPr>
            <w:r w:rsidRPr="007E3720">
              <w:rPr>
                <w:b/>
                <w:spacing w:val="-6"/>
                <w:lang w:val="en-GB" w:eastAsia="en-US"/>
              </w:rPr>
              <w:t>Contributions of expenditure items to GDP change</w:t>
            </w:r>
            <w:r w:rsidR="00960769" w:rsidRPr="007E3720">
              <w:rPr>
                <w:b/>
                <w:spacing w:val="-6"/>
                <w:lang w:val="en-GB" w:eastAsia="en-US"/>
              </w:rPr>
              <w:t>*</w:t>
            </w:r>
            <w:r w:rsidR="00960769" w:rsidRPr="007E3720">
              <w:rPr>
                <w:spacing w:val="-6"/>
                <w:lang w:val="en-GB" w:eastAsia="en-US"/>
              </w:rPr>
              <w:t xml:space="preserve"> (</w:t>
            </w:r>
            <w:r w:rsidR="00C47694" w:rsidRPr="007E3720">
              <w:rPr>
                <w:spacing w:val="-6"/>
                <w:lang w:val="en-GB" w:eastAsia="en-US"/>
              </w:rPr>
              <w:t>constant prices</w:t>
            </w:r>
            <w:r w:rsidR="00960769" w:rsidRPr="007E3720">
              <w:rPr>
                <w:spacing w:val="-6"/>
                <w:lang w:val="en-GB" w:eastAsia="en-US"/>
              </w:rPr>
              <w:t xml:space="preserve">, y/y, </w:t>
            </w:r>
            <w:r w:rsidR="00C47694" w:rsidRPr="007E3720">
              <w:rPr>
                <w:spacing w:val="-6"/>
                <w:lang w:val="en-GB" w:eastAsia="en-US"/>
              </w:rPr>
              <w:t xml:space="preserve">contributions in </w:t>
            </w:r>
            <w:r w:rsidR="00960769" w:rsidRPr="007E3720">
              <w:rPr>
                <w:spacing w:val="-6"/>
                <w:lang w:val="en-GB" w:eastAsia="en-US"/>
              </w:rPr>
              <w:t>p</w:t>
            </w:r>
            <w:r w:rsidR="00EB522B" w:rsidRPr="007E3720">
              <w:rPr>
                <w:spacing w:val="-6"/>
                <w:lang w:val="en-GB" w:eastAsia="en-US"/>
              </w:rPr>
              <w:t>.</w:t>
            </w:r>
            <w:r w:rsidR="00C47694" w:rsidRPr="007E3720">
              <w:rPr>
                <w:spacing w:val="-6"/>
                <w:lang w:val="en-GB" w:eastAsia="en-US"/>
              </w:rPr>
              <w:t>p</w:t>
            </w:r>
            <w:r w:rsidR="00960769" w:rsidRPr="007E3720">
              <w:rPr>
                <w:spacing w:val="-6"/>
                <w:lang w:val="en-GB" w:eastAsia="en-US"/>
              </w:rPr>
              <w:t xml:space="preserve">., </w:t>
            </w:r>
            <w:r w:rsidR="001946B9" w:rsidRPr="007E3720">
              <w:rPr>
                <w:spacing w:val="-6"/>
                <w:lang w:val="en-GB" w:eastAsia="en-US"/>
              </w:rPr>
              <w:t>GDP</w:t>
            </w:r>
            <w:r w:rsidR="00960769" w:rsidRPr="007E3720">
              <w:rPr>
                <w:spacing w:val="-6"/>
                <w:lang w:val="en-GB" w:eastAsia="en-US"/>
              </w:rPr>
              <w:t xml:space="preserve"> </w:t>
            </w:r>
            <w:r w:rsidR="001946B9" w:rsidRPr="007E3720">
              <w:rPr>
                <w:spacing w:val="-6"/>
                <w:lang w:val="en-GB" w:eastAsia="en-US"/>
              </w:rPr>
              <w:t>in</w:t>
            </w:r>
            <w:r w:rsidR="00960769" w:rsidRPr="007E3720">
              <w:rPr>
                <w:spacing w:val="-6"/>
                <w:lang w:val="en-GB" w:eastAsia="en-US"/>
              </w:rPr>
              <w:t xml:space="preserve"> %)</w:t>
            </w:r>
          </w:p>
        </w:tc>
        <w:tc>
          <w:tcPr>
            <w:tcW w:w="509" w:type="pct"/>
          </w:tcPr>
          <w:p w:rsidR="00960769" w:rsidRPr="007E3720" w:rsidRDefault="001946B9" w:rsidP="001946B9">
            <w:pPr>
              <w:pStyle w:val="Textpoznpodarou"/>
              <w:rPr>
                <w:lang w:val="en-GB" w:eastAsia="en-US"/>
              </w:rPr>
            </w:pPr>
            <w:r w:rsidRPr="007E3720">
              <w:rPr>
                <w:lang w:val="en-GB" w:eastAsia="en-US"/>
              </w:rPr>
              <w:t xml:space="preserve">Chart </w:t>
            </w:r>
            <w:r w:rsidR="00960769" w:rsidRPr="007E3720">
              <w:rPr>
                <w:lang w:val="en-GB" w:eastAsia="en-US"/>
              </w:rPr>
              <w:t>4</w:t>
            </w:r>
          </w:p>
        </w:tc>
        <w:tc>
          <w:tcPr>
            <w:tcW w:w="1982" w:type="pct"/>
            <w:gridSpan w:val="2"/>
          </w:tcPr>
          <w:p w:rsidR="00960769" w:rsidRPr="007E3720" w:rsidRDefault="007E3720" w:rsidP="007E3720">
            <w:pPr>
              <w:pStyle w:val="Textpoznpodarou"/>
              <w:rPr>
                <w:lang w:val="en-GB" w:eastAsia="en-US"/>
              </w:rPr>
            </w:pPr>
            <w:r w:rsidRPr="007E3720">
              <w:rPr>
                <w:b/>
                <w:lang w:val="en-GB" w:eastAsia="en-US"/>
              </w:rPr>
              <w:t>Contributions of branches to change in GVA</w:t>
            </w:r>
            <w:r w:rsidRPr="007E3720">
              <w:rPr>
                <w:lang w:val="en-GB" w:eastAsia="en-US"/>
              </w:rPr>
              <w:t xml:space="preserve"> </w:t>
            </w:r>
            <w:r w:rsidR="00960769" w:rsidRPr="007E3720">
              <w:rPr>
                <w:lang w:val="en-GB" w:eastAsia="en-US"/>
              </w:rPr>
              <w:t>(</w:t>
            </w:r>
            <w:r w:rsidR="00C47694" w:rsidRPr="007E3720">
              <w:rPr>
                <w:lang w:val="en-GB" w:eastAsia="en-US"/>
              </w:rPr>
              <w:t>constant prices</w:t>
            </w:r>
            <w:r w:rsidR="00960769" w:rsidRPr="007E3720">
              <w:rPr>
                <w:lang w:val="en-GB" w:eastAsia="en-US"/>
              </w:rPr>
              <w:t xml:space="preserve">, y/y, </w:t>
            </w:r>
            <w:r w:rsidR="00C47694" w:rsidRPr="007E3720">
              <w:rPr>
                <w:lang w:val="en-GB" w:eastAsia="en-US"/>
              </w:rPr>
              <w:t xml:space="preserve">contributions in </w:t>
            </w:r>
            <w:r w:rsidR="00960769" w:rsidRPr="007E3720">
              <w:rPr>
                <w:lang w:val="en-GB" w:eastAsia="en-US"/>
              </w:rPr>
              <w:t>p</w:t>
            </w:r>
            <w:r w:rsidR="00EB522B" w:rsidRPr="007E3720">
              <w:rPr>
                <w:lang w:val="en-GB" w:eastAsia="en-US"/>
              </w:rPr>
              <w:t>.</w:t>
            </w:r>
            <w:r w:rsidR="00C47694" w:rsidRPr="007E3720">
              <w:rPr>
                <w:lang w:val="en-GB" w:eastAsia="en-US"/>
              </w:rPr>
              <w:t>p</w:t>
            </w:r>
            <w:r w:rsidR="00960769" w:rsidRPr="007E3720">
              <w:rPr>
                <w:lang w:val="en-GB" w:eastAsia="en-US"/>
              </w:rPr>
              <w:t xml:space="preserve">., </w:t>
            </w:r>
            <w:r w:rsidR="00C47694" w:rsidRPr="007E3720">
              <w:rPr>
                <w:lang w:val="en-GB" w:eastAsia="en-US"/>
              </w:rPr>
              <w:t xml:space="preserve">GVA </w:t>
            </w:r>
            <w:r w:rsidR="001946B9" w:rsidRPr="007E3720">
              <w:rPr>
                <w:lang w:val="en-GB" w:eastAsia="en-US"/>
              </w:rPr>
              <w:t>in</w:t>
            </w:r>
            <w:r w:rsidR="00960769" w:rsidRPr="007E3720">
              <w:rPr>
                <w:lang w:val="en-GB" w:eastAsia="en-US"/>
              </w:rPr>
              <w:t xml:space="preserve"> %)</w:t>
            </w:r>
          </w:p>
        </w:tc>
      </w:tr>
      <w:tr w:rsidR="00960769" w:rsidRPr="006133A2" w:rsidTr="003A1F8C">
        <w:tc>
          <w:tcPr>
            <w:tcW w:w="2509" w:type="pct"/>
            <w:gridSpan w:val="2"/>
          </w:tcPr>
          <w:p w:rsidR="00960769" w:rsidRPr="00960769" w:rsidRDefault="008211C3" w:rsidP="00960769">
            <w:pPr>
              <w:pStyle w:val="Textpoznpodarou"/>
              <w:jc w:val="both"/>
              <w:rPr>
                <w:color w:val="FF0000"/>
                <w:sz w:val="22"/>
                <w:lang w:eastAsia="en-US"/>
              </w:rPr>
            </w:pPr>
            <w:r w:rsidRPr="008211C3">
              <w:rPr>
                <w:noProof/>
                <w:color w:val="FF0000"/>
                <w:sz w:val="22"/>
              </w:rPr>
              <w:drawing>
                <wp:inline distT="0" distB="0" distL="0" distR="0">
                  <wp:extent cx="3005455" cy="2377440"/>
                  <wp:effectExtent l="19050" t="0" r="4445" b="0"/>
                  <wp:docPr id="34"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3005455" cy="2377440"/>
                          </a:xfrm>
                          <a:prstGeom prst="rect">
                            <a:avLst/>
                          </a:prstGeom>
                          <a:noFill/>
                        </pic:spPr>
                      </pic:pic>
                    </a:graphicData>
                  </a:graphic>
                </wp:inline>
              </w:drawing>
            </w:r>
          </w:p>
        </w:tc>
        <w:tc>
          <w:tcPr>
            <w:tcW w:w="2491" w:type="pct"/>
            <w:gridSpan w:val="3"/>
          </w:tcPr>
          <w:p w:rsidR="00960769" w:rsidRPr="00960769" w:rsidRDefault="008211C3" w:rsidP="00960769">
            <w:pPr>
              <w:pStyle w:val="Textpoznpodarou"/>
              <w:jc w:val="both"/>
              <w:rPr>
                <w:color w:val="FF0000"/>
                <w:sz w:val="22"/>
                <w:lang w:eastAsia="en-US"/>
              </w:rPr>
            </w:pPr>
            <w:r w:rsidRPr="008211C3">
              <w:rPr>
                <w:noProof/>
                <w:color w:val="FF0000"/>
                <w:sz w:val="22"/>
              </w:rPr>
              <w:drawing>
                <wp:inline distT="0" distB="0" distL="0" distR="0">
                  <wp:extent cx="3017520" cy="2377440"/>
                  <wp:effectExtent l="19050" t="0" r="0" b="0"/>
                  <wp:docPr id="37"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3017520" cy="2377440"/>
                          </a:xfrm>
                          <a:prstGeom prst="rect">
                            <a:avLst/>
                          </a:prstGeom>
                          <a:noFill/>
                        </pic:spPr>
                      </pic:pic>
                    </a:graphicData>
                  </a:graphic>
                </wp:inline>
              </w:drawing>
            </w:r>
          </w:p>
        </w:tc>
      </w:tr>
      <w:tr w:rsidR="00960769" w:rsidRPr="006133A2" w:rsidTr="003A1F8C">
        <w:tc>
          <w:tcPr>
            <w:tcW w:w="3722" w:type="pct"/>
            <w:gridSpan w:val="4"/>
          </w:tcPr>
          <w:p w:rsidR="007E3720" w:rsidRPr="00960769" w:rsidRDefault="00960769" w:rsidP="008211C3">
            <w:pPr>
              <w:pStyle w:val="Textpoznpodarou"/>
              <w:rPr>
                <w:sz w:val="18"/>
                <w:szCs w:val="18"/>
                <w:lang w:eastAsia="en-US"/>
              </w:rPr>
            </w:pPr>
            <w:r w:rsidRPr="00960769">
              <w:rPr>
                <w:sz w:val="18"/>
                <w:szCs w:val="18"/>
                <w:lang w:eastAsia="en-US"/>
              </w:rPr>
              <w:t>*</w:t>
            </w:r>
            <w:r w:rsidR="00C47694" w:rsidRPr="00C47694">
              <w:rPr>
                <w:sz w:val="18"/>
                <w:szCs w:val="18"/>
                <w:lang w:val="en-GB" w:eastAsia="en-US"/>
              </w:rPr>
              <w:t xml:space="preserve">contributions to GDP </w:t>
            </w:r>
            <w:r w:rsidR="006F7709">
              <w:rPr>
                <w:sz w:val="18"/>
                <w:szCs w:val="18"/>
                <w:lang w:val="en-GB" w:eastAsia="en-US"/>
              </w:rPr>
              <w:t>change not excluding the import</w:t>
            </w:r>
            <w:r w:rsidR="00C47694" w:rsidRPr="00C47694">
              <w:rPr>
                <w:sz w:val="18"/>
                <w:szCs w:val="18"/>
                <w:lang w:val="en-GB" w:eastAsia="en-US"/>
              </w:rPr>
              <w:t xml:space="preserve"> for final use</w:t>
            </w:r>
          </w:p>
        </w:tc>
        <w:tc>
          <w:tcPr>
            <w:tcW w:w="1278" w:type="pct"/>
          </w:tcPr>
          <w:p w:rsidR="007E3720" w:rsidRPr="00960769" w:rsidRDefault="001946B9" w:rsidP="008211C3">
            <w:pPr>
              <w:pStyle w:val="Textpoznpodarou"/>
              <w:jc w:val="right"/>
              <w:rPr>
                <w:sz w:val="18"/>
                <w:szCs w:val="18"/>
                <w:lang w:eastAsia="en-US"/>
              </w:rPr>
            </w:pPr>
            <w:proofErr w:type="spellStart"/>
            <w:r>
              <w:rPr>
                <w:sz w:val="18"/>
                <w:szCs w:val="18"/>
                <w:lang w:eastAsia="en-US"/>
              </w:rPr>
              <w:t>Source</w:t>
            </w:r>
            <w:proofErr w:type="spellEnd"/>
            <w:r w:rsidR="00960769" w:rsidRPr="00960769">
              <w:rPr>
                <w:sz w:val="18"/>
                <w:szCs w:val="18"/>
                <w:lang w:eastAsia="en-US"/>
              </w:rPr>
              <w:t xml:space="preserve">: </w:t>
            </w:r>
            <w:r>
              <w:rPr>
                <w:sz w:val="18"/>
                <w:szCs w:val="18"/>
                <w:lang w:eastAsia="en-US"/>
              </w:rPr>
              <w:t>CZSO</w:t>
            </w:r>
          </w:p>
        </w:tc>
      </w:tr>
    </w:tbl>
    <w:p w:rsidR="008211C3" w:rsidRDefault="008211C3" w:rsidP="008211C3">
      <w:pPr>
        <w:pStyle w:val="Textpoznpodarou"/>
        <w:jc w:val="both"/>
      </w:pPr>
    </w:p>
    <w:p w:rsidR="008211C3" w:rsidRDefault="008211C3" w:rsidP="008211C3"/>
    <w:p w:rsidR="00960769" w:rsidRPr="008211C3" w:rsidRDefault="00960769" w:rsidP="008211C3"/>
    <w:sectPr w:rsidR="00960769" w:rsidRPr="008211C3" w:rsidSect="007E402D">
      <w:headerReference w:type="even" r:id="rId12"/>
      <w:headerReference w:type="default" r:id="rId13"/>
      <w:footerReference w:type="even" r:id="rId14"/>
      <w:footerReference w:type="default" r:id="rId15"/>
      <w:type w:val="continuous"/>
      <w:pgSz w:w="11906" w:h="16838" w:code="9"/>
      <w:pgMar w:top="1134" w:right="1134" w:bottom="1418" w:left="1134" w:header="680" w:footer="680"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7CE" w:rsidRDefault="007217CE" w:rsidP="00E71A58">
      <w:r>
        <w:separator/>
      </w:r>
    </w:p>
  </w:endnote>
  <w:endnote w:type="continuationSeparator" w:id="0">
    <w:p w:rsidR="007217CE" w:rsidRDefault="007217CE"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Default="00B21913"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19075"/>
                  </a:xfrm>
                  <a:prstGeom prst="rect">
                    <a:avLst/>
                  </a:prstGeom>
                  <a:noFill/>
                </pic:spPr>
              </pic:pic>
            </a:graphicData>
          </a:graphic>
        </wp:anchor>
      </w:drawing>
    </w:r>
    <w:r w:rsidR="00A34052" w:rsidRPr="005A21E0">
      <w:rPr>
        <w:rFonts w:ascii="Arial" w:hAnsi="Arial" w:cs="Arial"/>
        <w:sz w:val="16"/>
        <w:szCs w:val="16"/>
      </w:rPr>
      <w:fldChar w:fldCharType="begin"/>
    </w:r>
    <w:r w:rsidRPr="005A21E0">
      <w:rPr>
        <w:rFonts w:ascii="Arial" w:hAnsi="Arial" w:cs="Arial"/>
        <w:sz w:val="16"/>
        <w:szCs w:val="16"/>
      </w:rPr>
      <w:instrText>PAGE   \* MERGEFORMAT</w:instrText>
    </w:r>
    <w:r w:rsidR="00A34052" w:rsidRPr="005A21E0">
      <w:rPr>
        <w:rFonts w:ascii="Arial" w:hAnsi="Arial" w:cs="Arial"/>
        <w:sz w:val="16"/>
        <w:szCs w:val="16"/>
      </w:rPr>
      <w:fldChar w:fldCharType="separate"/>
    </w:r>
    <w:r w:rsidR="007E402D">
      <w:rPr>
        <w:rFonts w:ascii="Arial" w:hAnsi="Arial" w:cs="Arial"/>
        <w:noProof/>
        <w:sz w:val="16"/>
        <w:szCs w:val="16"/>
      </w:rPr>
      <w:t>6</w:t>
    </w:r>
    <w:r w:rsidR="00A34052" w:rsidRPr="005A21E0">
      <w:rPr>
        <w:rFonts w:ascii="Arial" w:hAnsi="Arial" w:cs="Arial"/>
        <w:sz w:val="16"/>
        <w:szCs w:val="16"/>
      </w:rPr>
      <w:fldChar w:fldCharType="end"/>
    </w:r>
    <w:r>
      <w:rPr>
        <w:rFonts w:ascii="Arial" w:hAnsi="Arial" w:cs="Arial"/>
        <w:sz w:val="16"/>
        <w:szCs w:val="16"/>
      </w:rPr>
      <w:tab/>
      <w:t>2016</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Default="00B21913"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8752" behindDoc="0" locked="0" layoutInCell="1" allowOverlap="1">
          <wp:simplePos x="0" y="0"/>
          <wp:positionH relativeFrom="column">
            <wp:posOffset>3810</wp:posOffset>
          </wp:positionH>
          <wp:positionV relativeFrom="paragraph">
            <wp:posOffset>90170</wp:posOffset>
          </wp:positionV>
          <wp:extent cx="495300" cy="266700"/>
          <wp:effectExtent l="0" t="0" r="0" b="0"/>
          <wp:wrapNone/>
          <wp:docPr id="3"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B21913" w:rsidRPr="00223E00" w:rsidRDefault="00B21913"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00A34052"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A34052" w:rsidRPr="00223E00">
      <w:rPr>
        <w:rFonts w:ascii="Arial" w:hAnsi="Arial" w:cs="Arial"/>
        <w:sz w:val="16"/>
        <w:szCs w:val="16"/>
      </w:rPr>
      <w:fldChar w:fldCharType="separate"/>
    </w:r>
    <w:r w:rsidR="007E402D">
      <w:rPr>
        <w:rFonts w:ascii="Arial" w:hAnsi="Arial" w:cs="Arial"/>
        <w:noProof/>
        <w:sz w:val="16"/>
        <w:szCs w:val="16"/>
      </w:rPr>
      <w:t>5</w:t>
    </w:r>
    <w:r w:rsidR="00A34052"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7CE" w:rsidRDefault="007217CE" w:rsidP="00E71A58">
      <w:r>
        <w:separator/>
      </w:r>
    </w:p>
  </w:footnote>
  <w:footnote w:type="continuationSeparator" w:id="0">
    <w:p w:rsidR="007217CE" w:rsidRDefault="007217CE" w:rsidP="00E71A58">
      <w:r>
        <w:continuationSeparator/>
      </w:r>
    </w:p>
  </w:footnote>
  <w:footnote w:id="1">
    <w:p w:rsidR="00B21913" w:rsidRPr="002115F5" w:rsidRDefault="00B21913" w:rsidP="00960769">
      <w:pPr>
        <w:pStyle w:val="Textpoznpodarou"/>
        <w:jc w:val="both"/>
        <w:rPr>
          <w:sz w:val="16"/>
          <w:szCs w:val="16"/>
        </w:rPr>
      </w:pPr>
      <w:r w:rsidRPr="002115F5">
        <w:rPr>
          <w:rStyle w:val="Znakapoznpodarou"/>
          <w:sz w:val="16"/>
          <w:szCs w:val="16"/>
        </w:rPr>
        <w:footnoteRef/>
      </w:r>
      <w:r w:rsidRPr="002115F5">
        <w:rPr>
          <w:sz w:val="16"/>
          <w:szCs w:val="16"/>
        </w:rPr>
        <w:t xml:space="preserve"> </w:t>
      </w:r>
      <w:r w:rsidRPr="0082601B">
        <w:rPr>
          <w:sz w:val="16"/>
          <w:szCs w:val="16"/>
          <w:lang w:val="en-GB"/>
        </w:rPr>
        <w:t xml:space="preserve">Unless stated otherwise, data </w:t>
      </w:r>
      <w:r>
        <w:rPr>
          <w:sz w:val="16"/>
          <w:szCs w:val="16"/>
          <w:lang w:val="en-GB"/>
        </w:rPr>
        <w:t>r</w:t>
      </w:r>
      <w:r w:rsidRPr="0082601B">
        <w:rPr>
          <w:sz w:val="16"/>
          <w:szCs w:val="16"/>
          <w:lang w:val="en-GB"/>
        </w:rPr>
        <w:t>elated to the GDP and its components are expressed in real terms and adjusted for seasonal and calendar effects. The same is valid for the gross value added.</w:t>
      </w:r>
    </w:p>
  </w:footnote>
  <w:footnote w:id="2">
    <w:p w:rsidR="00B21913" w:rsidRPr="002115F5" w:rsidRDefault="00B21913" w:rsidP="00960769">
      <w:pPr>
        <w:pStyle w:val="Textpoznpodarou"/>
        <w:jc w:val="both"/>
        <w:rPr>
          <w:sz w:val="16"/>
          <w:szCs w:val="16"/>
        </w:rPr>
      </w:pPr>
      <w:r w:rsidRPr="002115F5">
        <w:rPr>
          <w:sz w:val="16"/>
          <w:szCs w:val="16"/>
          <w:vertAlign w:val="superscript"/>
        </w:rPr>
        <w:footnoteRef/>
      </w:r>
      <w:r w:rsidRPr="002115F5">
        <w:rPr>
          <w:sz w:val="16"/>
          <w:szCs w:val="16"/>
        </w:rPr>
        <w:t xml:space="preserve"> </w:t>
      </w:r>
      <w:r w:rsidRPr="00A903FE">
        <w:rPr>
          <w:sz w:val="16"/>
          <w:szCs w:val="16"/>
          <w:lang w:val="en-GB"/>
        </w:rPr>
        <w:t>Seasonal adjustment affected the quarter-o</w:t>
      </w:r>
      <w:r w:rsidR="00A118A2">
        <w:rPr>
          <w:sz w:val="16"/>
          <w:szCs w:val="16"/>
          <w:lang w:val="en-GB"/>
        </w:rPr>
        <w:t>n-quarter rates of growth of balance</w:t>
      </w:r>
      <w:r w:rsidRPr="00A903FE">
        <w:rPr>
          <w:sz w:val="16"/>
          <w:szCs w:val="16"/>
          <w:lang w:val="en-GB"/>
        </w:rPr>
        <w:t xml:space="preserve"> </w:t>
      </w:r>
      <w:r w:rsidR="00A118A2">
        <w:rPr>
          <w:sz w:val="16"/>
          <w:szCs w:val="16"/>
          <w:lang w:val="en-GB"/>
        </w:rPr>
        <w:t>of taxes on</w:t>
      </w:r>
      <w:r w:rsidRPr="00A903FE">
        <w:rPr>
          <w:sz w:val="16"/>
          <w:szCs w:val="16"/>
          <w:lang w:val="en-GB"/>
        </w:rPr>
        <w:t xml:space="preserve"> products and subsidies on products at the beginning and at the end of the year. The quarter-on-quarter dynamics was affected favourabl</w:t>
      </w:r>
      <w:r>
        <w:rPr>
          <w:sz w:val="16"/>
          <w:szCs w:val="16"/>
          <w:lang w:val="en-GB"/>
        </w:rPr>
        <w:t>y</w:t>
      </w:r>
      <w:r w:rsidR="00A118A2">
        <w:rPr>
          <w:sz w:val="16"/>
          <w:szCs w:val="16"/>
          <w:lang w:val="en-GB"/>
        </w:rPr>
        <w:t xml:space="preserve"> in Q1 2015</w:t>
      </w:r>
      <w:r w:rsidRPr="00A903FE">
        <w:rPr>
          <w:sz w:val="16"/>
          <w:szCs w:val="16"/>
          <w:lang w:val="en-GB"/>
        </w:rPr>
        <w:t xml:space="preserve"> </w:t>
      </w:r>
      <w:r w:rsidR="00A118A2">
        <w:rPr>
          <w:sz w:val="16"/>
          <w:szCs w:val="16"/>
          <w:lang w:val="en-GB"/>
        </w:rPr>
        <w:t>and</w:t>
      </w:r>
      <w:r w:rsidRPr="00A903FE">
        <w:rPr>
          <w:sz w:val="16"/>
          <w:szCs w:val="16"/>
          <w:lang w:val="en-GB"/>
        </w:rPr>
        <w:t xml:space="preserve"> negatively in Q4. This was reflected in the GDP dynamics, where this balance is included. The dynamics of gross value added was not affected.</w:t>
      </w:r>
      <w:r>
        <w:rPr>
          <w:sz w:val="16"/>
          <w:szCs w:val="16"/>
        </w:rPr>
        <w:t xml:space="preserve"> </w:t>
      </w:r>
    </w:p>
  </w:footnote>
  <w:footnote w:id="3">
    <w:p w:rsidR="00B21913" w:rsidRPr="00A903FE" w:rsidRDefault="00B21913" w:rsidP="00CF75EC">
      <w:pPr>
        <w:pStyle w:val="Textpoznpodarou"/>
        <w:jc w:val="both"/>
        <w:rPr>
          <w:sz w:val="16"/>
          <w:szCs w:val="16"/>
          <w:lang w:val="en-GB"/>
        </w:rPr>
      </w:pPr>
      <w:r w:rsidRPr="00BC6D27">
        <w:rPr>
          <w:sz w:val="16"/>
          <w:szCs w:val="16"/>
          <w:vertAlign w:val="superscript"/>
        </w:rPr>
        <w:footnoteRef/>
      </w:r>
      <w:r w:rsidRPr="00BC6D27">
        <w:rPr>
          <w:sz w:val="16"/>
          <w:szCs w:val="16"/>
        </w:rPr>
        <w:t xml:space="preserve"> </w:t>
      </w:r>
      <w:r w:rsidRPr="00A903FE">
        <w:rPr>
          <w:sz w:val="16"/>
          <w:szCs w:val="16"/>
          <w:lang w:val="en-GB"/>
        </w:rPr>
        <w:t>Yearly data are not available for Ireland and Luxembourg, however these countries also grew faster than the CR based on data for first three quarters of 2015. GDP dynam</w:t>
      </w:r>
      <w:r w:rsidR="00A118A2">
        <w:rPr>
          <w:sz w:val="16"/>
          <w:szCs w:val="16"/>
          <w:lang w:val="en-GB"/>
        </w:rPr>
        <w:t>ics for Ireland and Slovakia is</w:t>
      </w:r>
      <w:r w:rsidRPr="00A903FE">
        <w:rPr>
          <w:sz w:val="16"/>
          <w:szCs w:val="16"/>
          <w:lang w:val="en-GB"/>
        </w:rPr>
        <w:t xml:space="preserve"> not adjusted for calendar effects. </w:t>
      </w:r>
    </w:p>
  </w:footnote>
  <w:footnote w:id="4">
    <w:p w:rsidR="00B21913" w:rsidRPr="00A903FE" w:rsidRDefault="00B21913" w:rsidP="00960769">
      <w:pPr>
        <w:pStyle w:val="Textpoznpodarou"/>
        <w:rPr>
          <w:color w:val="FF0000"/>
          <w:sz w:val="16"/>
          <w:szCs w:val="16"/>
          <w:lang w:val="en-GB"/>
        </w:rPr>
      </w:pPr>
      <w:r w:rsidRPr="00A903FE">
        <w:rPr>
          <w:rStyle w:val="Znakapoznpodarou"/>
          <w:sz w:val="16"/>
          <w:szCs w:val="16"/>
          <w:lang w:val="en-GB"/>
        </w:rPr>
        <w:footnoteRef/>
      </w:r>
      <w:r w:rsidR="00A118A2">
        <w:rPr>
          <w:sz w:val="16"/>
          <w:szCs w:val="16"/>
          <w:lang w:val="en-GB"/>
        </w:rPr>
        <w:t xml:space="preserve"> Contributions to </w:t>
      </w:r>
      <w:r w:rsidRPr="00A903FE">
        <w:rPr>
          <w:sz w:val="16"/>
          <w:szCs w:val="16"/>
          <w:lang w:val="en-GB"/>
        </w:rPr>
        <w:t xml:space="preserve">GDP change not excluding the import for final use. </w:t>
      </w:r>
    </w:p>
  </w:footnote>
  <w:footnote w:id="5">
    <w:p w:rsidR="00B21913" w:rsidRPr="00DB7E32" w:rsidRDefault="00B21913" w:rsidP="00960769">
      <w:pPr>
        <w:pStyle w:val="Textpoznpodarou"/>
        <w:rPr>
          <w:sz w:val="16"/>
          <w:szCs w:val="16"/>
          <w:lang w:val="en-GB"/>
        </w:rPr>
      </w:pPr>
      <w:r w:rsidRPr="00620430">
        <w:rPr>
          <w:sz w:val="16"/>
          <w:szCs w:val="16"/>
          <w:vertAlign w:val="superscript"/>
        </w:rPr>
        <w:footnoteRef/>
      </w:r>
      <w:r w:rsidRPr="00620430">
        <w:rPr>
          <w:sz w:val="16"/>
          <w:szCs w:val="16"/>
        </w:rPr>
        <w:t xml:space="preserve"> </w:t>
      </w:r>
      <w:r w:rsidRPr="00DB7E32">
        <w:rPr>
          <w:sz w:val="16"/>
          <w:szCs w:val="16"/>
          <w:lang w:val="en-GB"/>
        </w:rPr>
        <w:t xml:space="preserve">Structure of expenditure </w:t>
      </w:r>
      <w:r w:rsidR="006F7709">
        <w:rPr>
          <w:sz w:val="16"/>
          <w:szCs w:val="16"/>
          <w:lang w:val="en-GB"/>
        </w:rPr>
        <w:t>is in the domestic concept</w:t>
      </w:r>
      <w:r w:rsidRPr="00DB7E32">
        <w:rPr>
          <w:sz w:val="16"/>
          <w:szCs w:val="16"/>
          <w:lang w:val="en-GB"/>
        </w:rPr>
        <w:t xml:space="preserve"> and </w:t>
      </w:r>
      <w:r w:rsidR="006F7709">
        <w:rPr>
          <w:sz w:val="16"/>
          <w:szCs w:val="16"/>
          <w:lang w:val="en-GB"/>
        </w:rPr>
        <w:t xml:space="preserve">is </w:t>
      </w:r>
      <w:r w:rsidRPr="00DB7E32">
        <w:rPr>
          <w:sz w:val="16"/>
          <w:szCs w:val="16"/>
          <w:lang w:val="en-GB"/>
        </w:rPr>
        <w:t xml:space="preserve">not adjusted for seasonal and calendar effects. </w:t>
      </w:r>
    </w:p>
  </w:footnote>
  <w:footnote w:id="6">
    <w:p w:rsidR="00B21913" w:rsidRPr="00C72A00" w:rsidRDefault="00B21913" w:rsidP="00B12B11">
      <w:pPr>
        <w:pStyle w:val="Textpoznpodarou"/>
        <w:rPr>
          <w:color w:val="FF0000"/>
          <w:lang w:val="en-GB"/>
        </w:rPr>
      </w:pPr>
      <w:r w:rsidRPr="00620430">
        <w:rPr>
          <w:rStyle w:val="Znakapoznpodarou"/>
          <w:sz w:val="16"/>
          <w:szCs w:val="16"/>
        </w:rPr>
        <w:footnoteRef/>
      </w:r>
      <w:r w:rsidRPr="00620430">
        <w:rPr>
          <w:sz w:val="16"/>
          <w:szCs w:val="16"/>
        </w:rPr>
        <w:t xml:space="preserve"> </w:t>
      </w:r>
      <w:r w:rsidRPr="00C72A00">
        <w:rPr>
          <w:sz w:val="16"/>
          <w:szCs w:val="16"/>
          <w:lang w:val="en-GB"/>
        </w:rPr>
        <w:t>Not adjusted for seasonal and calendar effects.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Pr="00D766EF" w:rsidRDefault="00B21913" w:rsidP="00D766EF">
    <w:pPr>
      <w:pStyle w:val="Zhlav"/>
      <w:tabs>
        <w:tab w:val="clear" w:pos="4536"/>
        <w:tab w:val="clear" w:pos="9072"/>
        <w:tab w:val="left" w:pos="-6379"/>
        <w:tab w:val="center" w:pos="4820"/>
        <w:tab w:val="right" w:pos="9639"/>
      </w:tabs>
      <w:rPr>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Pr>
        <w:rFonts w:ascii="Arial" w:hAnsi="Arial" w:cs="Arial"/>
        <w:sz w:val="16"/>
        <w:szCs w:val="16"/>
      </w:rPr>
      <w:t>Development</w:t>
    </w:r>
    <w:proofErr w:type="spellEnd"/>
    <w:r>
      <w:rPr>
        <w:rFonts w:ascii="Arial" w:hAnsi="Arial" w:cs="Arial"/>
        <w:sz w:val="16"/>
        <w:szCs w:val="16"/>
      </w:rPr>
      <w:t xml:space="preserve"> in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Pr="00D766EF" w:rsidRDefault="00B21913" w:rsidP="003B34B7">
    <w:pPr>
      <w:pStyle w:val="Zhlav"/>
      <w:tabs>
        <w:tab w:val="clear" w:pos="4536"/>
        <w:tab w:val="clear" w:pos="9072"/>
        <w:tab w:val="left" w:pos="-6379"/>
        <w:tab w:val="center" w:pos="4820"/>
        <w:tab w:val="right" w:pos="9639"/>
      </w:tabs>
      <w:rPr>
        <w:szCs w:val="16"/>
      </w:rPr>
    </w:pPr>
    <w:r>
      <w:rPr>
        <w:rFonts w:ascii="Arial" w:hAnsi="Arial" w:cs="Arial"/>
        <w:sz w:val="16"/>
        <w:szCs w:val="16"/>
      </w:rPr>
      <w:t>The Czech Economy Development in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9B70BD"/>
    <w:rsid w:val="00000FA7"/>
    <w:rsid w:val="0000191C"/>
    <w:rsid w:val="00001EFF"/>
    <w:rsid w:val="00003687"/>
    <w:rsid w:val="00003C43"/>
    <w:rsid w:val="00006026"/>
    <w:rsid w:val="00006468"/>
    <w:rsid w:val="000070E4"/>
    <w:rsid w:val="00007498"/>
    <w:rsid w:val="0000767A"/>
    <w:rsid w:val="000101F5"/>
    <w:rsid w:val="000104B9"/>
    <w:rsid w:val="000104F6"/>
    <w:rsid w:val="00010702"/>
    <w:rsid w:val="0001100E"/>
    <w:rsid w:val="00011191"/>
    <w:rsid w:val="0001159B"/>
    <w:rsid w:val="00012986"/>
    <w:rsid w:val="00014D35"/>
    <w:rsid w:val="00015195"/>
    <w:rsid w:val="0001519F"/>
    <w:rsid w:val="0001572B"/>
    <w:rsid w:val="0001573E"/>
    <w:rsid w:val="000162DB"/>
    <w:rsid w:val="00017F05"/>
    <w:rsid w:val="000202C6"/>
    <w:rsid w:val="00020946"/>
    <w:rsid w:val="00022B41"/>
    <w:rsid w:val="00022EA9"/>
    <w:rsid w:val="00023F1E"/>
    <w:rsid w:val="00024887"/>
    <w:rsid w:val="00024CBA"/>
    <w:rsid w:val="00025501"/>
    <w:rsid w:val="00026998"/>
    <w:rsid w:val="000304C4"/>
    <w:rsid w:val="0003066A"/>
    <w:rsid w:val="00030F14"/>
    <w:rsid w:val="000311C5"/>
    <w:rsid w:val="00031A35"/>
    <w:rsid w:val="00032838"/>
    <w:rsid w:val="00032C12"/>
    <w:rsid w:val="00035CCF"/>
    <w:rsid w:val="00035FC6"/>
    <w:rsid w:val="000366C7"/>
    <w:rsid w:val="00037667"/>
    <w:rsid w:val="0004075D"/>
    <w:rsid w:val="000411E1"/>
    <w:rsid w:val="00043E05"/>
    <w:rsid w:val="0004694F"/>
    <w:rsid w:val="000500DC"/>
    <w:rsid w:val="00052172"/>
    <w:rsid w:val="00053672"/>
    <w:rsid w:val="00053CBA"/>
    <w:rsid w:val="00054E43"/>
    <w:rsid w:val="00055059"/>
    <w:rsid w:val="000553E4"/>
    <w:rsid w:val="000567FA"/>
    <w:rsid w:val="00057864"/>
    <w:rsid w:val="00057C16"/>
    <w:rsid w:val="00060F26"/>
    <w:rsid w:val="00062D43"/>
    <w:rsid w:val="00062EC5"/>
    <w:rsid w:val="00064256"/>
    <w:rsid w:val="00065712"/>
    <w:rsid w:val="0006631E"/>
    <w:rsid w:val="000663A1"/>
    <w:rsid w:val="000706A4"/>
    <w:rsid w:val="00071F80"/>
    <w:rsid w:val="00072118"/>
    <w:rsid w:val="00073173"/>
    <w:rsid w:val="000767C0"/>
    <w:rsid w:val="000773FF"/>
    <w:rsid w:val="000779AC"/>
    <w:rsid w:val="00082C2D"/>
    <w:rsid w:val="00083803"/>
    <w:rsid w:val="00084393"/>
    <w:rsid w:val="0008716A"/>
    <w:rsid w:val="00087634"/>
    <w:rsid w:val="00091237"/>
    <w:rsid w:val="0009191B"/>
    <w:rsid w:val="000920EC"/>
    <w:rsid w:val="00092208"/>
    <w:rsid w:val="00092505"/>
    <w:rsid w:val="00092C9A"/>
    <w:rsid w:val="00092E37"/>
    <w:rsid w:val="000935D1"/>
    <w:rsid w:val="0009763F"/>
    <w:rsid w:val="00097D02"/>
    <w:rsid w:val="000A1183"/>
    <w:rsid w:val="000A2121"/>
    <w:rsid w:val="000A2484"/>
    <w:rsid w:val="000A2525"/>
    <w:rsid w:val="000A26DC"/>
    <w:rsid w:val="000A36CE"/>
    <w:rsid w:val="000A59BF"/>
    <w:rsid w:val="000A66C2"/>
    <w:rsid w:val="000B1CFE"/>
    <w:rsid w:val="000B210A"/>
    <w:rsid w:val="000B249B"/>
    <w:rsid w:val="000B3DB9"/>
    <w:rsid w:val="000B3F02"/>
    <w:rsid w:val="000B4192"/>
    <w:rsid w:val="000B48A2"/>
    <w:rsid w:val="000B48E7"/>
    <w:rsid w:val="000B4F41"/>
    <w:rsid w:val="000B7663"/>
    <w:rsid w:val="000C11D3"/>
    <w:rsid w:val="000C12F5"/>
    <w:rsid w:val="000C3408"/>
    <w:rsid w:val="000C45A4"/>
    <w:rsid w:val="000C481B"/>
    <w:rsid w:val="000C5C0F"/>
    <w:rsid w:val="000C6498"/>
    <w:rsid w:val="000D0D51"/>
    <w:rsid w:val="000D14B3"/>
    <w:rsid w:val="000D208B"/>
    <w:rsid w:val="000D2B8D"/>
    <w:rsid w:val="000D2E41"/>
    <w:rsid w:val="000D342A"/>
    <w:rsid w:val="000D5E7A"/>
    <w:rsid w:val="000D5FAA"/>
    <w:rsid w:val="000D6206"/>
    <w:rsid w:val="000D65A4"/>
    <w:rsid w:val="000D6AEF"/>
    <w:rsid w:val="000E025B"/>
    <w:rsid w:val="000E0ECB"/>
    <w:rsid w:val="000E153A"/>
    <w:rsid w:val="000E19A8"/>
    <w:rsid w:val="000E2ABE"/>
    <w:rsid w:val="000E3200"/>
    <w:rsid w:val="000E3280"/>
    <w:rsid w:val="000E4A42"/>
    <w:rsid w:val="000E6476"/>
    <w:rsid w:val="000E65AE"/>
    <w:rsid w:val="000E78D2"/>
    <w:rsid w:val="000F2E58"/>
    <w:rsid w:val="000F3332"/>
    <w:rsid w:val="000F33EE"/>
    <w:rsid w:val="000F401E"/>
    <w:rsid w:val="000F5445"/>
    <w:rsid w:val="000F5673"/>
    <w:rsid w:val="000F67B2"/>
    <w:rsid w:val="000F790F"/>
    <w:rsid w:val="000F7E1B"/>
    <w:rsid w:val="00100014"/>
    <w:rsid w:val="0010039A"/>
    <w:rsid w:val="00101FB2"/>
    <w:rsid w:val="00102CB8"/>
    <w:rsid w:val="00102F02"/>
    <w:rsid w:val="0010385D"/>
    <w:rsid w:val="00103D1B"/>
    <w:rsid w:val="00103D44"/>
    <w:rsid w:val="00103E41"/>
    <w:rsid w:val="001041B6"/>
    <w:rsid w:val="001070EA"/>
    <w:rsid w:val="0011002A"/>
    <w:rsid w:val="001107CE"/>
    <w:rsid w:val="0011110A"/>
    <w:rsid w:val="001118AF"/>
    <w:rsid w:val="00111CA5"/>
    <w:rsid w:val="0011256E"/>
    <w:rsid w:val="00112905"/>
    <w:rsid w:val="0011352E"/>
    <w:rsid w:val="00113819"/>
    <w:rsid w:val="00114FC0"/>
    <w:rsid w:val="00116DB9"/>
    <w:rsid w:val="00116F28"/>
    <w:rsid w:val="00121C39"/>
    <w:rsid w:val="00123255"/>
    <w:rsid w:val="00124D2D"/>
    <w:rsid w:val="00124DA1"/>
    <w:rsid w:val="00125326"/>
    <w:rsid w:val="00125CB5"/>
    <w:rsid w:val="00127535"/>
    <w:rsid w:val="001305C4"/>
    <w:rsid w:val="001307BE"/>
    <w:rsid w:val="00130C8F"/>
    <w:rsid w:val="001314F2"/>
    <w:rsid w:val="001317DA"/>
    <w:rsid w:val="001323BA"/>
    <w:rsid w:val="0013254D"/>
    <w:rsid w:val="00133AAC"/>
    <w:rsid w:val="00133FBD"/>
    <w:rsid w:val="00134EBC"/>
    <w:rsid w:val="00136561"/>
    <w:rsid w:val="001400E1"/>
    <w:rsid w:val="001405FA"/>
    <w:rsid w:val="001413B3"/>
    <w:rsid w:val="00141743"/>
    <w:rsid w:val="001425C3"/>
    <w:rsid w:val="00142F16"/>
    <w:rsid w:val="00143E03"/>
    <w:rsid w:val="00143E93"/>
    <w:rsid w:val="00151AC0"/>
    <w:rsid w:val="00151B27"/>
    <w:rsid w:val="00152046"/>
    <w:rsid w:val="00153047"/>
    <w:rsid w:val="00154147"/>
    <w:rsid w:val="00154F81"/>
    <w:rsid w:val="00155746"/>
    <w:rsid w:val="00156318"/>
    <w:rsid w:val="0015639A"/>
    <w:rsid w:val="0016081D"/>
    <w:rsid w:val="00160CF3"/>
    <w:rsid w:val="00160E61"/>
    <w:rsid w:val="001620FA"/>
    <w:rsid w:val="00162853"/>
    <w:rsid w:val="00162C34"/>
    <w:rsid w:val="0016373B"/>
    <w:rsid w:val="00163793"/>
    <w:rsid w:val="001648D6"/>
    <w:rsid w:val="00165935"/>
    <w:rsid w:val="001707DE"/>
    <w:rsid w:val="00170B04"/>
    <w:rsid w:val="00170F47"/>
    <w:rsid w:val="001714F2"/>
    <w:rsid w:val="00171ABF"/>
    <w:rsid w:val="00173642"/>
    <w:rsid w:val="00173AF4"/>
    <w:rsid w:val="00173CB0"/>
    <w:rsid w:val="00174CE8"/>
    <w:rsid w:val="00175351"/>
    <w:rsid w:val="00175F60"/>
    <w:rsid w:val="00175FB4"/>
    <w:rsid w:val="00176050"/>
    <w:rsid w:val="001764D8"/>
    <w:rsid w:val="0017660D"/>
    <w:rsid w:val="00176A8F"/>
    <w:rsid w:val="00180D04"/>
    <w:rsid w:val="00180D58"/>
    <w:rsid w:val="00181DB4"/>
    <w:rsid w:val="00182981"/>
    <w:rsid w:val="00184CF9"/>
    <w:rsid w:val="00185010"/>
    <w:rsid w:val="001852EC"/>
    <w:rsid w:val="00186447"/>
    <w:rsid w:val="001874CF"/>
    <w:rsid w:val="00190D9B"/>
    <w:rsid w:val="00191BAE"/>
    <w:rsid w:val="00193432"/>
    <w:rsid w:val="0019346C"/>
    <w:rsid w:val="001946B9"/>
    <w:rsid w:val="00194D0F"/>
    <w:rsid w:val="00195444"/>
    <w:rsid w:val="00197D35"/>
    <w:rsid w:val="001A199D"/>
    <w:rsid w:val="001A2BDB"/>
    <w:rsid w:val="001A30F4"/>
    <w:rsid w:val="001A4C0D"/>
    <w:rsid w:val="001A552F"/>
    <w:rsid w:val="001A56F3"/>
    <w:rsid w:val="001A750C"/>
    <w:rsid w:val="001B1D89"/>
    <w:rsid w:val="001B3110"/>
    <w:rsid w:val="001B4198"/>
    <w:rsid w:val="001B44BC"/>
    <w:rsid w:val="001B618F"/>
    <w:rsid w:val="001B639E"/>
    <w:rsid w:val="001B6545"/>
    <w:rsid w:val="001B681B"/>
    <w:rsid w:val="001B6A49"/>
    <w:rsid w:val="001B74FB"/>
    <w:rsid w:val="001B77A1"/>
    <w:rsid w:val="001C0422"/>
    <w:rsid w:val="001C0E0E"/>
    <w:rsid w:val="001C0EB9"/>
    <w:rsid w:val="001C1219"/>
    <w:rsid w:val="001C2912"/>
    <w:rsid w:val="001C357A"/>
    <w:rsid w:val="001C3A37"/>
    <w:rsid w:val="001C4384"/>
    <w:rsid w:val="001C58FF"/>
    <w:rsid w:val="001C65FF"/>
    <w:rsid w:val="001D1A17"/>
    <w:rsid w:val="001D47E5"/>
    <w:rsid w:val="001D5536"/>
    <w:rsid w:val="001D584C"/>
    <w:rsid w:val="001D5E1B"/>
    <w:rsid w:val="001D66C1"/>
    <w:rsid w:val="001D7C6F"/>
    <w:rsid w:val="001E0024"/>
    <w:rsid w:val="001E0C65"/>
    <w:rsid w:val="001E23E3"/>
    <w:rsid w:val="001E25A6"/>
    <w:rsid w:val="001E387A"/>
    <w:rsid w:val="001E3DA4"/>
    <w:rsid w:val="001E5830"/>
    <w:rsid w:val="001E684C"/>
    <w:rsid w:val="001E6EB9"/>
    <w:rsid w:val="001E701C"/>
    <w:rsid w:val="001E7C03"/>
    <w:rsid w:val="001F02AF"/>
    <w:rsid w:val="001F0649"/>
    <w:rsid w:val="001F28F4"/>
    <w:rsid w:val="001F3055"/>
    <w:rsid w:val="001F31BC"/>
    <w:rsid w:val="001F378E"/>
    <w:rsid w:val="001F3C79"/>
    <w:rsid w:val="001F3E68"/>
    <w:rsid w:val="001F4597"/>
    <w:rsid w:val="001F56A9"/>
    <w:rsid w:val="001F5C50"/>
    <w:rsid w:val="001F5C6A"/>
    <w:rsid w:val="001F670A"/>
    <w:rsid w:val="001F726C"/>
    <w:rsid w:val="00200D15"/>
    <w:rsid w:val="00203074"/>
    <w:rsid w:val="00203B46"/>
    <w:rsid w:val="002048E1"/>
    <w:rsid w:val="00207DB6"/>
    <w:rsid w:val="00210278"/>
    <w:rsid w:val="0021030B"/>
    <w:rsid w:val="00210CC2"/>
    <w:rsid w:val="00210F5B"/>
    <w:rsid w:val="00210FFA"/>
    <w:rsid w:val="00211262"/>
    <w:rsid w:val="002115F5"/>
    <w:rsid w:val="00211AC9"/>
    <w:rsid w:val="0021355B"/>
    <w:rsid w:val="00214C52"/>
    <w:rsid w:val="002179F9"/>
    <w:rsid w:val="002205F2"/>
    <w:rsid w:val="0022080E"/>
    <w:rsid w:val="0022139E"/>
    <w:rsid w:val="0022168A"/>
    <w:rsid w:val="0022272B"/>
    <w:rsid w:val="00222A99"/>
    <w:rsid w:val="00223678"/>
    <w:rsid w:val="002236F7"/>
    <w:rsid w:val="00223E00"/>
    <w:rsid w:val="002252E0"/>
    <w:rsid w:val="002255F6"/>
    <w:rsid w:val="00226466"/>
    <w:rsid w:val="002266D0"/>
    <w:rsid w:val="00226887"/>
    <w:rsid w:val="00230DAD"/>
    <w:rsid w:val="0023229C"/>
    <w:rsid w:val="00232AEF"/>
    <w:rsid w:val="0023355C"/>
    <w:rsid w:val="00234280"/>
    <w:rsid w:val="00235000"/>
    <w:rsid w:val="002350E3"/>
    <w:rsid w:val="00235330"/>
    <w:rsid w:val="0023629A"/>
    <w:rsid w:val="002363AE"/>
    <w:rsid w:val="00236443"/>
    <w:rsid w:val="00240355"/>
    <w:rsid w:val="00240773"/>
    <w:rsid w:val="00240815"/>
    <w:rsid w:val="00240A5B"/>
    <w:rsid w:val="00240C76"/>
    <w:rsid w:val="002436BA"/>
    <w:rsid w:val="002444ED"/>
    <w:rsid w:val="0024481A"/>
    <w:rsid w:val="00244A15"/>
    <w:rsid w:val="00244D40"/>
    <w:rsid w:val="00246AE9"/>
    <w:rsid w:val="0024799E"/>
    <w:rsid w:val="00250C59"/>
    <w:rsid w:val="00250E0D"/>
    <w:rsid w:val="00251D59"/>
    <w:rsid w:val="00252602"/>
    <w:rsid w:val="00252FDC"/>
    <w:rsid w:val="00257613"/>
    <w:rsid w:val="00261E5B"/>
    <w:rsid w:val="00262F34"/>
    <w:rsid w:val="00263470"/>
    <w:rsid w:val="00263733"/>
    <w:rsid w:val="00264676"/>
    <w:rsid w:val="00264AF7"/>
    <w:rsid w:val="00265536"/>
    <w:rsid w:val="00265E54"/>
    <w:rsid w:val="00266F3E"/>
    <w:rsid w:val="0026715A"/>
    <w:rsid w:val="00272464"/>
    <w:rsid w:val="00273DCD"/>
    <w:rsid w:val="00274291"/>
    <w:rsid w:val="00276CFE"/>
    <w:rsid w:val="00277071"/>
    <w:rsid w:val="0027786C"/>
    <w:rsid w:val="002778B0"/>
    <w:rsid w:val="00277BF7"/>
    <w:rsid w:val="00281416"/>
    <w:rsid w:val="00285986"/>
    <w:rsid w:val="00285CD3"/>
    <w:rsid w:val="0028686A"/>
    <w:rsid w:val="00286E66"/>
    <w:rsid w:val="002902F0"/>
    <w:rsid w:val="002919B5"/>
    <w:rsid w:val="00293441"/>
    <w:rsid w:val="00294238"/>
    <w:rsid w:val="0029493E"/>
    <w:rsid w:val="00296C2E"/>
    <w:rsid w:val="002A1B05"/>
    <w:rsid w:val="002A2420"/>
    <w:rsid w:val="002A267F"/>
    <w:rsid w:val="002A3354"/>
    <w:rsid w:val="002A35EA"/>
    <w:rsid w:val="002A37B6"/>
    <w:rsid w:val="002A3BD5"/>
    <w:rsid w:val="002A43A2"/>
    <w:rsid w:val="002A44ED"/>
    <w:rsid w:val="002A4612"/>
    <w:rsid w:val="002A4F70"/>
    <w:rsid w:val="002A5263"/>
    <w:rsid w:val="002A5C4A"/>
    <w:rsid w:val="002A6821"/>
    <w:rsid w:val="002A74D2"/>
    <w:rsid w:val="002A7CDA"/>
    <w:rsid w:val="002A7F47"/>
    <w:rsid w:val="002B08A8"/>
    <w:rsid w:val="002B1544"/>
    <w:rsid w:val="002B36C8"/>
    <w:rsid w:val="002B7240"/>
    <w:rsid w:val="002C1A8A"/>
    <w:rsid w:val="002C2668"/>
    <w:rsid w:val="002C3B51"/>
    <w:rsid w:val="002C43BD"/>
    <w:rsid w:val="002C5261"/>
    <w:rsid w:val="002C6091"/>
    <w:rsid w:val="002D0562"/>
    <w:rsid w:val="002D1B5A"/>
    <w:rsid w:val="002D2500"/>
    <w:rsid w:val="002D3F00"/>
    <w:rsid w:val="002D4D59"/>
    <w:rsid w:val="002D54BF"/>
    <w:rsid w:val="002D5E94"/>
    <w:rsid w:val="002D632D"/>
    <w:rsid w:val="002E02A1"/>
    <w:rsid w:val="002E0982"/>
    <w:rsid w:val="002E0DB9"/>
    <w:rsid w:val="002E2CE4"/>
    <w:rsid w:val="002E34F3"/>
    <w:rsid w:val="002E435E"/>
    <w:rsid w:val="002E73F2"/>
    <w:rsid w:val="002F33FB"/>
    <w:rsid w:val="002F68A4"/>
    <w:rsid w:val="002F7594"/>
    <w:rsid w:val="00301357"/>
    <w:rsid w:val="00301D04"/>
    <w:rsid w:val="003035D4"/>
    <w:rsid w:val="00303DCB"/>
    <w:rsid w:val="00304771"/>
    <w:rsid w:val="00305736"/>
    <w:rsid w:val="00306C5B"/>
    <w:rsid w:val="00306E3B"/>
    <w:rsid w:val="003119B6"/>
    <w:rsid w:val="00312C3D"/>
    <w:rsid w:val="00313A6E"/>
    <w:rsid w:val="00314331"/>
    <w:rsid w:val="00316A67"/>
    <w:rsid w:val="00317E31"/>
    <w:rsid w:val="00320214"/>
    <w:rsid w:val="003209D6"/>
    <w:rsid w:val="0032109A"/>
    <w:rsid w:val="0032214F"/>
    <w:rsid w:val="00322164"/>
    <w:rsid w:val="00323CF7"/>
    <w:rsid w:val="00323E61"/>
    <w:rsid w:val="0032513D"/>
    <w:rsid w:val="00326251"/>
    <w:rsid w:val="0032739C"/>
    <w:rsid w:val="00327DEE"/>
    <w:rsid w:val="003302DA"/>
    <w:rsid w:val="00330712"/>
    <w:rsid w:val="00330EB0"/>
    <w:rsid w:val="003329F3"/>
    <w:rsid w:val="0033352E"/>
    <w:rsid w:val="00333690"/>
    <w:rsid w:val="00333D20"/>
    <w:rsid w:val="00333F53"/>
    <w:rsid w:val="003340EF"/>
    <w:rsid w:val="00334A49"/>
    <w:rsid w:val="0033536F"/>
    <w:rsid w:val="00335BB0"/>
    <w:rsid w:val="0033627B"/>
    <w:rsid w:val="003406BD"/>
    <w:rsid w:val="00340D97"/>
    <w:rsid w:val="00342932"/>
    <w:rsid w:val="00343474"/>
    <w:rsid w:val="00343F84"/>
    <w:rsid w:val="00344135"/>
    <w:rsid w:val="003450E2"/>
    <w:rsid w:val="00351B63"/>
    <w:rsid w:val="003523CC"/>
    <w:rsid w:val="00352E57"/>
    <w:rsid w:val="00353BEC"/>
    <w:rsid w:val="003541B0"/>
    <w:rsid w:val="0035457E"/>
    <w:rsid w:val="00355885"/>
    <w:rsid w:val="0035605E"/>
    <w:rsid w:val="00357449"/>
    <w:rsid w:val="0036238B"/>
    <w:rsid w:val="003651A4"/>
    <w:rsid w:val="00365680"/>
    <w:rsid w:val="003657F3"/>
    <w:rsid w:val="00365CF1"/>
    <w:rsid w:val="00367038"/>
    <w:rsid w:val="00370963"/>
    <w:rsid w:val="0037144E"/>
    <w:rsid w:val="00371B97"/>
    <w:rsid w:val="003736B5"/>
    <w:rsid w:val="00374F1E"/>
    <w:rsid w:val="00376DEC"/>
    <w:rsid w:val="00377200"/>
    <w:rsid w:val="00380CDB"/>
    <w:rsid w:val="00380E04"/>
    <w:rsid w:val="00382D95"/>
    <w:rsid w:val="00383227"/>
    <w:rsid w:val="00384D8F"/>
    <w:rsid w:val="00385D98"/>
    <w:rsid w:val="00385EC5"/>
    <w:rsid w:val="0038658E"/>
    <w:rsid w:val="00386BA4"/>
    <w:rsid w:val="0039066E"/>
    <w:rsid w:val="00391C95"/>
    <w:rsid w:val="003937D5"/>
    <w:rsid w:val="00394D49"/>
    <w:rsid w:val="00396DAC"/>
    <w:rsid w:val="003A0214"/>
    <w:rsid w:val="003A027D"/>
    <w:rsid w:val="003A1467"/>
    <w:rsid w:val="003A1D74"/>
    <w:rsid w:val="003A1F8C"/>
    <w:rsid w:val="003A2B4D"/>
    <w:rsid w:val="003A2D2B"/>
    <w:rsid w:val="003A2DD4"/>
    <w:rsid w:val="003A3B1C"/>
    <w:rsid w:val="003A4088"/>
    <w:rsid w:val="003A478C"/>
    <w:rsid w:val="003A4F82"/>
    <w:rsid w:val="003A5525"/>
    <w:rsid w:val="003A6B38"/>
    <w:rsid w:val="003B2407"/>
    <w:rsid w:val="003B2580"/>
    <w:rsid w:val="003B2E63"/>
    <w:rsid w:val="003B3189"/>
    <w:rsid w:val="003B34B7"/>
    <w:rsid w:val="003B3A9D"/>
    <w:rsid w:val="003B3DDD"/>
    <w:rsid w:val="003B5031"/>
    <w:rsid w:val="003B5A32"/>
    <w:rsid w:val="003B6105"/>
    <w:rsid w:val="003C03CC"/>
    <w:rsid w:val="003C04C4"/>
    <w:rsid w:val="003C26F4"/>
    <w:rsid w:val="003C3686"/>
    <w:rsid w:val="003C4852"/>
    <w:rsid w:val="003C5BC7"/>
    <w:rsid w:val="003C5DD4"/>
    <w:rsid w:val="003C601E"/>
    <w:rsid w:val="003C7E11"/>
    <w:rsid w:val="003D2C4E"/>
    <w:rsid w:val="003D3600"/>
    <w:rsid w:val="003D37E2"/>
    <w:rsid w:val="003D3825"/>
    <w:rsid w:val="003D3EC4"/>
    <w:rsid w:val="003D4760"/>
    <w:rsid w:val="003D49DC"/>
    <w:rsid w:val="003D5D7A"/>
    <w:rsid w:val="003D65A7"/>
    <w:rsid w:val="003E0663"/>
    <w:rsid w:val="003E133F"/>
    <w:rsid w:val="003E39A8"/>
    <w:rsid w:val="003E49F6"/>
    <w:rsid w:val="003E699C"/>
    <w:rsid w:val="003E69F3"/>
    <w:rsid w:val="003E782E"/>
    <w:rsid w:val="003E7A0B"/>
    <w:rsid w:val="003E7B2B"/>
    <w:rsid w:val="003F181F"/>
    <w:rsid w:val="003F1A48"/>
    <w:rsid w:val="003F2B0A"/>
    <w:rsid w:val="003F313C"/>
    <w:rsid w:val="003F341B"/>
    <w:rsid w:val="003F37FC"/>
    <w:rsid w:val="003F4616"/>
    <w:rsid w:val="003F49A6"/>
    <w:rsid w:val="003F5098"/>
    <w:rsid w:val="003F5568"/>
    <w:rsid w:val="003F5A95"/>
    <w:rsid w:val="003F6D19"/>
    <w:rsid w:val="004000D5"/>
    <w:rsid w:val="004005C1"/>
    <w:rsid w:val="00401716"/>
    <w:rsid w:val="00401A09"/>
    <w:rsid w:val="0040273A"/>
    <w:rsid w:val="00402C25"/>
    <w:rsid w:val="00404AC3"/>
    <w:rsid w:val="004050D7"/>
    <w:rsid w:val="004075B0"/>
    <w:rsid w:val="004078BD"/>
    <w:rsid w:val="00410132"/>
    <w:rsid w:val="00410BCD"/>
    <w:rsid w:val="0041175D"/>
    <w:rsid w:val="004123BE"/>
    <w:rsid w:val="00414CE5"/>
    <w:rsid w:val="00416673"/>
    <w:rsid w:val="0042160D"/>
    <w:rsid w:val="004216B5"/>
    <w:rsid w:val="00423A3C"/>
    <w:rsid w:val="0042681B"/>
    <w:rsid w:val="00426E99"/>
    <w:rsid w:val="00427193"/>
    <w:rsid w:val="0043068A"/>
    <w:rsid w:val="004306E0"/>
    <w:rsid w:val="00430FC9"/>
    <w:rsid w:val="00431D54"/>
    <w:rsid w:val="004329BE"/>
    <w:rsid w:val="00432C38"/>
    <w:rsid w:val="004342EC"/>
    <w:rsid w:val="00437C76"/>
    <w:rsid w:val="0044105C"/>
    <w:rsid w:val="00443283"/>
    <w:rsid w:val="004441A0"/>
    <w:rsid w:val="00444268"/>
    <w:rsid w:val="00444326"/>
    <w:rsid w:val="004443BF"/>
    <w:rsid w:val="00444A7F"/>
    <w:rsid w:val="00444C19"/>
    <w:rsid w:val="00445218"/>
    <w:rsid w:val="00445CDD"/>
    <w:rsid w:val="00446892"/>
    <w:rsid w:val="00446E39"/>
    <w:rsid w:val="00447E36"/>
    <w:rsid w:val="00450C30"/>
    <w:rsid w:val="00451DCC"/>
    <w:rsid w:val="004540FF"/>
    <w:rsid w:val="004541F1"/>
    <w:rsid w:val="004549B0"/>
    <w:rsid w:val="00455ECA"/>
    <w:rsid w:val="00457296"/>
    <w:rsid w:val="00457320"/>
    <w:rsid w:val="00460164"/>
    <w:rsid w:val="0046039A"/>
    <w:rsid w:val="00460A6B"/>
    <w:rsid w:val="00461977"/>
    <w:rsid w:val="004629FD"/>
    <w:rsid w:val="00463B4B"/>
    <w:rsid w:val="00463F4D"/>
    <w:rsid w:val="0046471F"/>
    <w:rsid w:val="00464BD1"/>
    <w:rsid w:val="00464BE8"/>
    <w:rsid w:val="00465019"/>
    <w:rsid w:val="00465FA4"/>
    <w:rsid w:val="0046613F"/>
    <w:rsid w:val="0046655D"/>
    <w:rsid w:val="0046765E"/>
    <w:rsid w:val="004676E2"/>
    <w:rsid w:val="00471EDD"/>
    <w:rsid w:val="00473E94"/>
    <w:rsid w:val="0047400C"/>
    <w:rsid w:val="004745D9"/>
    <w:rsid w:val="004762D8"/>
    <w:rsid w:val="004765B3"/>
    <w:rsid w:val="00476D29"/>
    <w:rsid w:val="00477241"/>
    <w:rsid w:val="00477EAF"/>
    <w:rsid w:val="00477EE0"/>
    <w:rsid w:val="00480AB8"/>
    <w:rsid w:val="0048139F"/>
    <w:rsid w:val="00481C00"/>
    <w:rsid w:val="0048212D"/>
    <w:rsid w:val="00483053"/>
    <w:rsid w:val="00484874"/>
    <w:rsid w:val="00485230"/>
    <w:rsid w:val="00486D82"/>
    <w:rsid w:val="004879E9"/>
    <w:rsid w:val="00487F81"/>
    <w:rsid w:val="00490247"/>
    <w:rsid w:val="0049104F"/>
    <w:rsid w:val="00491218"/>
    <w:rsid w:val="00491CFD"/>
    <w:rsid w:val="0049263A"/>
    <w:rsid w:val="00493036"/>
    <w:rsid w:val="00493362"/>
    <w:rsid w:val="00494343"/>
    <w:rsid w:val="00496C2F"/>
    <w:rsid w:val="00496D92"/>
    <w:rsid w:val="0049729F"/>
    <w:rsid w:val="0049740D"/>
    <w:rsid w:val="004978D3"/>
    <w:rsid w:val="004A11F8"/>
    <w:rsid w:val="004A217A"/>
    <w:rsid w:val="004A22BD"/>
    <w:rsid w:val="004A22FA"/>
    <w:rsid w:val="004A269A"/>
    <w:rsid w:val="004A30FB"/>
    <w:rsid w:val="004A35DD"/>
    <w:rsid w:val="004A37D3"/>
    <w:rsid w:val="004A3AD6"/>
    <w:rsid w:val="004A3FB7"/>
    <w:rsid w:val="004A5865"/>
    <w:rsid w:val="004A77DF"/>
    <w:rsid w:val="004B0295"/>
    <w:rsid w:val="004B0803"/>
    <w:rsid w:val="004B10A8"/>
    <w:rsid w:val="004B22DA"/>
    <w:rsid w:val="004B3CB7"/>
    <w:rsid w:val="004B3D55"/>
    <w:rsid w:val="004B55B7"/>
    <w:rsid w:val="004B6EC5"/>
    <w:rsid w:val="004B7704"/>
    <w:rsid w:val="004C00A6"/>
    <w:rsid w:val="004C0BBB"/>
    <w:rsid w:val="004C1AD6"/>
    <w:rsid w:val="004C1B86"/>
    <w:rsid w:val="004C3382"/>
    <w:rsid w:val="004C3867"/>
    <w:rsid w:val="004C4AB7"/>
    <w:rsid w:val="004C4CD0"/>
    <w:rsid w:val="004C57B5"/>
    <w:rsid w:val="004C5C25"/>
    <w:rsid w:val="004C6717"/>
    <w:rsid w:val="004C6982"/>
    <w:rsid w:val="004C6CFF"/>
    <w:rsid w:val="004C70DC"/>
    <w:rsid w:val="004C7268"/>
    <w:rsid w:val="004D0211"/>
    <w:rsid w:val="004D1C9C"/>
    <w:rsid w:val="004D504B"/>
    <w:rsid w:val="004D536E"/>
    <w:rsid w:val="004D76CC"/>
    <w:rsid w:val="004E1839"/>
    <w:rsid w:val="004E4A75"/>
    <w:rsid w:val="004E541A"/>
    <w:rsid w:val="004E5A5C"/>
    <w:rsid w:val="004E7007"/>
    <w:rsid w:val="004E76D6"/>
    <w:rsid w:val="004E7F57"/>
    <w:rsid w:val="004F06F5"/>
    <w:rsid w:val="004F191F"/>
    <w:rsid w:val="004F2476"/>
    <w:rsid w:val="004F2A73"/>
    <w:rsid w:val="004F31D4"/>
    <w:rsid w:val="004F33A0"/>
    <w:rsid w:val="004F37BE"/>
    <w:rsid w:val="004F4352"/>
    <w:rsid w:val="004F4353"/>
    <w:rsid w:val="004F447D"/>
    <w:rsid w:val="004F4C28"/>
    <w:rsid w:val="004F4E82"/>
    <w:rsid w:val="004F5CC5"/>
    <w:rsid w:val="004F6350"/>
    <w:rsid w:val="005028E1"/>
    <w:rsid w:val="005033F1"/>
    <w:rsid w:val="0050692E"/>
    <w:rsid w:val="00507040"/>
    <w:rsid w:val="005073C7"/>
    <w:rsid w:val="005079F8"/>
    <w:rsid w:val="00507B84"/>
    <w:rsid w:val="005100D5"/>
    <w:rsid w:val="00510189"/>
    <w:rsid w:val="005108C0"/>
    <w:rsid w:val="00511873"/>
    <w:rsid w:val="00513B7E"/>
    <w:rsid w:val="005140DE"/>
    <w:rsid w:val="00514474"/>
    <w:rsid w:val="005147E9"/>
    <w:rsid w:val="005152B2"/>
    <w:rsid w:val="00515D06"/>
    <w:rsid w:val="0051778E"/>
    <w:rsid w:val="005215EF"/>
    <w:rsid w:val="00523BEC"/>
    <w:rsid w:val="00524637"/>
    <w:rsid w:val="00524FDD"/>
    <w:rsid w:val="00525137"/>
    <w:rsid w:val="005251DD"/>
    <w:rsid w:val="00526DB6"/>
    <w:rsid w:val="0053017A"/>
    <w:rsid w:val="00530492"/>
    <w:rsid w:val="00532854"/>
    <w:rsid w:val="005342F6"/>
    <w:rsid w:val="005350F2"/>
    <w:rsid w:val="00535152"/>
    <w:rsid w:val="00535359"/>
    <w:rsid w:val="005357A2"/>
    <w:rsid w:val="00535C70"/>
    <w:rsid w:val="00535D87"/>
    <w:rsid w:val="00535EF0"/>
    <w:rsid w:val="005363DF"/>
    <w:rsid w:val="0053734B"/>
    <w:rsid w:val="005375B1"/>
    <w:rsid w:val="00537AFD"/>
    <w:rsid w:val="00537CB4"/>
    <w:rsid w:val="0054516B"/>
    <w:rsid w:val="0054559E"/>
    <w:rsid w:val="00546888"/>
    <w:rsid w:val="005513D5"/>
    <w:rsid w:val="005523B9"/>
    <w:rsid w:val="005545E0"/>
    <w:rsid w:val="00554865"/>
    <w:rsid w:val="00554E57"/>
    <w:rsid w:val="00556828"/>
    <w:rsid w:val="005622CD"/>
    <w:rsid w:val="00562749"/>
    <w:rsid w:val="00562DE9"/>
    <w:rsid w:val="005638A5"/>
    <w:rsid w:val="00566381"/>
    <w:rsid w:val="0056640C"/>
    <w:rsid w:val="00566A03"/>
    <w:rsid w:val="00571932"/>
    <w:rsid w:val="00573C97"/>
    <w:rsid w:val="00574240"/>
    <w:rsid w:val="00575CDC"/>
    <w:rsid w:val="005765D5"/>
    <w:rsid w:val="00576A3E"/>
    <w:rsid w:val="0057703D"/>
    <w:rsid w:val="00577861"/>
    <w:rsid w:val="0058134C"/>
    <w:rsid w:val="005828FD"/>
    <w:rsid w:val="0058366F"/>
    <w:rsid w:val="00583D5B"/>
    <w:rsid w:val="00583FFD"/>
    <w:rsid w:val="00587CCD"/>
    <w:rsid w:val="005908AE"/>
    <w:rsid w:val="0059153E"/>
    <w:rsid w:val="0059176E"/>
    <w:rsid w:val="00591AF8"/>
    <w:rsid w:val="00592377"/>
    <w:rsid w:val="00592854"/>
    <w:rsid w:val="00593152"/>
    <w:rsid w:val="00593CA3"/>
    <w:rsid w:val="00594161"/>
    <w:rsid w:val="00594969"/>
    <w:rsid w:val="00595590"/>
    <w:rsid w:val="00596C5E"/>
    <w:rsid w:val="005A2194"/>
    <w:rsid w:val="005A21E0"/>
    <w:rsid w:val="005A33A1"/>
    <w:rsid w:val="005A54EE"/>
    <w:rsid w:val="005A563B"/>
    <w:rsid w:val="005A7500"/>
    <w:rsid w:val="005A77E4"/>
    <w:rsid w:val="005B0418"/>
    <w:rsid w:val="005B1BDB"/>
    <w:rsid w:val="005B2BAA"/>
    <w:rsid w:val="005B2D53"/>
    <w:rsid w:val="005B3247"/>
    <w:rsid w:val="005B3409"/>
    <w:rsid w:val="005B489E"/>
    <w:rsid w:val="005B498A"/>
    <w:rsid w:val="005B7B12"/>
    <w:rsid w:val="005C16CB"/>
    <w:rsid w:val="005C21D6"/>
    <w:rsid w:val="005C3F9F"/>
    <w:rsid w:val="005C406F"/>
    <w:rsid w:val="005C4244"/>
    <w:rsid w:val="005C4A23"/>
    <w:rsid w:val="005C562C"/>
    <w:rsid w:val="005C5812"/>
    <w:rsid w:val="005C6400"/>
    <w:rsid w:val="005C7122"/>
    <w:rsid w:val="005C7F1E"/>
    <w:rsid w:val="005D374F"/>
    <w:rsid w:val="005D5802"/>
    <w:rsid w:val="005D6CFC"/>
    <w:rsid w:val="005D73E2"/>
    <w:rsid w:val="005D757A"/>
    <w:rsid w:val="005E1859"/>
    <w:rsid w:val="005E1E4B"/>
    <w:rsid w:val="005E362D"/>
    <w:rsid w:val="005E492C"/>
    <w:rsid w:val="005E4BAA"/>
    <w:rsid w:val="005E52EF"/>
    <w:rsid w:val="005E5525"/>
    <w:rsid w:val="005E5B56"/>
    <w:rsid w:val="005E6088"/>
    <w:rsid w:val="005E61DF"/>
    <w:rsid w:val="005E6B65"/>
    <w:rsid w:val="005E6B78"/>
    <w:rsid w:val="005E75B8"/>
    <w:rsid w:val="005F26CE"/>
    <w:rsid w:val="005F4057"/>
    <w:rsid w:val="005F4088"/>
    <w:rsid w:val="005F601D"/>
    <w:rsid w:val="005F6119"/>
    <w:rsid w:val="005F7940"/>
    <w:rsid w:val="0060107A"/>
    <w:rsid w:val="00601AFF"/>
    <w:rsid w:val="00602D1D"/>
    <w:rsid w:val="00604307"/>
    <w:rsid w:val="0060487F"/>
    <w:rsid w:val="00605814"/>
    <w:rsid w:val="00606B93"/>
    <w:rsid w:val="00607727"/>
    <w:rsid w:val="00610BD5"/>
    <w:rsid w:val="00611531"/>
    <w:rsid w:val="006118AA"/>
    <w:rsid w:val="006123FD"/>
    <w:rsid w:val="006139C7"/>
    <w:rsid w:val="006153E3"/>
    <w:rsid w:val="0061679C"/>
    <w:rsid w:val="006167AB"/>
    <w:rsid w:val="00617B14"/>
    <w:rsid w:val="00617D2D"/>
    <w:rsid w:val="00617D83"/>
    <w:rsid w:val="00620430"/>
    <w:rsid w:val="00620AC5"/>
    <w:rsid w:val="00621575"/>
    <w:rsid w:val="006215FC"/>
    <w:rsid w:val="00624093"/>
    <w:rsid w:val="00630F66"/>
    <w:rsid w:val="00631A82"/>
    <w:rsid w:val="00631FC2"/>
    <w:rsid w:val="00632171"/>
    <w:rsid w:val="0063332A"/>
    <w:rsid w:val="006347F9"/>
    <w:rsid w:val="0063494E"/>
    <w:rsid w:val="00634C90"/>
    <w:rsid w:val="00635E79"/>
    <w:rsid w:val="00636E5E"/>
    <w:rsid w:val="006379E0"/>
    <w:rsid w:val="006404A7"/>
    <w:rsid w:val="006407F3"/>
    <w:rsid w:val="006408EC"/>
    <w:rsid w:val="0064129B"/>
    <w:rsid w:val="00644DFC"/>
    <w:rsid w:val="006451E4"/>
    <w:rsid w:val="0064543C"/>
    <w:rsid w:val="006454B4"/>
    <w:rsid w:val="00645A9C"/>
    <w:rsid w:val="006460B8"/>
    <w:rsid w:val="00647505"/>
    <w:rsid w:val="006504A0"/>
    <w:rsid w:val="006520C7"/>
    <w:rsid w:val="00652CBB"/>
    <w:rsid w:val="006530B8"/>
    <w:rsid w:val="006535D6"/>
    <w:rsid w:val="00654301"/>
    <w:rsid w:val="0065614E"/>
    <w:rsid w:val="00656312"/>
    <w:rsid w:val="006572ED"/>
    <w:rsid w:val="00657E87"/>
    <w:rsid w:val="00660457"/>
    <w:rsid w:val="0066086C"/>
    <w:rsid w:val="00660917"/>
    <w:rsid w:val="00660E1E"/>
    <w:rsid w:val="006637B1"/>
    <w:rsid w:val="00664B64"/>
    <w:rsid w:val="00665D67"/>
    <w:rsid w:val="00665D77"/>
    <w:rsid w:val="006660CD"/>
    <w:rsid w:val="00666EC8"/>
    <w:rsid w:val="00666F4B"/>
    <w:rsid w:val="006676D0"/>
    <w:rsid w:val="0066796E"/>
    <w:rsid w:val="00667B3B"/>
    <w:rsid w:val="00670FAC"/>
    <w:rsid w:val="006710C9"/>
    <w:rsid w:val="006716A5"/>
    <w:rsid w:val="00672886"/>
    <w:rsid w:val="00675E37"/>
    <w:rsid w:val="00676AFC"/>
    <w:rsid w:val="00676F11"/>
    <w:rsid w:val="00680079"/>
    <w:rsid w:val="00680F68"/>
    <w:rsid w:val="0068260E"/>
    <w:rsid w:val="0068373D"/>
    <w:rsid w:val="00683BFE"/>
    <w:rsid w:val="0068437D"/>
    <w:rsid w:val="006857DF"/>
    <w:rsid w:val="00685E66"/>
    <w:rsid w:val="00686B72"/>
    <w:rsid w:val="00686BF1"/>
    <w:rsid w:val="00690A09"/>
    <w:rsid w:val="00690A25"/>
    <w:rsid w:val="00691374"/>
    <w:rsid w:val="00693EA1"/>
    <w:rsid w:val="00693FEA"/>
    <w:rsid w:val="00694460"/>
    <w:rsid w:val="00694930"/>
    <w:rsid w:val="00695170"/>
    <w:rsid w:val="00695BEF"/>
    <w:rsid w:val="00695DE9"/>
    <w:rsid w:val="006960D6"/>
    <w:rsid w:val="00696AA5"/>
    <w:rsid w:val="006977F6"/>
    <w:rsid w:val="00697A13"/>
    <w:rsid w:val="006A109C"/>
    <w:rsid w:val="006A18AE"/>
    <w:rsid w:val="006A2EE8"/>
    <w:rsid w:val="006A3CF3"/>
    <w:rsid w:val="006A568F"/>
    <w:rsid w:val="006A65EF"/>
    <w:rsid w:val="006A672B"/>
    <w:rsid w:val="006A6FB8"/>
    <w:rsid w:val="006B23A9"/>
    <w:rsid w:val="006B3F8A"/>
    <w:rsid w:val="006B5CA3"/>
    <w:rsid w:val="006B5EEB"/>
    <w:rsid w:val="006B6B3B"/>
    <w:rsid w:val="006B7714"/>
    <w:rsid w:val="006B78D8"/>
    <w:rsid w:val="006C090F"/>
    <w:rsid w:val="006C0935"/>
    <w:rsid w:val="006C0BCE"/>
    <w:rsid w:val="006C113F"/>
    <w:rsid w:val="006C2AED"/>
    <w:rsid w:val="006C38DD"/>
    <w:rsid w:val="006C5577"/>
    <w:rsid w:val="006C559A"/>
    <w:rsid w:val="006C58FA"/>
    <w:rsid w:val="006D042D"/>
    <w:rsid w:val="006D06EF"/>
    <w:rsid w:val="006D142E"/>
    <w:rsid w:val="006D4497"/>
    <w:rsid w:val="006D4E6F"/>
    <w:rsid w:val="006D5C8C"/>
    <w:rsid w:val="006D61F6"/>
    <w:rsid w:val="006E0EB0"/>
    <w:rsid w:val="006E0F26"/>
    <w:rsid w:val="006E1F4C"/>
    <w:rsid w:val="006E22C8"/>
    <w:rsid w:val="006E279A"/>
    <w:rsid w:val="006E2B48"/>
    <w:rsid w:val="006E2F3F"/>
    <w:rsid w:val="006E313B"/>
    <w:rsid w:val="006E442A"/>
    <w:rsid w:val="006E4434"/>
    <w:rsid w:val="006E59FC"/>
    <w:rsid w:val="006E5CFD"/>
    <w:rsid w:val="006E6976"/>
    <w:rsid w:val="006E7D88"/>
    <w:rsid w:val="006E7E2C"/>
    <w:rsid w:val="006F1326"/>
    <w:rsid w:val="006F2BEE"/>
    <w:rsid w:val="006F3458"/>
    <w:rsid w:val="006F3708"/>
    <w:rsid w:val="006F3E6B"/>
    <w:rsid w:val="006F4619"/>
    <w:rsid w:val="006F4A59"/>
    <w:rsid w:val="006F7709"/>
    <w:rsid w:val="00700232"/>
    <w:rsid w:val="007014C7"/>
    <w:rsid w:val="007025D8"/>
    <w:rsid w:val="00702682"/>
    <w:rsid w:val="00702D6F"/>
    <w:rsid w:val="00703163"/>
    <w:rsid w:val="00703B6C"/>
    <w:rsid w:val="00703C6B"/>
    <w:rsid w:val="007047D5"/>
    <w:rsid w:val="00705D98"/>
    <w:rsid w:val="00707891"/>
    <w:rsid w:val="00707D43"/>
    <w:rsid w:val="00711EF1"/>
    <w:rsid w:val="0071229A"/>
    <w:rsid w:val="00712572"/>
    <w:rsid w:val="00713495"/>
    <w:rsid w:val="00713EEB"/>
    <w:rsid w:val="007159D2"/>
    <w:rsid w:val="0072050E"/>
    <w:rsid w:val="00720FA2"/>
    <w:rsid w:val="007211F5"/>
    <w:rsid w:val="007217CE"/>
    <w:rsid w:val="00724666"/>
    <w:rsid w:val="00726043"/>
    <w:rsid w:val="0072704A"/>
    <w:rsid w:val="00730AE8"/>
    <w:rsid w:val="00731963"/>
    <w:rsid w:val="00731CA1"/>
    <w:rsid w:val="00734321"/>
    <w:rsid w:val="0073532E"/>
    <w:rsid w:val="00740310"/>
    <w:rsid w:val="00740652"/>
    <w:rsid w:val="00740848"/>
    <w:rsid w:val="00740F02"/>
    <w:rsid w:val="00740FEC"/>
    <w:rsid w:val="0074132E"/>
    <w:rsid w:val="00741493"/>
    <w:rsid w:val="007426B3"/>
    <w:rsid w:val="007426FD"/>
    <w:rsid w:val="0074329D"/>
    <w:rsid w:val="00743CEB"/>
    <w:rsid w:val="00744376"/>
    <w:rsid w:val="007449EA"/>
    <w:rsid w:val="00744D00"/>
    <w:rsid w:val="00745273"/>
    <w:rsid w:val="00746DD9"/>
    <w:rsid w:val="0075057A"/>
    <w:rsid w:val="00751771"/>
    <w:rsid w:val="00751C1C"/>
    <w:rsid w:val="00751D40"/>
    <w:rsid w:val="00752180"/>
    <w:rsid w:val="007521A1"/>
    <w:rsid w:val="00752BC3"/>
    <w:rsid w:val="0075315D"/>
    <w:rsid w:val="007538F9"/>
    <w:rsid w:val="00754253"/>
    <w:rsid w:val="007552BB"/>
    <w:rsid w:val="007558D3"/>
    <w:rsid w:val="007559D7"/>
    <w:rsid w:val="00755D3A"/>
    <w:rsid w:val="00760141"/>
    <w:rsid w:val="007609C6"/>
    <w:rsid w:val="007610A0"/>
    <w:rsid w:val="007619CD"/>
    <w:rsid w:val="007620F2"/>
    <w:rsid w:val="00762EBA"/>
    <w:rsid w:val="0076359D"/>
    <w:rsid w:val="00763FEB"/>
    <w:rsid w:val="0077058D"/>
    <w:rsid w:val="00772536"/>
    <w:rsid w:val="00773613"/>
    <w:rsid w:val="00774782"/>
    <w:rsid w:val="00776476"/>
    <w:rsid w:val="00776527"/>
    <w:rsid w:val="00776B92"/>
    <w:rsid w:val="007805E1"/>
    <w:rsid w:val="0078113E"/>
    <w:rsid w:val="00781834"/>
    <w:rsid w:val="007821DB"/>
    <w:rsid w:val="00782818"/>
    <w:rsid w:val="007838F1"/>
    <w:rsid w:val="007842A5"/>
    <w:rsid w:val="00784A0E"/>
    <w:rsid w:val="00784C4A"/>
    <w:rsid w:val="00787432"/>
    <w:rsid w:val="00787507"/>
    <w:rsid w:val="007879F2"/>
    <w:rsid w:val="00791CF8"/>
    <w:rsid w:val="00791EF9"/>
    <w:rsid w:val="00792262"/>
    <w:rsid w:val="00793387"/>
    <w:rsid w:val="00793BAE"/>
    <w:rsid w:val="00794E0A"/>
    <w:rsid w:val="00796642"/>
    <w:rsid w:val="007A11D9"/>
    <w:rsid w:val="007A327B"/>
    <w:rsid w:val="007A45B1"/>
    <w:rsid w:val="007A4606"/>
    <w:rsid w:val="007B0D67"/>
    <w:rsid w:val="007B1966"/>
    <w:rsid w:val="007B2779"/>
    <w:rsid w:val="007B3DCC"/>
    <w:rsid w:val="007B4518"/>
    <w:rsid w:val="007B5031"/>
    <w:rsid w:val="007B573F"/>
    <w:rsid w:val="007B6A6B"/>
    <w:rsid w:val="007C0065"/>
    <w:rsid w:val="007C010B"/>
    <w:rsid w:val="007C3384"/>
    <w:rsid w:val="007C605B"/>
    <w:rsid w:val="007D152D"/>
    <w:rsid w:val="007D1E65"/>
    <w:rsid w:val="007D2A5A"/>
    <w:rsid w:val="007D2AD8"/>
    <w:rsid w:val="007D2C47"/>
    <w:rsid w:val="007D3167"/>
    <w:rsid w:val="007D4128"/>
    <w:rsid w:val="007D4281"/>
    <w:rsid w:val="007D42F5"/>
    <w:rsid w:val="007D44C3"/>
    <w:rsid w:val="007D5947"/>
    <w:rsid w:val="007D65C1"/>
    <w:rsid w:val="007D6DD0"/>
    <w:rsid w:val="007D71F5"/>
    <w:rsid w:val="007D7CAD"/>
    <w:rsid w:val="007E030F"/>
    <w:rsid w:val="007E0E59"/>
    <w:rsid w:val="007E0F4B"/>
    <w:rsid w:val="007E3715"/>
    <w:rsid w:val="007E3720"/>
    <w:rsid w:val="007E402D"/>
    <w:rsid w:val="007E7E61"/>
    <w:rsid w:val="007F0012"/>
    <w:rsid w:val="007F0845"/>
    <w:rsid w:val="007F16F9"/>
    <w:rsid w:val="007F2953"/>
    <w:rsid w:val="007F3E3E"/>
    <w:rsid w:val="007F42E0"/>
    <w:rsid w:val="007F4476"/>
    <w:rsid w:val="007F48F0"/>
    <w:rsid w:val="007F500D"/>
    <w:rsid w:val="007F5F14"/>
    <w:rsid w:val="007F7737"/>
    <w:rsid w:val="007F7B54"/>
    <w:rsid w:val="00800073"/>
    <w:rsid w:val="008005D7"/>
    <w:rsid w:val="00801818"/>
    <w:rsid w:val="00801FDD"/>
    <w:rsid w:val="008020C2"/>
    <w:rsid w:val="0080255C"/>
    <w:rsid w:val="008042A9"/>
    <w:rsid w:val="0081187C"/>
    <w:rsid w:val="00811E24"/>
    <w:rsid w:val="00812386"/>
    <w:rsid w:val="00812E2B"/>
    <w:rsid w:val="00813A70"/>
    <w:rsid w:val="00813FE6"/>
    <w:rsid w:val="00815C6E"/>
    <w:rsid w:val="0081645F"/>
    <w:rsid w:val="00817755"/>
    <w:rsid w:val="008178C2"/>
    <w:rsid w:val="008178CF"/>
    <w:rsid w:val="00817C98"/>
    <w:rsid w:val="00820C9F"/>
    <w:rsid w:val="008211C3"/>
    <w:rsid w:val="00821FF6"/>
    <w:rsid w:val="00823AAF"/>
    <w:rsid w:val="00824081"/>
    <w:rsid w:val="0082409A"/>
    <w:rsid w:val="008252D7"/>
    <w:rsid w:val="00825C0F"/>
    <w:rsid w:val="0082601B"/>
    <w:rsid w:val="00827181"/>
    <w:rsid w:val="0082733C"/>
    <w:rsid w:val="00827746"/>
    <w:rsid w:val="00830447"/>
    <w:rsid w:val="0083143E"/>
    <w:rsid w:val="0083159D"/>
    <w:rsid w:val="008318FF"/>
    <w:rsid w:val="00832187"/>
    <w:rsid w:val="008323E8"/>
    <w:rsid w:val="00832493"/>
    <w:rsid w:val="008330B5"/>
    <w:rsid w:val="008336D8"/>
    <w:rsid w:val="008339C4"/>
    <w:rsid w:val="00834F0A"/>
    <w:rsid w:val="00834FAA"/>
    <w:rsid w:val="00835181"/>
    <w:rsid w:val="00835991"/>
    <w:rsid w:val="00836086"/>
    <w:rsid w:val="00840699"/>
    <w:rsid w:val="00840DED"/>
    <w:rsid w:val="00841D9F"/>
    <w:rsid w:val="00842604"/>
    <w:rsid w:val="00843ECF"/>
    <w:rsid w:val="00846673"/>
    <w:rsid w:val="0085281A"/>
    <w:rsid w:val="008559FE"/>
    <w:rsid w:val="00857339"/>
    <w:rsid w:val="00860706"/>
    <w:rsid w:val="00862A7A"/>
    <w:rsid w:val="00862DA0"/>
    <w:rsid w:val="00863104"/>
    <w:rsid w:val="008636CD"/>
    <w:rsid w:val="00863D9E"/>
    <w:rsid w:val="00863FDC"/>
    <w:rsid w:val="008642AF"/>
    <w:rsid w:val="00865ED4"/>
    <w:rsid w:val="00866561"/>
    <w:rsid w:val="008669A7"/>
    <w:rsid w:val="00867527"/>
    <w:rsid w:val="00867E29"/>
    <w:rsid w:val="00870F2B"/>
    <w:rsid w:val="00872D92"/>
    <w:rsid w:val="00873D52"/>
    <w:rsid w:val="008746E6"/>
    <w:rsid w:val="008752FB"/>
    <w:rsid w:val="0087594C"/>
    <w:rsid w:val="00876086"/>
    <w:rsid w:val="008768D6"/>
    <w:rsid w:val="008775D1"/>
    <w:rsid w:val="008777BB"/>
    <w:rsid w:val="00877D68"/>
    <w:rsid w:val="00877E51"/>
    <w:rsid w:val="00877E5D"/>
    <w:rsid w:val="00880150"/>
    <w:rsid w:val="00880ABA"/>
    <w:rsid w:val="00881A75"/>
    <w:rsid w:val="00881F72"/>
    <w:rsid w:val="00883A67"/>
    <w:rsid w:val="00883D45"/>
    <w:rsid w:val="00884D69"/>
    <w:rsid w:val="0088503D"/>
    <w:rsid w:val="00886005"/>
    <w:rsid w:val="00886A8F"/>
    <w:rsid w:val="0088733A"/>
    <w:rsid w:val="008902DB"/>
    <w:rsid w:val="00891BE0"/>
    <w:rsid w:val="00893302"/>
    <w:rsid w:val="00893648"/>
    <w:rsid w:val="00893F3C"/>
    <w:rsid w:val="008945A1"/>
    <w:rsid w:val="00894A63"/>
    <w:rsid w:val="008954A8"/>
    <w:rsid w:val="00895A54"/>
    <w:rsid w:val="00896916"/>
    <w:rsid w:val="00896BDE"/>
    <w:rsid w:val="00897CC5"/>
    <w:rsid w:val="008A0861"/>
    <w:rsid w:val="008A0BB2"/>
    <w:rsid w:val="008A0BF6"/>
    <w:rsid w:val="008A1AB3"/>
    <w:rsid w:val="008A1D5C"/>
    <w:rsid w:val="008A3292"/>
    <w:rsid w:val="008A3A85"/>
    <w:rsid w:val="008A43E9"/>
    <w:rsid w:val="008A4CB1"/>
    <w:rsid w:val="008A615E"/>
    <w:rsid w:val="008A632B"/>
    <w:rsid w:val="008A6BFE"/>
    <w:rsid w:val="008B00C2"/>
    <w:rsid w:val="008B07EF"/>
    <w:rsid w:val="008B16DE"/>
    <w:rsid w:val="008B190E"/>
    <w:rsid w:val="008B1A8A"/>
    <w:rsid w:val="008B1C17"/>
    <w:rsid w:val="008B1FC9"/>
    <w:rsid w:val="008B6B67"/>
    <w:rsid w:val="008B7306"/>
    <w:rsid w:val="008B775F"/>
    <w:rsid w:val="008B7C02"/>
    <w:rsid w:val="008B7D13"/>
    <w:rsid w:val="008B7F9E"/>
    <w:rsid w:val="008C0E88"/>
    <w:rsid w:val="008C1AA8"/>
    <w:rsid w:val="008C22A8"/>
    <w:rsid w:val="008C5B43"/>
    <w:rsid w:val="008C63FD"/>
    <w:rsid w:val="008C6CB8"/>
    <w:rsid w:val="008C7815"/>
    <w:rsid w:val="008C7A07"/>
    <w:rsid w:val="008D0171"/>
    <w:rsid w:val="008D13EA"/>
    <w:rsid w:val="008D2671"/>
    <w:rsid w:val="008D2A16"/>
    <w:rsid w:val="008D2ECF"/>
    <w:rsid w:val="008D3C87"/>
    <w:rsid w:val="008D3F3D"/>
    <w:rsid w:val="008E0367"/>
    <w:rsid w:val="008E2F41"/>
    <w:rsid w:val="008E308D"/>
    <w:rsid w:val="008E31FF"/>
    <w:rsid w:val="008E3867"/>
    <w:rsid w:val="008E46A3"/>
    <w:rsid w:val="008E5DE6"/>
    <w:rsid w:val="008E6073"/>
    <w:rsid w:val="008E6113"/>
    <w:rsid w:val="008E6AB3"/>
    <w:rsid w:val="008E6AD3"/>
    <w:rsid w:val="008E71A6"/>
    <w:rsid w:val="008E77B6"/>
    <w:rsid w:val="008E7C55"/>
    <w:rsid w:val="008F032E"/>
    <w:rsid w:val="008F0F14"/>
    <w:rsid w:val="008F40E1"/>
    <w:rsid w:val="008F4FCE"/>
    <w:rsid w:val="008F5301"/>
    <w:rsid w:val="008F6967"/>
    <w:rsid w:val="008F6A0C"/>
    <w:rsid w:val="008F7721"/>
    <w:rsid w:val="008F7D28"/>
    <w:rsid w:val="009003A8"/>
    <w:rsid w:val="009010A7"/>
    <w:rsid w:val="00902CBE"/>
    <w:rsid w:val="00902D74"/>
    <w:rsid w:val="00902EFF"/>
    <w:rsid w:val="00903E06"/>
    <w:rsid w:val="00904B9D"/>
    <w:rsid w:val="00905A11"/>
    <w:rsid w:val="009066E1"/>
    <w:rsid w:val="00907A41"/>
    <w:rsid w:val="009102BD"/>
    <w:rsid w:val="00910F93"/>
    <w:rsid w:val="0091255A"/>
    <w:rsid w:val="009128CD"/>
    <w:rsid w:val="00914426"/>
    <w:rsid w:val="00914EDB"/>
    <w:rsid w:val="0091675F"/>
    <w:rsid w:val="00917709"/>
    <w:rsid w:val="00917918"/>
    <w:rsid w:val="00920874"/>
    <w:rsid w:val="00921370"/>
    <w:rsid w:val="00921F14"/>
    <w:rsid w:val="00923750"/>
    <w:rsid w:val="009243A5"/>
    <w:rsid w:val="009250D2"/>
    <w:rsid w:val="0092540B"/>
    <w:rsid w:val="00926283"/>
    <w:rsid w:val="00934CE8"/>
    <w:rsid w:val="00937B11"/>
    <w:rsid w:val="00940F1F"/>
    <w:rsid w:val="00941250"/>
    <w:rsid w:val="0094427A"/>
    <w:rsid w:val="00944380"/>
    <w:rsid w:val="00945932"/>
    <w:rsid w:val="009459C5"/>
    <w:rsid w:val="0094626C"/>
    <w:rsid w:val="0095013A"/>
    <w:rsid w:val="009505E4"/>
    <w:rsid w:val="00953AEF"/>
    <w:rsid w:val="009551E2"/>
    <w:rsid w:val="00955783"/>
    <w:rsid w:val="00955E5F"/>
    <w:rsid w:val="009560B0"/>
    <w:rsid w:val="00956F23"/>
    <w:rsid w:val="00957871"/>
    <w:rsid w:val="00960077"/>
    <w:rsid w:val="00960769"/>
    <w:rsid w:val="00962D2E"/>
    <w:rsid w:val="00963724"/>
    <w:rsid w:val="00963FA1"/>
    <w:rsid w:val="00964498"/>
    <w:rsid w:val="0096504D"/>
    <w:rsid w:val="00965A2D"/>
    <w:rsid w:val="009663EB"/>
    <w:rsid w:val="0096650F"/>
    <w:rsid w:val="00967AD2"/>
    <w:rsid w:val="009700DB"/>
    <w:rsid w:val="00971DC6"/>
    <w:rsid w:val="00972263"/>
    <w:rsid w:val="00972492"/>
    <w:rsid w:val="00972502"/>
    <w:rsid w:val="00972D8D"/>
    <w:rsid w:val="00973AAE"/>
    <w:rsid w:val="0097476C"/>
    <w:rsid w:val="00974923"/>
    <w:rsid w:val="00974D48"/>
    <w:rsid w:val="00974D5F"/>
    <w:rsid w:val="00975017"/>
    <w:rsid w:val="009759DF"/>
    <w:rsid w:val="00977537"/>
    <w:rsid w:val="00980373"/>
    <w:rsid w:val="00980621"/>
    <w:rsid w:val="00982072"/>
    <w:rsid w:val="009833FA"/>
    <w:rsid w:val="00983DBB"/>
    <w:rsid w:val="00983ECF"/>
    <w:rsid w:val="00986745"/>
    <w:rsid w:val="009867BC"/>
    <w:rsid w:val="0098688F"/>
    <w:rsid w:val="00987109"/>
    <w:rsid w:val="00987309"/>
    <w:rsid w:val="0099012D"/>
    <w:rsid w:val="00990363"/>
    <w:rsid w:val="009954FF"/>
    <w:rsid w:val="009961BC"/>
    <w:rsid w:val="00996355"/>
    <w:rsid w:val="00997EE9"/>
    <w:rsid w:val="009A2014"/>
    <w:rsid w:val="009A3A87"/>
    <w:rsid w:val="009A4E12"/>
    <w:rsid w:val="009A5C68"/>
    <w:rsid w:val="009A6EF7"/>
    <w:rsid w:val="009B04D0"/>
    <w:rsid w:val="009B052C"/>
    <w:rsid w:val="009B0EF2"/>
    <w:rsid w:val="009B23A3"/>
    <w:rsid w:val="009B4830"/>
    <w:rsid w:val="009B4925"/>
    <w:rsid w:val="009B4B4B"/>
    <w:rsid w:val="009B5DD6"/>
    <w:rsid w:val="009B6FD3"/>
    <w:rsid w:val="009B70BD"/>
    <w:rsid w:val="009B747B"/>
    <w:rsid w:val="009C07A5"/>
    <w:rsid w:val="009C4152"/>
    <w:rsid w:val="009C7388"/>
    <w:rsid w:val="009C7A48"/>
    <w:rsid w:val="009D0CFF"/>
    <w:rsid w:val="009D1551"/>
    <w:rsid w:val="009D1C80"/>
    <w:rsid w:val="009D2859"/>
    <w:rsid w:val="009D36EC"/>
    <w:rsid w:val="009D4173"/>
    <w:rsid w:val="009D4AD5"/>
    <w:rsid w:val="009D6095"/>
    <w:rsid w:val="009D6306"/>
    <w:rsid w:val="009E048A"/>
    <w:rsid w:val="009E1FBA"/>
    <w:rsid w:val="009E2C54"/>
    <w:rsid w:val="009E3710"/>
    <w:rsid w:val="009E7B1F"/>
    <w:rsid w:val="009F012D"/>
    <w:rsid w:val="009F168D"/>
    <w:rsid w:val="009F41C4"/>
    <w:rsid w:val="009F5846"/>
    <w:rsid w:val="009F7B52"/>
    <w:rsid w:val="009F7D77"/>
    <w:rsid w:val="00A015EA"/>
    <w:rsid w:val="00A06467"/>
    <w:rsid w:val="00A10D66"/>
    <w:rsid w:val="00A118A2"/>
    <w:rsid w:val="00A12BA8"/>
    <w:rsid w:val="00A1420C"/>
    <w:rsid w:val="00A1456C"/>
    <w:rsid w:val="00A14821"/>
    <w:rsid w:val="00A15077"/>
    <w:rsid w:val="00A16B4C"/>
    <w:rsid w:val="00A17754"/>
    <w:rsid w:val="00A2055B"/>
    <w:rsid w:val="00A2238A"/>
    <w:rsid w:val="00A2253C"/>
    <w:rsid w:val="00A23545"/>
    <w:rsid w:val="00A23A55"/>
    <w:rsid w:val="00A23E43"/>
    <w:rsid w:val="00A24F8C"/>
    <w:rsid w:val="00A262BF"/>
    <w:rsid w:val="00A271AD"/>
    <w:rsid w:val="00A276D5"/>
    <w:rsid w:val="00A30336"/>
    <w:rsid w:val="00A30BB5"/>
    <w:rsid w:val="00A3128F"/>
    <w:rsid w:val="00A31B69"/>
    <w:rsid w:val="00A32462"/>
    <w:rsid w:val="00A326D0"/>
    <w:rsid w:val="00A34052"/>
    <w:rsid w:val="00A34AD9"/>
    <w:rsid w:val="00A35140"/>
    <w:rsid w:val="00A35287"/>
    <w:rsid w:val="00A378F8"/>
    <w:rsid w:val="00A40B19"/>
    <w:rsid w:val="00A424F8"/>
    <w:rsid w:val="00A437B7"/>
    <w:rsid w:val="00A46D48"/>
    <w:rsid w:val="00A46DE0"/>
    <w:rsid w:val="00A4778A"/>
    <w:rsid w:val="00A504C0"/>
    <w:rsid w:val="00A5067F"/>
    <w:rsid w:val="00A523DF"/>
    <w:rsid w:val="00A55301"/>
    <w:rsid w:val="00A572FB"/>
    <w:rsid w:val="00A57B3C"/>
    <w:rsid w:val="00A57F1B"/>
    <w:rsid w:val="00A6128E"/>
    <w:rsid w:val="00A62CE1"/>
    <w:rsid w:val="00A631FA"/>
    <w:rsid w:val="00A64203"/>
    <w:rsid w:val="00A64348"/>
    <w:rsid w:val="00A644E1"/>
    <w:rsid w:val="00A721FB"/>
    <w:rsid w:val="00A727BA"/>
    <w:rsid w:val="00A72D4B"/>
    <w:rsid w:val="00A732AE"/>
    <w:rsid w:val="00A75E40"/>
    <w:rsid w:val="00A77EB2"/>
    <w:rsid w:val="00A80F0A"/>
    <w:rsid w:val="00A81094"/>
    <w:rsid w:val="00A82B66"/>
    <w:rsid w:val="00A83B58"/>
    <w:rsid w:val="00A84FAF"/>
    <w:rsid w:val="00A851B6"/>
    <w:rsid w:val="00A85729"/>
    <w:rsid w:val="00A8574B"/>
    <w:rsid w:val="00A857C0"/>
    <w:rsid w:val="00A87F6E"/>
    <w:rsid w:val="00A903FE"/>
    <w:rsid w:val="00A91336"/>
    <w:rsid w:val="00A9221C"/>
    <w:rsid w:val="00A94628"/>
    <w:rsid w:val="00A955FD"/>
    <w:rsid w:val="00A96463"/>
    <w:rsid w:val="00A97E3F"/>
    <w:rsid w:val="00AA09D3"/>
    <w:rsid w:val="00AA23FB"/>
    <w:rsid w:val="00AA3948"/>
    <w:rsid w:val="00AA42AB"/>
    <w:rsid w:val="00AA559A"/>
    <w:rsid w:val="00AA756A"/>
    <w:rsid w:val="00AB104D"/>
    <w:rsid w:val="00AB2AF1"/>
    <w:rsid w:val="00AB440B"/>
    <w:rsid w:val="00AB47E3"/>
    <w:rsid w:val="00AB74C5"/>
    <w:rsid w:val="00AB7BEE"/>
    <w:rsid w:val="00AB7DF2"/>
    <w:rsid w:val="00AC0EC6"/>
    <w:rsid w:val="00AC1E3F"/>
    <w:rsid w:val="00AC219A"/>
    <w:rsid w:val="00AC4F18"/>
    <w:rsid w:val="00AD0442"/>
    <w:rsid w:val="00AD0B46"/>
    <w:rsid w:val="00AD1094"/>
    <w:rsid w:val="00AD2565"/>
    <w:rsid w:val="00AD306C"/>
    <w:rsid w:val="00AD3424"/>
    <w:rsid w:val="00AD50D1"/>
    <w:rsid w:val="00AD59BB"/>
    <w:rsid w:val="00AD5D68"/>
    <w:rsid w:val="00AD6C73"/>
    <w:rsid w:val="00AD7D49"/>
    <w:rsid w:val="00AE06D0"/>
    <w:rsid w:val="00AE0C0C"/>
    <w:rsid w:val="00AE1732"/>
    <w:rsid w:val="00AE1B8A"/>
    <w:rsid w:val="00AE39DC"/>
    <w:rsid w:val="00AE3CDA"/>
    <w:rsid w:val="00AE7968"/>
    <w:rsid w:val="00AF128B"/>
    <w:rsid w:val="00AF1AEA"/>
    <w:rsid w:val="00AF2852"/>
    <w:rsid w:val="00AF28D4"/>
    <w:rsid w:val="00AF3225"/>
    <w:rsid w:val="00AF5185"/>
    <w:rsid w:val="00AF518B"/>
    <w:rsid w:val="00AF5275"/>
    <w:rsid w:val="00AF6367"/>
    <w:rsid w:val="00AF6A79"/>
    <w:rsid w:val="00AF724E"/>
    <w:rsid w:val="00AF73A9"/>
    <w:rsid w:val="00AF7E75"/>
    <w:rsid w:val="00B01436"/>
    <w:rsid w:val="00B01C2C"/>
    <w:rsid w:val="00B0231C"/>
    <w:rsid w:val="00B04119"/>
    <w:rsid w:val="00B048B5"/>
    <w:rsid w:val="00B12B11"/>
    <w:rsid w:val="00B13681"/>
    <w:rsid w:val="00B15DCD"/>
    <w:rsid w:val="00B17E71"/>
    <w:rsid w:val="00B17FDE"/>
    <w:rsid w:val="00B208FC"/>
    <w:rsid w:val="00B20C65"/>
    <w:rsid w:val="00B21913"/>
    <w:rsid w:val="00B22E17"/>
    <w:rsid w:val="00B266C5"/>
    <w:rsid w:val="00B27293"/>
    <w:rsid w:val="00B2755D"/>
    <w:rsid w:val="00B3229E"/>
    <w:rsid w:val="00B32DDB"/>
    <w:rsid w:val="00B34EC4"/>
    <w:rsid w:val="00B35174"/>
    <w:rsid w:val="00B35BEA"/>
    <w:rsid w:val="00B37915"/>
    <w:rsid w:val="00B3793D"/>
    <w:rsid w:val="00B41BE6"/>
    <w:rsid w:val="00B428A4"/>
    <w:rsid w:val="00B457E7"/>
    <w:rsid w:val="00B45D1B"/>
    <w:rsid w:val="00B46D25"/>
    <w:rsid w:val="00B47430"/>
    <w:rsid w:val="00B5023C"/>
    <w:rsid w:val="00B50F9A"/>
    <w:rsid w:val="00B51C00"/>
    <w:rsid w:val="00B52D2D"/>
    <w:rsid w:val="00B55BA8"/>
    <w:rsid w:val="00B55F15"/>
    <w:rsid w:val="00B561A6"/>
    <w:rsid w:val="00B60062"/>
    <w:rsid w:val="00B62960"/>
    <w:rsid w:val="00B63A11"/>
    <w:rsid w:val="00B63FD0"/>
    <w:rsid w:val="00B65C84"/>
    <w:rsid w:val="00B6608F"/>
    <w:rsid w:val="00B7292D"/>
    <w:rsid w:val="00B74317"/>
    <w:rsid w:val="00B76CCC"/>
    <w:rsid w:val="00B76D1E"/>
    <w:rsid w:val="00B77BC8"/>
    <w:rsid w:val="00B800EB"/>
    <w:rsid w:val="00B822D2"/>
    <w:rsid w:val="00B83D46"/>
    <w:rsid w:val="00B848B8"/>
    <w:rsid w:val="00B84A41"/>
    <w:rsid w:val="00B84D57"/>
    <w:rsid w:val="00B8504B"/>
    <w:rsid w:val="00B85689"/>
    <w:rsid w:val="00B86748"/>
    <w:rsid w:val="00B907EA"/>
    <w:rsid w:val="00B918A9"/>
    <w:rsid w:val="00B91EC9"/>
    <w:rsid w:val="00B924CA"/>
    <w:rsid w:val="00B929B8"/>
    <w:rsid w:val="00B92A4B"/>
    <w:rsid w:val="00B93384"/>
    <w:rsid w:val="00B94417"/>
    <w:rsid w:val="00B95566"/>
    <w:rsid w:val="00B95940"/>
    <w:rsid w:val="00B95EF8"/>
    <w:rsid w:val="00B95F50"/>
    <w:rsid w:val="00B96BD9"/>
    <w:rsid w:val="00BA7797"/>
    <w:rsid w:val="00BB0274"/>
    <w:rsid w:val="00BB15EA"/>
    <w:rsid w:val="00BB1A6B"/>
    <w:rsid w:val="00BB1CFD"/>
    <w:rsid w:val="00BB291C"/>
    <w:rsid w:val="00BB2C53"/>
    <w:rsid w:val="00BB32DA"/>
    <w:rsid w:val="00BB3A54"/>
    <w:rsid w:val="00BB42A2"/>
    <w:rsid w:val="00BB4D26"/>
    <w:rsid w:val="00BB4E21"/>
    <w:rsid w:val="00BB7746"/>
    <w:rsid w:val="00BC22EB"/>
    <w:rsid w:val="00BC26B3"/>
    <w:rsid w:val="00BC3BD6"/>
    <w:rsid w:val="00BC682B"/>
    <w:rsid w:val="00BC6B04"/>
    <w:rsid w:val="00BC6D27"/>
    <w:rsid w:val="00BD186B"/>
    <w:rsid w:val="00BD1EAC"/>
    <w:rsid w:val="00BD254C"/>
    <w:rsid w:val="00BD3428"/>
    <w:rsid w:val="00BD366B"/>
    <w:rsid w:val="00BD3B56"/>
    <w:rsid w:val="00BD47E8"/>
    <w:rsid w:val="00BD534C"/>
    <w:rsid w:val="00BD56BC"/>
    <w:rsid w:val="00BD5D91"/>
    <w:rsid w:val="00BD6615"/>
    <w:rsid w:val="00BD6D50"/>
    <w:rsid w:val="00BE0D79"/>
    <w:rsid w:val="00BE0DB0"/>
    <w:rsid w:val="00BE3381"/>
    <w:rsid w:val="00BE3F09"/>
    <w:rsid w:val="00BE5487"/>
    <w:rsid w:val="00BE670A"/>
    <w:rsid w:val="00BE6906"/>
    <w:rsid w:val="00BF18F4"/>
    <w:rsid w:val="00BF1A69"/>
    <w:rsid w:val="00BF3BC8"/>
    <w:rsid w:val="00BF3DF1"/>
    <w:rsid w:val="00BF4C31"/>
    <w:rsid w:val="00BF4E57"/>
    <w:rsid w:val="00BF53B8"/>
    <w:rsid w:val="00BF7CB8"/>
    <w:rsid w:val="00C00F20"/>
    <w:rsid w:val="00C01700"/>
    <w:rsid w:val="00C034E6"/>
    <w:rsid w:val="00C05715"/>
    <w:rsid w:val="00C05926"/>
    <w:rsid w:val="00C05C71"/>
    <w:rsid w:val="00C0784A"/>
    <w:rsid w:val="00C07A1C"/>
    <w:rsid w:val="00C100E3"/>
    <w:rsid w:val="00C10B28"/>
    <w:rsid w:val="00C10D62"/>
    <w:rsid w:val="00C10FAE"/>
    <w:rsid w:val="00C123B4"/>
    <w:rsid w:val="00C12A69"/>
    <w:rsid w:val="00C13737"/>
    <w:rsid w:val="00C150BE"/>
    <w:rsid w:val="00C158B0"/>
    <w:rsid w:val="00C15A0C"/>
    <w:rsid w:val="00C15DCB"/>
    <w:rsid w:val="00C1711F"/>
    <w:rsid w:val="00C17E38"/>
    <w:rsid w:val="00C2054C"/>
    <w:rsid w:val="00C20744"/>
    <w:rsid w:val="00C20C4D"/>
    <w:rsid w:val="00C21D46"/>
    <w:rsid w:val="00C21F94"/>
    <w:rsid w:val="00C222A1"/>
    <w:rsid w:val="00C23371"/>
    <w:rsid w:val="00C23CBD"/>
    <w:rsid w:val="00C23D22"/>
    <w:rsid w:val="00C2463B"/>
    <w:rsid w:val="00C24E77"/>
    <w:rsid w:val="00C2732D"/>
    <w:rsid w:val="00C273C6"/>
    <w:rsid w:val="00C27913"/>
    <w:rsid w:val="00C300C6"/>
    <w:rsid w:val="00C30828"/>
    <w:rsid w:val="00C31DD8"/>
    <w:rsid w:val="00C3271C"/>
    <w:rsid w:val="00C34FDE"/>
    <w:rsid w:val="00C35C16"/>
    <w:rsid w:val="00C40F81"/>
    <w:rsid w:val="00C41463"/>
    <w:rsid w:val="00C41A72"/>
    <w:rsid w:val="00C42D45"/>
    <w:rsid w:val="00C47694"/>
    <w:rsid w:val="00C476C5"/>
    <w:rsid w:val="00C503B0"/>
    <w:rsid w:val="00C511C2"/>
    <w:rsid w:val="00C53D82"/>
    <w:rsid w:val="00C54748"/>
    <w:rsid w:val="00C60444"/>
    <w:rsid w:val="00C60696"/>
    <w:rsid w:val="00C60EEF"/>
    <w:rsid w:val="00C6121D"/>
    <w:rsid w:val="00C615F1"/>
    <w:rsid w:val="00C61627"/>
    <w:rsid w:val="00C64E60"/>
    <w:rsid w:val="00C657A4"/>
    <w:rsid w:val="00C6736C"/>
    <w:rsid w:val="00C70925"/>
    <w:rsid w:val="00C71A1D"/>
    <w:rsid w:val="00C71EC4"/>
    <w:rsid w:val="00C723AC"/>
    <w:rsid w:val="00C72A00"/>
    <w:rsid w:val="00C735E6"/>
    <w:rsid w:val="00C7591E"/>
    <w:rsid w:val="00C75C7E"/>
    <w:rsid w:val="00C75C9B"/>
    <w:rsid w:val="00C76D8E"/>
    <w:rsid w:val="00C77833"/>
    <w:rsid w:val="00C80C9B"/>
    <w:rsid w:val="00C8335E"/>
    <w:rsid w:val="00C83C08"/>
    <w:rsid w:val="00C83F9C"/>
    <w:rsid w:val="00C84CE3"/>
    <w:rsid w:val="00C85614"/>
    <w:rsid w:val="00C86127"/>
    <w:rsid w:val="00C8708D"/>
    <w:rsid w:val="00C90CF4"/>
    <w:rsid w:val="00C91C19"/>
    <w:rsid w:val="00C929A0"/>
    <w:rsid w:val="00C93389"/>
    <w:rsid w:val="00C937DB"/>
    <w:rsid w:val="00C94371"/>
    <w:rsid w:val="00C94519"/>
    <w:rsid w:val="00C94E83"/>
    <w:rsid w:val="00CA02B2"/>
    <w:rsid w:val="00CA0883"/>
    <w:rsid w:val="00CA140F"/>
    <w:rsid w:val="00CA17CC"/>
    <w:rsid w:val="00CA25C2"/>
    <w:rsid w:val="00CA37BB"/>
    <w:rsid w:val="00CA37CA"/>
    <w:rsid w:val="00CA5724"/>
    <w:rsid w:val="00CA6508"/>
    <w:rsid w:val="00CA6BA1"/>
    <w:rsid w:val="00CA6CD5"/>
    <w:rsid w:val="00CB1910"/>
    <w:rsid w:val="00CB2150"/>
    <w:rsid w:val="00CB28EE"/>
    <w:rsid w:val="00CB29C4"/>
    <w:rsid w:val="00CB43A7"/>
    <w:rsid w:val="00CB4DF1"/>
    <w:rsid w:val="00CB5996"/>
    <w:rsid w:val="00CB6809"/>
    <w:rsid w:val="00CB7452"/>
    <w:rsid w:val="00CC0E10"/>
    <w:rsid w:val="00CC1DAF"/>
    <w:rsid w:val="00CC2642"/>
    <w:rsid w:val="00CC2A36"/>
    <w:rsid w:val="00CC2E15"/>
    <w:rsid w:val="00CC3908"/>
    <w:rsid w:val="00CC62AD"/>
    <w:rsid w:val="00CC6CA2"/>
    <w:rsid w:val="00CC7B80"/>
    <w:rsid w:val="00CD089D"/>
    <w:rsid w:val="00CD2B3C"/>
    <w:rsid w:val="00CD30F6"/>
    <w:rsid w:val="00CD4B29"/>
    <w:rsid w:val="00CD6954"/>
    <w:rsid w:val="00CD6DA3"/>
    <w:rsid w:val="00CD6EF1"/>
    <w:rsid w:val="00CD7E35"/>
    <w:rsid w:val="00CE21C7"/>
    <w:rsid w:val="00CE2682"/>
    <w:rsid w:val="00CE442A"/>
    <w:rsid w:val="00CE57D8"/>
    <w:rsid w:val="00CE617A"/>
    <w:rsid w:val="00CE7F6B"/>
    <w:rsid w:val="00CF0376"/>
    <w:rsid w:val="00CF25D2"/>
    <w:rsid w:val="00CF263E"/>
    <w:rsid w:val="00CF2816"/>
    <w:rsid w:val="00CF28C2"/>
    <w:rsid w:val="00CF42BD"/>
    <w:rsid w:val="00CF51EC"/>
    <w:rsid w:val="00CF6A9D"/>
    <w:rsid w:val="00CF6CD7"/>
    <w:rsid w:val="00CF75EC"/>
    <w:rsid w:val="00CF7A70"/>
    <w:rsid w:val="00D0037A"/>
    <w:rsid w:val="00D00A5C"/>
    <w:rsid w:val="00D00CEE"/>
    <w:rsid w:val="00D00DAF"/>
    <w:rsid w:val="00D017EC"/>
    <w:rsid w:val="00D01CDA"/>
    <w:rsid w:val="00D040DD"/>
    <w:rsid w:val="00D041F9"/>
    <w:rsid w:val="00D04E1B"/>
    <w:rsid w:val="00D0547B"/>
    <w:rsid w:val="00D076DB"/>
    <w:rsid w:val="00D1067C"/>
    <w:rsid w:val="00D10F44"/>
    <w:rsid w:val="00D136D4"/>
    <w:rsid w:val="00D13830"/>
    <w:rsid w:val="00D13ECF"/>
    <w:rsid w:val="00D142E5"/>
    <w:rsid w:val="00D148CD"/>
    <w:rsid w:val="00D14EA6"/>
    <w:rsid w:val="00D1611E"/>
    <w:rsid w:val="00D16E69"/>
    <w:rsid w:val="00D205A9"/>
    <w:rsid w:val="00D2085C"/>
    <w:rsid w:val="00D208E9"/>
    <w:rsid w:val="00D217EE"/>
    <w:rsid w:val="00D245BA"/>
    <w:rsid w:val="00D26923"/>
    <w:rsid w:val="00D27063"/>
    <w:rsid w:val="00D27856"/>
    <w:rsid w:val="00D301CA"/>
    <w:rsid w:val="00D30740"/>
    <w:rsid w:val="00D3095E"/>
    <w:rsid w:val="00D31075"/>
    <w:rsid w:val="00D31445"/>
    <w:rsid w:val="00D31932"/>
    <w:rsid w:val="00D31FD1"/>
    <w:rsid w:val="00D37689"/>
    <w:rsid w:val="00D378CC"/>
    <w:rsid w:val="00D4042C"/>
    <w:rsid w:val="00D40B9E"/>
    <w:rsid w:val="00D41281"/>
    <w:rsid w:val="00D42312"/>
    <w:rsid w:val="00D43998"/>
    <w:rsid w:val="00D44A09"/>
    <w:rsid w:val="00D451E0"/>
    <w:rsid w:val="00D4615E"/>
    <w:rsid w:val="00D47318"/>
    <w:rsid w:val="00D478E2"/>
    <w:rsid w:val="00D501C2"/>
    <w:rsid w:val="00D51577"/>
    <w:rsid w:val="00D51710"/>
    <w:rsid w:val="00D5264C"/>
    <w:rsid w:val="00D547BA"/>
    <w:rsid w:val="00D55626"/>
    <w:rsid w:val="00D556BC"/>
    <w:rsid w:val="00D5626D"/>
    <w:rsid w:val="00D600C1"/>
    <w:rsid w:val="00D60277"/>
    <w:rsid w:val="00D60336"/>
    <w:rsid w:val="00D61F88"/>
    <w:rsid w:val="00D62901"/>
    <w:rsid w:val="00D6470C"/>
    <w:rsid w:val="00D64853"/>
    <w:rsid w:val="00D64CB5"/>
    <w:rsid w:val="00D66D48"/>
    <w:rsid w:val="00D7162F"/>
    <w:rsid w:val="00D72D4B"/>
    <w:rsid w:val="00D73256"/>
    <w:rsid w:val="00D73A30"/>
    <w:rsid w:val="00D74C65"/>
    <w:rsid w:val="00D75DC2"/>
    <w:rsid w:val="00D766EF"/>
    <w:rsid w:val="00D76C03"/>
    <w:rsid w:val="00D77F8D"/>
    <w:rsid w:val="00D82462"/>
    <w:rsid w:val="00D85AC2"/>
    <w:rsid w:val="00D85F94"/>
    <w:rsid w:val="00D863D1"/>
    <w:rsid w:val="00D868CE"/>
    <w:rsid w:val="00D86DAE"/>
    <w:rsid w:val="00D871A0"/>
    <w:rsid w:val="00D90C1E"/>
    <w:rsid w:val="00D91BDF"/>
    <w:rsid w:val="00D91F2C"/>
    <w:rsid w:val="00D93F09"/>
    <w:rsid w:val="00D954C2"/>
    <w:rsid w:val="00D97BB8"/>
    <w:rsid w:val="00DA1318"/>
    <w:rsid w:val="00DA1382"/>
    <w:rsid w:val="00DA28B7"/>
    <w:rsid w:val="00DA2FE8"/>
    <w:rsid w:val="00DA4AF6"/>
    <w:rsid w:val="00DB016E"/>
    <w:rsid w:val="00DB06E9"/>
    <w:rsid w:val="00DB19BD"/>
    <w:rsid w:val="00DB378E"/>
    <w:rsid w:val="00DB3E9D"/>
    <w:rsid w:val="00DB47B9"/>
    <w:rsid w:val="00DB4FB8"/>
    <w:rsid w:val="00DB53CE"/>
    <w:rsid w:val="00DB549D"/>
    <w:rsid w:val="00DB5669"/>
    <w:rsid w:val="00DB5792"/>
    <w:rsid w:val="00DB6A88"/>
    <w:rsid w:val="00DB7BA4"/>
    <w:rsid w:val="00DB7E32"/>
    <w:rsid w:val="00DC0A15"/>
    <w:rsid w:val="00DC226A"/>
    <w:rsid w:val="00DC257F"/>
    <w:rsid w:val="00DC350B"/>
    <w:rsid w:val="00DC3790"/>
    <w:rsid w:val="00DC408A"/>
    <w:rsid w:val="00DC5B3B"/>
    <w:rsid w:val="00DC6796"/>
    <w:rsid w:val="00DC7315"/>
    <w:rsid w:val="00DC78DF"/>
    <w:rsid w:val="00DC7D4C"/>
    <w:rsid w:val="00DD0821"/>
    <w:rsid w:val="00DD0E32"/>
    <w:rsid w:val="00DD1DE0"/>
    <w:rsid w:val="00DD2347"/>
    <w:rsid w:val="00DD2872"/>
    <w:rsid w:val="00DD2BFE"/>
    <w:rsid w:val="00DD373E"/>
    <w:rsid w:val="00DD57AD"/>
    <w:rsid w:val="00DE009B"/>
    <w:rsid w:val="00DE06DA"/>
    <w:rsid w:val="00DE0C31"/>
    <w:rsid w:val="00DE2ED9"/>
    <w:rsid w:val="00DE319A"/>
    <w:rsid w:val="00DE4476"/>
    <w:rsid w:val="00DF0DC3"/>
    <w:rsid w:val="00DF0DE0"/>
    <w:rsid w:val="00DF21FD"/>
    <w:rsid w:val="00DF2873"/>
    <w:rsid w:val="00DF4C74"/>
    <w:rsid w:val="00DF5578"/>
    <w:rsid w:val="00DF78DD"/>
    <w:rsid w:val="00DF7FEC"/>
    <w:rsid w:val="00E01C0E"/>
    <w:rsid w:val="00E02086"/>
    <w:rsid w:val="00E02740"/>
    <w:rsid w:val="00E03B27"/>
    <w:rsid w:val="00E03C0D"/>
    <w:rsid w:val="00E04694"/>
    <w:rsid w:val="00E049F6"/>
    <w:rsid w:val="00E04CA9"/>
    <w:rsid w:val="00E05B2B"/>
    <w:rsid w:val="00E06A2A"/>
    <w:rsid w:val="00E07D1E"/>
    <w:rsid w:val="00E07F05"/>
    <w:rsid w:val="00E127E1"/>
    <w:rsid w:val="00E13584"/>
    <w:rsid w:val="00E13FAA"/>
    <w:rsid w:val="00E144D2"/>
    <w:rsid w:val="00E144D6"/>
    <w:rsid w:val="00E15346"/>
    <w:rsid w:val="00E15B7D"/>
    <w:rsid w:val="00E2097E"/>
    <w:rsid w:val="00E215EA"/>
    <w:rsid w:val="00E21CAB"/>
    <w:rsid w:val="00E221FC"/>
    <w:rsid w:val="00E24619"/>
    <w:rsid w:val="00E25223"/>
    <w:rsid w:val="00E30A1A"/>
    <w:rsid w:val="00E30BEA"/>
    <w:rsid w:val="00E31764"/>
    <w:rsid w:val="00E32BC2"/>
    <w:rsid w:val="00E34985"/>
    <w:rsid w:val="00E34E4A"/>
    <w:rsid w:val="00E36208"/>
    <w:rsid w:val="00E365B3"/>
    <w:rsid w:val="00E366BB"/>
    <w:rsid w:val="00E37C45"/>
    <w:rsid w:val="00E40AAA"/>
    <w:rsid w:val="00E41F3C"/>
    <w:rsid w:val="00E42444"/>
    <w:rsid w:val="00E436C0"/>
    <w:rsid w:val="00E438CF"/>
    <w:rsid w:val="00E43C41"/>
    <w:rsid w:val="00E4500E"/>
    <w:rsid w:val="00E450CE"/>
    <w:rsid w:val="00E45A00"/>
    <w:rsid w:val="00E45CE7"/>
    <w:rsid w:val="00E4631F"/>
    <w:rsid w:val="00E47CB8"/>
    <w:rsid w:val="00E522BB"/>
    <w:rsid w:val="00E539E4"/>
    <w:rsid w:val="00E569C7"/>
    <w:rsid w:val="00E56B5A"/>
    <w:rsid w:val="00E571F2"/>
    <w:rsid w:val="00E57429"/>
    <w:rsid w:val="00E602E8"/>
    <w:rsid w:val="00E61EA8"/>
    <w:rsid w:val="00E63F4B"/>
    <w:rsid w:val="00E64EA1"/>
    <w:rsid w:val="00E667B9"/>
    <w:rsid w:val="00E70510"/>
    <w:rsid w:val="00E70997"/>
    <w:rsid w:val="00E71262"/>
    <w:rsid w:val="00E71A58"/>
    <w:rsid w:val="00E737F6"/>
    <w:rsid w:val="00E74100"/>
    <w:rsid w:val="00E7568F"/>
    <w:rsid w:val="00E75D63"/>
    <w:rsid w:val="00E75FB7"/>
    <w:rsid w:val="00E7724B"/>
    <w:rsid w:val="00E8043B"/>
    <w:rsid w:val="00E8128F"/>
    <w:rsid w:val="00E84F21"/>
    <w:rsid w:val="00E8532E"/>
    <w:rsid w:val="00E85B75"/>
    <w:rsid w:val="00E8618A"/>
    <w:rsid w:val="00E90A4B"/>
    <w:rsid w:val="00E90F73"/>
    <w:rsid w:val="00E910A7"/>
    <w:rsid w:val="00E91607"/>
    <w:rsid w:val="00E921C7"/>
    <w:rsid w:val="00E92995"/>
    <w:rsid w:val="00E94612"/>
    <w:rsid w:val="00E95797"/>
    <w:rsid w:val="00E9682F"/>
    <w:rsid w:val="00E96A8D"/>
    <w:rsid w:val="00E972BA"/>
    <w:rsid w:val="00E97FA2"/>
    <w:rsid w:val="00EA06CB"/>
    <w:rsid w:val="00EA0C68"/>
    <w:rsid w:val="00EA19E2"/>
    <w:rsid w:val="00EA3EBE"/>
    <w:rsid w:val="00EA3FAC"/>
    <w:rsid w:val="00EA4153"/>
    <w:rsid w:val="00EA5307"/>
    <w:rsid w:val="00EA5CD6"/>
    <w:rsid w:val="00EA76FD"/>
    <w:rsid w:val="00EB03D4"/>
    <w:rsid w:val="00EB0555"/>
    <w:rsid w:val="00EB0562"/>
    <w:rsid w:val="00EB1E12"/>
    <w:rsid w:val="00EB20A0"/>
    <w:rsid w:val="00EB30B6"/>
    <w:rsid w:val="00EB396E"/>
    <w:rsid w:val="00EB4FA4"/>
    <w:rsid w:val="00EB5146"/>
    <w:rsid w:val="00EB522B"/>
    <w:rsid w:val="00EB55E9"/>
    <w:rsid w:val="00EB5641"/>
    <w:rsid w:val="00EB5CA9"/>
    <w:rsid w:val="00EB5ED4"/>
    <w:rsid w:val="00EB6537"/>
    <w:rsid w:val="00EB6FA2"/>
    <w:rsid w:val="00EB70E1"/>
    <w:rsid w:val="00EB7EB5"/>
    <w:rsid w:val="00EC2187"/>
    <w:rsid w:val="00EC3585"/>
    <w:rsid w:val="00EC454B"/>
    <w:rsid w:val="00EC6153"/>
    <w:rsid w:val="00EC7F92"/>
    <w:rsid w:val="00ED00A8"/>
    <w:rsid w:val="00ED06A7"/>
    <w:rsid w:val="00ED0A79"/>
    <w:rsid w:val="00ED2989"/>
    <w:rsid w:val="00ED2CA5"/>
    <w:rsid w:val="00ED336F"/>
    <w:rsid w:val="00ED40F0"/>
    <w:rsid w:val="00ED4AC0"/>
    <w:rsid w:val="00ED54D6"/>
    <w:rsid w:val="00ED5726"/>
    <w:rsid w:val="00EE0113"/>
    <w:rsid w:val="00EE0298"/>
    <w:rsid w:val="00EE0384"/>
    <w:rsid w:val="00EE04C8"/>
    <w:rsid w:val="00EE10AA"/>
    <w:rsid w:val="00EE1637"/>
    <w:rsid w:val="00EE3B7A"/>
    <w:rsid w:val="00EE3E78"/>
    <w:rsid w:val="00EE495A"/>
    <w:rsid w:val="00EE539C"/>
    <w:rsid w:val="00EE5E02"/>
    <w:rsid w:val="00EE617D"/>
    <w:rsid w:val="00EE61BF"/>
    <w:rsid w:val="00EE6748"/>
    <w:rsid w:val="00EE6C6B"/>
    <w:rsid w:val="00EF0E75"/>
    <w:rsid w:val="00EF1F5A"/>
    <w:rsid w:val="00EF4685"/>
    <w:rsid w:val="00EF5397"/>
    <w:rsid w:val="00EF68CC"/>
    <w:rsid w:val="00EF6BE3"/>
    <w:rsid w:val="00F00C24"/>
    <w:rsid w:val="00F00D0E"/>
    <w:rsid w:val="00F00D3C"/>
    <w:rsid w:val="00F01A31"/>
    <w:rsid w:val="00F04811"/>
    <w:rsid w:val="00F0488C"/>
    <w:rsid w:val="00F0496E"/>
    <w:rsid w:val="00F04D10"/>
    <w:rsid w:val="00F0625B"/>
    <w:rsid w:val="00F101FF"/>
    <w:rsid w:val="00F104DF"/>
    <w:rsid w:val="00F10A33"/>
    <w:rsid w:val="00F1186C"/>
    <w:rsid w:val="00F11E59"/>
    <w:rsid w:val="00F12DCA"/>
    <w:rsid w:val="00F14ACD"/>
    <w:rsid w:val="00F15398"/>
    <w:rsid w:val="00F15BEF"/>
    <w:rsid w:val="00F172BE"/>
    <w:rsid w:val="00F1776C"/>
    <w:rsid w:val="00F2037E"/>
    <w:rsid w:val="00F20D17"/>
    <w:rsid w:val="00F2103E"/>
    <w:rsid w:val="00F214FC"/>
    <w:rsid w:val="00F21C31"/>
    <w:rsid w:val="00F23825"/>
    <w:rsid w:val="00F23FFF"/>
    <w:rsid w:val="00F2441D"/>
    <w:rsid w:val="00F24FAA"/>
    <w:rsid w:val="00F26197"/>
    <w:rsid w:val="00F266BD"/>
    <w:rsid w:val="00F273D4"/>
    <w:rsid w:val="00F307DD"/>
    <w:rsid w:val="00F318FC"/>
    <w:rsid w:val="00F31BAA"/>
    <w:rsid w:val="00F31F76"/>
    <w:rsid w:val="00F33263"/>
    <w:rsid w:val="00F3364D"/>
    <w:rsid w:val="00F34B26"/>
    <w:rsid w:val="00F35ACD"/>
    <w:rsid w:val="00F365BF"/>
    <w:rsid w:val="00F36BF8"/>
    <w:rsid w:val="00F36FAD"/>
    <w:rsid w:val="00F375BA"/>
    <w:rsid w:val="00F37760"/>
    <w:rsid w:val="00F403D1"/>
    <w:rsid w:val="00F43921"/>
    <w:rsid w:val="00F441A1"/>
    <w:rsid w:val="00F4524F"/>
    <w:rsid w:val="00F45530"/>
    <w:rsid w:val="00F4591F"/>
    <w:rsid w:val="00F4678D"/>
    <w:rsid w:val="00F4736B"/>
    <w:rsid w:val="00F47997"/>
    <w:rsid w:val="00F47D05"/>
    <w:rsid w:val="00F50030"/>
    <w:rsid w:val="00F502F5"/>
    <w:rsid w:val="00F50B9D"/>
    <w:rsid w:val="00F51FC9"/>
    <w:rsid w:val="00F52CAE"/>
    <w:rsid w:val="00F541ED"/>
    <w:rsid w:val="00F54B31"/>
    <w:rsid w:val="00F54FD3"/>
    <w:rsid w:val="00F555CA"/>
    <w:rsid w:val="00F55605"/>
    <w:rsid w:val="00F558B5"/>
    <w:rsid w:val="00F57CD7"/>
    <w:rsid w:val="00F57DB4"/>
    <w:rsid w:val="00F62F02"/>
    <w:rsid w:val="00F63DDE"/>
    <w:rsid w:val="00F63FB7"/>
    <w:rsid w:val="00F64726"/>
    <w:rsid w:val="00F6561A"/>
    <w:rsid w:val="00F67202"/>
    <w:rsid w:val="00F70309"/>
    <w:rsid w:val="00F7078A"/>
    <w:rsid w:val="00F727D5"/>
    <w:rsid w:val="00F72F44"/>
    <w:rsid w:val="00F73A0C"/>
    <w:rsid w:val="00F759DC"/>
    <w:rsid w:val="00F75EA2"/>
    <w:rsid w:val="00F7717C"/>
    <w:rsid w:val="00F771A5"/>
    <w:rsid w:val="00F817A4"/>
    <w:rsid w:val="00F81C3A"/>
    <w:rsid w:val="00F835FC"/>
    <w:rsid w:val="00F8373A"/>
    <w:rsid w:val="00F83E21"/>
    <w:rsid w:val="00F83FA4"/>
    <w:rsid w:val="00F84E18"/>
    <w:rsid w:val="00F852E5"/>
    <w:rsid w:val="00F90C35"/>
    <w:rsid w:val="00F9310A"/>
    <w:rsid w:val="00F95117"/>
    <w:rsid w:val="00FA05D7"/>
    <w:rsid w:val="00FA1C6C"/>
    <w:rsid w:val="00FA217B"/>
    <w:rsid w:val="00FA2447"/>
    <w:rsid w:val="00FA2C2A"/>
    <w:rsid w:val="00FA309A"/>
    <w:rsid w:val="00FA6293"/>
    <w:rsid w:val="00FA7644"/>
    <w:rsid w:val="00FB0A9A"/>
    <w:rsid w:val="00FB16AD"/>
    <w:rsid w:val="00FB483B"/>
    <w:rsid w:val="00FB4E8E"/>
    <w:rsid w:val="00FB56F1"/>
    <w:rsid w:val="00FB5FD4"/>
    <w:rsid w:val="00FB67F3"/>
    <w:rsid w:val="00FC0D8A"/>
    <w:rsid w:val="00FC0E5F"/>
    <w:rsid w:val="00FC135D"/>
    <w:rsid w:val="00FC3C84"/>
    <w:rsid w:val="00FC4660"/>
    <w:rsid w:val="00FC56DE"/>
    <w:rsid w:val="00FC5A8C"/>
    <w:rsid w:val="00FC5E01"/>
    <w:rsid w:val="00FD1261"/>
    <w:rsid w:val="00FD1627"/>
    <w:rsid w:val="00FD1BBD"/>
    <w:rsid w:val="00FD473D"/>
    <w:rsid w:val="00FD61C8"/>
    <w:rsid w:val="00FD63CE"/>
    <w:rsid w:val="00FD7D49"/>
    <w:rsid w:val="00FE1251"/>
    <w:rsid w:val="00FE16E6"/>
    <w:rsid w:val="00FE2F78"/>
    <w:rsid w:val="00FE3510"/>
    <w:rsid w:val="00FE371D"/>
    <w:rsid w:val="00FE375F"/>
    <w:rsid w:val="00FE3D8B"/>
    <w:rsid w:val="00FE4FCB"/>
    <w:rsid w:val="00FE705E"/>
    <w:rsid w:val="00FE7E6E"/>
    <w:rsid w:val="00FF02EB"/>
    <w:rsid w:val="00FF28E0"/>
    <w:rsid w:val="00FF2FB4"/>
    <w:rsid w:val="00FF30B3"/>
    <w:rsid w:val="00FF3C97"/>
    <w:rsid w:val="00FF3DF3"/>
    <w:rsid w:val="00FF3F4C"/>
    <w:rsid w:val="00FF4027"/>
    <w:rsid w:val="00FF45A2"/>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Prosttext">
    <w:name w:val="Plain Text"/>
    <w:basedOn w:val="Normln"/>
    <w:link w:val="ProsttextChar"/>
    <w:uiPriority w:val="99"/>
    <w:semiHidden/>
    <w:unhideWhenUsed/>
    <w:locked/>
    <w:rsid w:val="001E6EB9"/>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1E6EB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Prosttext">
    <w:name w:val="Plain Text"/>
    <w:basedOn w:val="Normln"/>
    <w:link w:val="ProsttextChar"/>
    <w:uiPriority w:val="99"/>
    <w:semiHidden/>
    <w:unhideWhenUsed/>
    <w:locked/>
    <w:rsid w:val="001E6EB9"/>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1E6EB9"/>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29186744">
      <w:bodyDiv w:val="1"/>
      <w:marLeft w:val="0"/>
      <w:marRight w:val="0"/>
      <w:marTop w:val="0"/>
      <w:marBottom w:val="0"/>
      <w:divBdr>
        <w:top w:val="none" w:sz="0" w:space="0" w:color="auto"/>
        <w:left w:val="none" w:sz="0" w:space="0" w:color="auto"/>
        <w:bottom w:val="none" w:sz="0" w:space="0" w:color="auto"/>
        <w:right w:val="none" w:sz="0" w:space="0" w:color="auto"/>
      </w:divBdr>
    </w:div>
    <w:div w:id="34819328">
      <w:bodyDiv w:val="1"/>
      <w:marLeft w:val="0"/>
      <w:marRight w:val="0"/>
      <w:marTop w:val="0"/>
      <w:marBottom w:val="0"/>
      <w:divBdr>
        <w:top w:val="none" w:sz="0" w:space="0" w:color="auto"/>
        <w:left w:val="none" w:sz="0" w:space="0" w:color="auto"/>
        <w:bottom w:val="none" w:sz="0" w:space="0" w:color="auto"/>
        <w:right w:val="none" w:sz="0" w:space="0" w:color="auto"/>
      </w:divBdr>
    </w:div>
    <w:div w:id="50665514">
      <w:bodyDiv w:val="1"/>
      <w:marLeft w:val="0"/>
      <w:marRight w:val="0"/>
      <w:marTop w:val="0"/>
      <w:marBottom w:val="0"/>
      <w:divBdr>
        <w:top w:val="none" w:sz="0" w:space="0" w:color="auto"/>
        <w:left w:val="none" w:sz="0" w:space="0" w:color="auto"/>
        <w:bottom w:val="none" w:sz="0" w:space="0" w:color="auto"/>
        <w:right w:val="none" w:sz="0" w:space="0" w:color="auto"/>
      </w:divBdr>
    </w:div>
    <w:div w:id="129980672">
      <w:bodyDiv w:val="1"/>
      <w:marLeft w:val="0"/>
      <w:marRight w:val="0"/>
      <w:marTop w:val="0"/>
      <w:marBottom w:val="0"/>
      <w:divBdr>
        <w:top w:val="none" w:sz="0" w:space="0" w:color="auto"/>
        <w:left w:val="none" w:sz="0" w:space="0" w:color="auto"/>
        <w:bottom w:val="none" w:sz="0" w:space="0" w:color="auto"/>
        <w:right w:val="none" w:sz="0" w:space="0" w:color="auto"/>
      </w:divBdr>
    </w:div>
    <w:div w:id="150365725">
      <w:bodyDiv w:val="1"/>
      <w:marLeft w:val="0"/>
      <w:marRight w:val="0"/>
      <w:marTop w:val="0"/>
      <w:marBottom w:val="0"/>
      <w:divBdr>
        <w:top w:val="none" w:sz="0" w:space="0" w:color="auto"/>
        <w:left w:val="none" w:sz="0" w:space="0" w:color="auto"/>
        <w:bottom w:val="none" w:sz="0" w:space="0" w:color="auto"/>
        <w:right w:val="none" w:sz="0" w:space="0" w:color="auto"/>
      </w:divBdr>
    </w:div>
    <w:div w:id="167601131">
      <w:bodyDiv w:val="1"/>
      <w:marLeft w:val="0"/>
      <w:marRight w:val="0"/>
      <w:marTop w:val="0"/>
      <w:marBottom w:val="0"/>
      <w:divBdr>
        <w:top w:val="none" w:sz="0" w:space="0" w:color="auto"/>
        <w:left w:val="none" w:sz="0" w:space="0" w:color="auto"/>
        <w:bottom w:val="none" w:sz="0" w:space="0" w:color="auto"/>
        <w:right w:val="none" w:sz="0" w:space="0" w:color="auto"/>
      </w:divBdr>
    </w:div>
    <w:div w:id="196160471">
      <w:bodyDiv w:val="1"/>
      <w:marLeft w:val="0"/>
      <w:marRight w:val="0"/>
      <w:marTop w:val="0"/>
      <w:marBottom w:val="0"/>
      <w:divBdr>
        <w:top w:val="none" w:sz="0" w:space="0" w:color="auto"/>
        <w:left w:val="none" w:sz="0" w:space="0" w:color="auto"/>
        <w:bottom w:val="none" w:sz="0" w:space="0" w:color="auto"/>
        <w:right w:val="none" w:sz="0" w:space="0" w:color="auto"/>
      </w:divBdr>
    </w:div>
    <w:div w:id="231963246">
      <w:bodyDiv w:val="1"/>
      <w:marLeft w:val="0"/>
      <w:marRight w:val="0"/>
      <w:marTop w:val="0"/>
      <w:marBottom w:val="0"/>
      <w:divBdr>
        <w:top w:val="none" w:sz="0" w:space="0" w:color="auto"/>
        <w:left w:val="none" w:sz="0" w:space="0" w:color="auto"/>
        <w:bottom w:val="none" w:sz="0" w:space="0" w:color="auto"/>
        <w:right w:val="none" w:sz="0" w:space="0" w:color="auto"/>
      </w:divBdr>
    </w:div>
    <w:div w:id="348682053">
      <w:bodyDiv w:val="1"/>
      <w:marLeft w:val="0"/>
      <w:marRight w:val="0"/>
      <w:marTop w:val="0"/>
      <w:marBottom w:val="0"/>
      <w:divBdr>
        <w:top w:val="none" w:sz="0" w:space="0" w:color="auto"/>
        <w:left w:val="none" w:sz="0" w:space="0" w:color="auto"/>
        <w:bottom w:val="none" w:sz="0" w:space="0" w:color="auto"/>
        <w:right w:val="none" w:sz="0" w:space="0" w:color="auto"/>
      </w:divBdr>
    </w:div>
    <w:div w:id="404836916">
      <w:bodyDiv w:val="1"/>
      <w:marLeft w:val="0"/>
      <w:marRight w:val="0"/>
      <w:marTop w:val="0"/>
      <w:marBottom w:val="0"/>
      <w:divBdr>
        <w:top w:val="none" w:sz="0" w:space="0" w:color="auto"/>
        <w:left w:val="none" w:sz="0" w:space="0" w:color="auto"/>
        <w:bottom w:val="none" w:sz="0" w:space="0" w:color="auto"/>
        <w:right w:val="none" w:sz="0" w:space="0" w:color="auto"/>
      </w:divBdr>
    </w:div>
    <w:div w:id="435830190">
      <w:bodyDiv w:val="1"/>
      <w:marLeft w:val="0"/>
      <w:marRight w:val="0"/>
      <w:marTop w:val="0"/>
      <w:marBottom w:val="0"/>
      <w:divBdr>
        <w:top w:val="none" w:sz="0" w:space="0" w:color="auto"/>
        <w:left w:val="none" w:sz="0" w:space="0" w:color="auto"/>
        <w:bottom w:val="none" w:sz="0" w:space="0" w:color="auto"/>
        <w:right w:val="none" w:sz="0" w:space="0" w:color="auto"/>
      </w:divBdr>
    </w:div>
    <w:div w:id="465440216">
      <w:bodyDiv w:val="1"/>
      <w:marLeft w:val="0"/>
      <w:marRight w:val="0"/>
      <w:marTop w:val="0"/>
      <w:marBottom w:val="0"/>
      <w:divBdr>
        <w:top w:val="none" w:sz="0" w:space="0" w:color="auto"/>
        <w:left w:val="none" w:sz="0" w:space="0" w:color="auto"/>
        <w:bottom w:val="none" w:sz="0" w:space="0" w:color="auto"/>
        <w:right w:val="none" w:sz="0" w:space="0" w:color="auto"/>
      </w:divBdr>
    </w:div>
    <w:div w:id="474110357">
      <w:bodyDiv w:val="1"/>
      <w:marLeft w:val="0"/>
      <w:marRight w:val="0"/>
      <w:marTop w:val="0"/>
      <w:marBottom w:val="0"/>
      <w:divBdr>
        <w:top w:val="none" w:sz="0" w:space="0" w:color="auto"/>
        <w:left w:val="none" w:sz="0" w:space="0" w:color="auto"/>
        <w:bottom w:val="none" w:sz="0" w:space="0" w:color="auto"/>
        <w:right w:val="none" w:sz="0" w:space="0" w:color="auto"/>
      </w:divBdr>
    </w:div>
    <w:div w:id="497233491">
      <w:bodyDiv w:val="1"/>
      <w:marLeft w:val="0"/>
      <w:marRight w:val="0"/>
      <w:marTop w:val="0"/>
      <w:marBottom w:val="0"/>
      <w:divBdr>
        <w:top w:val="none" w:sz="0" w:space="0" w:color="auto"/>
        <w:left w:val="none" w:sz="0" w:space="0" w:color="auto"/>
        <w:bottom w:val="none" w:sz="0" w:space="0" w:color="auto"/>
        <w:right w:val="none" w:sz="0" w:space="0" w:color="auto"/>
      </w:divBdr>
    </w:div>
    <w:div w:id="502234822">
      <w:bodyDiv w:val="1"/>
      <w:marLeft w:val="0"/>
      <w:marRight w:val="0"/>
      <w:marTop w:val="0"/>
      <w:marBottom w:val="0"/>
      <w:divBdr>
        <w:top w:val="none" w:sz="0" w:space="0" w:color="auto"/>
        <w:left w:val="none" w:sz="0" w:space="0" w:color="auto"/>
        <w:bottom w:val="none" w:sz="0" w:space="0" w:color="auto"/>
        <w:right w:val="none" w:sz="0" w:space="0" w:color="auto"/>
      </w:divBdr>
    </w:div>
    <w:div w:id="528370466">
      <w:bodyDiv w:val="1"/>
      <w:marLeft w:val="0"/>
      <w:marRight w:val="0"/>
      <w:marTop w:val="0"/>
      <w:marBottom w:val="0"/>
      <w:divBdr>
        <w:top w:val="none" w:sz="0" w:space="0" w:color="auto"/>
        <w:left w:val="none" w:sz="0" w:space="0" w:color="auto"/>
        <w:bottom w:val="none" w:sz="0" w:space="0" w:color="auto"/>
        <w:right w:val="none" w:sz="0" w:space="0" w:color="auto"/>
      </w:divBdr>
    </w:div>
    <w:div w:id="541598979">
      <w:bodyDiv w:val="1"/>
      <w:marLeft w:val="0"/>
      <w:marRight w:val="0"/>
      <w:marTop w:val="0"/>
      <w:marBottom w:val="0"/>
      <w:divBdr>
        <w:top w:val="none" w:sz="0" w:space="0" w:color="auto"/>
        <w:left w:val="none" w:sz="0" w:space="0" w:color="auto"/>
        <w:bottom w:val="none" w:sz="0" w:space="0" w:color="auto"/>
        <w:right w:val="none" w:sz="0" w:space="0" w:color="auto"/>
      </w:divBdr>
    </w:div>
    <w:div w:id="556625086">
      <w:bodyDiv w:val="1"/>
      <w:marLeft w:val="0"/>
      <w:marRight w:val="0"/>
      <w:marTop w:val="0"/>
      <w:marBottom w:val="0"/>
      <w:divBdr>
        <w:top w:val="none" w:sz="0" w:space="0" w:color="auto"/>
        <w:left w:val="none" w:sz="0" w:space="0" w:color="auto"/>
        <w:bottom w:val="none" w:sz="0" w:space="0" w:color="auto"/>
        <w:right w:val="none" w:sz="0" w:space="0" w:color="auto"/>
      </w:divBdr>
    </w:div>
    <w:div w:id="568198273">
      <w:bodyDiv w:val="1"/>
      <w:marLeft w:val="0"/>
      <w:marRight w:val="0"/>
      <w:marTop w:val="0"/>
      <w:marBottom w:val="0"/>
      <w:divBdr>
        <w:top w:val="none" w:sz="0" w:space="0" w:color="auto"/>
        <w:left w:val="none" w:sz="0" w:space="0" w:color="auto"/>
        <w:bottom w:val="none" w:sz="0" w:space="0" w:color="auto"/>
        <w:right w:val="none" w:sz="0" w:space="0" w:color="auto"/>
      </w:divBdr>
    </w:div>
    <w:div w:id="586771128">
      <w:bodyDiv w:val="1"/>
      <w:marLeft w:val="0"/>
      <w:marRight w:val="0"/>
      <w:marTop w:val="0"/>
      <w:marBottom w:val="0"/>
      <w:divBdr>
        <w:top w:val="none" w:sz="0" w:space="0" w:color="auto"/>
        <w:left w:val="none" w:sz="0" w:space="0" w:color="auto"/>
        <w:bottom w:val="none" w:sz="0" w:space="0" w:color="auto"/>
        <w:right w:val="none" w:sz="0" w:space="0" w:color="auto"/>
      </w:divBdr>
    </w:div>
    <w:div w:id="588316833">
      <w:bodyDiv w:val="1"/>
      <w:marLeft w:val="0"/>
      <w:marRight w:val="0"/>
      <w:marTop w:val="0"/>
      <w:marBottom w:val="0"/>
      <w:divBdr>
        <w:top w:val="none" w:sz="0" w:space="0" w:color="auto"/>
        <w:left w:val="none" w:sz="0" w:space="0" w:color="auto"/>
        <w:bottom w:val="none" w:sz="0" w:space="0" w:color="auto"/>
        <w:right w:val="none" w:sz="0" w:space="0" w:color="auto"/>
      </w:divBdr>
    </w:div>
    <w:div w:id="623196708">
      <w:bodyDiv w:val="1"/>
      <w:marLeft w:val="0"/>
      <w:marRight w:val="0"/>
      <w:marTop w:val="0"/>
      <w:marBottom w:val="0"/>
      <w:divBdr>
        <w:top w:val="none" w:sz="0" w:space="0" w:color="auto"/>
        <w:left w:val="none" w:sz="0" w:space="0" w:color="auto"/>
        <w:bottom w:val="none" w:sz="0" w:space="0" w:color="auto"/>
        <w:right w:val="none" w:sz="0" w:space="0" w:color="auto"/>
      </w:divBdr>
    </w:div>
    <w:div w:id="631058813">
      <w:bodyDiv w:val="1"/>
      <w:marLeft w:val="0"/>
      <w:marRight w:val="0"/>
      <w:marTop w:val="0"/>
      <w:marBottom w:val="0"/>
      <w:divBdr>
        <w:top w:val="none" w:sz="0" w:space="0" w:color="auto"/>
        <w:left w:val="none" w:sz="0" w:space="0" w:color="auto"/>
        <w:bottom w:val="none" w:sz="0" w:space="0" w:color="auto"/>
        <w:right w:val="none" w:sz="0" w:space="0" w:color="auto"/>
      </w:divBdr>
    </w:div>
    <w:div w:id="704446898">
      <w:bodyDiv w:val="1"/>
      <w:marLeft w:val="0"/>
      <w:marRight w:val="0"/>
      <w:marTop w:val="0"/>
      <w:marBottom w:val="0"/>
      <w:divBdr>
        <w:top w:val="none" w:sz="0" w:space="0" w:color="auto"/>
        <w:left w:val="none" w:sz="0" w:space="0" w:color="auto"/>
        <w:bottom w:val="none" w:sz="0" w:space="0" w:color="auto"/>
        <w:right w:val="none" w:sz="0" w:space="0" w:color="auto"/>
      </w:divBdr>
    </w:div>
    <w:div w:id="708727306">
      <w:bodyDiv w:val="1"/>
      <w:marLeft w:val="0"/>
      <w:marRight w:val="0"/>
      <w:marTop w:val="0"/>
      <w:marBottom w:val="0"/>
      <w:divBdr>
        <w:top w:val="none" w:sz="0" w:space="0" w:color="auto"/>
        <w:left w:val="none" w:sz="0" w:space="0" w:color="auto"/>
        <w:bottom w:val="none" w:sz="0" w:space="0" w:color="auto"/>
        <w:right w:val="none" w:sz="0" w:space="0" w:color="auto"/>
      </w:divBdr>
    </w:div>
    <w:div w:id="717126479">
      <w:bodyDiv w:val="1"/>
      <w:marLeft w:val="0"/>
      <w:marRight w:val="0"/>
      <w:marTop w:val="0"/>
      <w:marBottom w:val="0"/>
      <w:divBdr>
        <w:top w:val="none" w:sz="0" w:space="0" w:color="auto"/>
        <w:left w:val="none" w:sz="0" w:space="0" w:color="auto"/>
        <w:bottom w:val="none" w:sz="0" w:space="0" w:color="auto"/>
        <w:right w:val="none" w:sz="0" w:space="0" w:color="auto"/>
      </w:divBdr>
    </w:div>
    <w:div w:id="718627241">
      <w:bodyDiv w:val="1"/>
      <w:marLeft w:val="0"/>
      <w:marRight w:val="0"/>
      <w:marTop w:val="0"/>
      <w:marBottom w:val="0"/>
      <w:divBdr>
        <w:top w:val="none" w:sz="0" w:space="0" w:color="auto"/>
        <w:left w:val="none" w:sz="0" w:space="0" w:color="auto"/>
        <w:bottom w:val="none" w:sz="0" w:space="0" w:color="auto"/>
        <w:right w:val="none" w:sz="0" w:space="0" w:color="auto"/>
      </w:divBdr>
    </w:div>
    <w:div w:id="762183815">
      <w:bodyDiv w:val="1"/>
      <w:marLeft w:val="0"/>
      <w:marRight w:val="0"/>
      <w:marTop w:val="0"/>
      <w:marBottom w:val="0"/>
      <w:divBdr>
        <w:top w:val="none" w:sz="0" w:space="0" w:color="auto"/>
        <w:left w:val="none" w:sz="0" w:space="0" w:color="auto"/>
        <w:bottom w:val="none" w:sz="0" w:space="0" w:color="auto"/>
        <w:right w:val="none" w:sz="0" w:space="0" w:color="auto"/>
      </w:divBdr>
    </w:div>
    <w:div w:id="783422102">
      <w:bodyDiv w:val="1"/>
      <w:marLeft w:val="0"/>
      <w:marRight w:val="0"/>
      <w:marTop w:val="0"/>
      <w:marBottom w:val="0"/>
      <w:divBdr>
        <w:top w:val="none" w:sz="0" w:space="0" w:color="auto"/>
        <w:left w:val="none" w:sz="0" w:space="0" w:color="auto"/>
        <w:bottom w:val="none" w:sz="0" w:space="0" w:color="auto"/>
        <w:right w:val="none" w:sz="0" w:space="0" w:color="auto"/>
      </w:divBdr>
    </w:div>
    <w:div w:id="791675927">
      <w:bodyDiv w:val="1"/>
      <w:marLeft w:val="0"/>
      <w:marRight w:val="0"/>
      <w:marTop w:val="0"/>
      <w:marBottom w:val="0"/>
      <w:divBdr>
        <w:top w:val="none" w:sz="0" w:space="0" w:color="auto"/>
        <w:left w:val="none" w:sz="0" w:space="0" w:color="auto"/>
        <w:bottom w:val="none" w:sz="0" w:space="0" w:color="auto"/>
        <w:right w:val="none" w:sz="0" w:space="0" w:color="auto"/>
      </w:divBdr>
    </w:div>
    <w:div w:id="801457157">
      <w:bodyDiv w:val="1"/>
      <w:marLeft w:val="0"/>
      <w:marRight w:val="0"/>
      <w:marTop w:val="0"/>
      <w:marBottom w:val="0"/>
      <w:divBdr>
        <w:top w:val="none" w:sz="0" w:space="0" w:color="auto"/>
        <w:left w:val="none" w:sz="0" w:space="0" w:color="auto"/>
        <w:bottom w:val="none" w:sz="0" w:space="0" w:color="auto"/>
        <w:right w:val="none" w:sz="0" w:space="0" w:color="auto"/>
      </w:divBdr>
    </w:div>
    <w:div w:id="812211366">
      <w:bodyDiv w:val="1"/>
      <w:marLeft w:val="0"/>
      <w:marRight w:val="0"/>
      <w:marTop w:val="0"/>
      <w:marBottom w:val="0"/>
      <w:divBdr>
        <w:top w:val="none" w:sz="0" w:space="0" w:color="auto"/>
        <w:left w:val="none" w:sz="0" w:space="0" w:color="auto"/>
        <w:bottom w:val="none" w:sz="0" w:space="0" w:color="auto"/>
        <w:right w:val="none" w:sz="0" w:space="0" w:color="auto"/>
      </w:divBdr>
    </w:div>
    <w:div w:id="829298221">
      <w:bodyDiv w:val="1"/>
      <w:marLeft w:val="0"/>
      <w:marRight w:val="0"/>
      <w:marTop w:val="0"/>
      <w:marBottom w:val="0"/>
      <w:divBdr>
        <w:top w:val="none" w:sz="0" w:space="0" w:color="auto"/>
        <w:left w:val="none" w:sz="0" w:space="0" w:color="auto"/>
        <w:bottom w:val="none" w:sz="0" w:space="0" w:color="auto"/>
        <w:right w:val="none" w:sz="0" w:space="0" w:color="auto"/>
      </w:divBdr>
    </w:div>
    <w:div w:id="835077351">
      <w:bodyDiv w:val="1"/>
      <w:marLeft w:val="0"/>
      <w:marRight w:val="0"/>
      <w:marTop w:val="0"/>
      <w:marBottom w:val="0"/>
      <w:divBdr>
        <w:top w:val="none" w:sz="0" w:space="0" w:color="auto"/>
        <w:left w:val="none" w:sz="0" w:space="0" w:color="auto"/>
        <w:bottom w:val="none" w:sz="0" w:space="0" w:color="auto"/>
        <w:right w:val="none" w:sz="0" w:space="0" w:color="auto"/>
      </w:divBdr>
    </w:div>
    <w:div w:id="863638094">
      <w:bodyDiv w:val="1"/>
      <w:marLeft w:val="0"/>
      <w:marRight w:val="0"/>
      <w:marTop w:val="0"/>
      <w:marBottom w:val="0"/>
      <w:divBdr>
        <w:top w:val="none" w:sz="0" w:space="0" w:color="auto"/>
        <w:left w:val="none" w:sz="0" w:space="0" w:color="auto"/>
        <w:bottom w:val="none" w:sz="0" w:space="0" w:color="auto"/>
        <w:right w:val="none" w:sz="0" w:space="0" w:color="auto"/>
      </w:divBdr>
    </w:div>
    <w:div w:id="866677845">
      <w:bodyDiv w:val="1"/>
      <w:marLeft w:val="0"/>
      <w:marRight w:val="0"/>
      <w:marTop w:val="0"/>
      <w:marBottom w:val="0"/>
      <w:divBdr>
        <w:top w:val="none" w:sz="0" w:space="0" w:color="auto"/>
        <w:left w:val="none" w:sz="0" w:space="0" w:color="auto"/>
        <w:bottom w:val="none" w:sz="0" w:space="0" w:color="auto"/>
        <w:right w:val="none" w:sz="0" w:space="0" w:color="auto"/>
      </w:divBdr>
    </w:div>
    <w:div w:id="876117020">
      <w:bodyDiv w:val="1"/>
      <w:marLeft w:val="0"/>
      <w:marRight w:val="0"/>
      <w:marTop w:val="0"/>
      <w:marBottom w:val="0"/>
      <w:divBdr>
        <w:top w:val="none" w:sz="0" w:space="0" w:color="auto"/>
        <w:left w:val="none" w:sz="0" w:space="0" w:color="auto"/>
        <w:bottom w:val="none" w:sz="0" w:space="0" w:color="auto"/>
        <w:right w:val="none" w:sz="0" w:space="0" w:color="auto"/>
      </w:divBdr>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960301085">
      <w:bodyDiv w:val="1"/>
      <w:marLeft w:val="0"/>
      <w:marRight w:val="0"/>
      <w:marTop w:val="0"/>
      <w:marBottom w:val="0"/>
      <w:divBdr>
        <w:top w:val="none" w:sz="0" w:space="0" w:color="auto"/>
        <w:left w:val="none" w:sz="0" w:space="0" w:color="auto"/>
        <w:bottom w:val="none" w:sz="0" w:space="0" w:color="auto"/>
        <w:right w:val="none" w:sz="0" w:space="0" w:color="auto"/>
      </w:divBdr>
    </w:div>
    <w:div w:id="971137082">
      <w:bodyDiv w:val="1"/>
      <w:marLeft w:val="0"/>
      <w:marRight w:val="0"/>
      <w:marTop w:val="0"/>
      <w:marBottom w:val="0"/>
      <w:divBdr>
        <w:top w:val="none" w:sz="0" w:space="0" w:color="auto"/>
        <w:left w:val="none" w:sz="0" w:space="0" w:color="auto"/>
        <w:bottom w:val="none" w:sz="0" w:space="0" w:color="auto"/>
        <w:right w:val="none" w:sz="0" w:space="0" w:color="auto"/>
      </w:divBdr>
    </w:div>
    <w:div w:id="1017540873">
      <w:bodyDiv w:val="1"/>
      <w:marLeft w:val="0"/>
      <w:marRight w:val="0"/>
      <w:marTop w:val="0"/>
      <w:marBottom w:val="0"/>
      <w:divBdr>
        <w:top w:val="none" w:sz="0" w:space="0" w:color="auto"/>
        <w:left w:val="none" w:sz="0" w:space="0" w:color="auto"/>
        <w:bottom w:val="none" w:sz="0" w:space="0" w:color="auto"/>
        <w:right w:val="none" w:sz="0" w:space="0" w:color="auto"/>
      </w:divBdr>
    </w:div>
    <w:div w:id="1023554453">
      <w:bodyDiv w:val="1"/>
      <w:marLeft w:val="0"/>
      <w:marRight w:val="0"/>
      <w:marTop w:val="0"/>
      <w:marBottom w:val="0"/>
      <w:divBdr>
        <w:top w:val="none" w:sz="0" w:space="0" w:color="auto"/>
        <w:left w:val="none" w:sz="0" w:space="0" w:color="auto"/>
        <w:bottom w:val="none" w:sz="0" w:space="0" w:color="auto"/>
        <w:right w:val="none" w:sz="0" w:space="0" w:color="auto"/>
      </w:divBdr>
    </w:div>
    <w:div w:id="1026559302">
      <w:bodyDiv w:val="1"/>
      <w:marLeft w:val="0"/>
      <w:marRight w:val="0"/>
      <w:marTop w:val="0"/>
      <w:marBottom w:val="0"/>
      <w:divBdr>
        <w:top w:val="none" w:sz="0" w:space="0" w:color="auto"/>
        <w:left w:val="none" w:sz="0" w:space="0" w:color="auto"/>
        <w:bottom w:val="none" w:sz="0" w:space="0" w:color="auto"/>
        <w:right w:val="none" w:sz="0" w:space="0" w:color="auto"/>
      </w:divBdr>
    </w:div>
    <w:div w:id="1053238174">
      <w:bodyDiv w:val="1"/>
      <w:marLeft w:val="0"/>
      <w:marRight w:val="0"/>
      <w:marTop w:val="0"/>
      <w:marBottom w:val="0"/>
      <w:divBdr>
        <w:top w:val="none" w:sz="0" w:space="0" w:color="auto"/>
        <w:left w:val="none" w:sz="0" w:space="0" w:color="auto"/>
        <w:bottom w:val="none" w:sz="0" w:space="0" w:color="auto"/>
        <w:right w:val="none" w:sz="0" w:space="0" w:color="auto"/>
      </w:divBdr>
    </w:div>
    <w:div w:id="1056398280">
      <w:bodyDiv w:val="1"/>
      <w:marLeft w:val="0"/>
      <w:marRight w:val="0"/>
      <w:marTop w:val="0"/>
      <w:marBottom w:val="0"/>
      <w:divBdr>
        <w:top w:val="none" w:sz="0" w:space="0" w:color="auto"/>
        <w:left w:val="none" w:sz="0" w:space="0" w:color="auto"/>
        <w:bottom w:val="none" w:sz="0" w:space="0" w:color="auto"/>
        <w:right w:val="none" w:sz="0" w:space="0" w:color="auto"/>
      </w:divBdr>
    </w:div>
    <w:div w:id="1084188567">
      <w:bodyDiv w:val="1"/>
      <w:marLeft w:val="0"/>
      <w:marRight w:val="0"/>
      <w:marTop w:val="0"/>
      <w:marBottom w:val="0"/>
      <w:divBdr>
        <w:top w:val="none" w:sz="0" w:space="0" w:color="auto"/>
        <w:left w:val="none" w:sz="0" w:space="0" w:color="auto"/>
        <w:bottom w:val="none" w:sz="0" w:space="0" w:color="auto"/>
        <w:right w:val="none" w:sz="0" w:space="0" w:color="auto"/>
      </w:divBdr>
    </w:div>
    <w:div w:id="1105689015">
      <w:bodyDiv w:val="1"/>
      <w:marLeft w:val="0"/>
      <w:marRight w:val="0"/>
      <w:marTop w:val="0"/>
      <w:marBottom w:val="0"/>
      <w:divBdr>
        <w:top w:val="none" w:sz="0" w:space="0" w:color="auto"/>
        <w:left w:val="none" w:sz="0" w:space="0" w:color="auto"/>
        <w:bottom w:val="none" w:sz="0" w:space="0" w:color="auto"/>
        <w:right w:val="none" w:sz="0" w:space="0" w:color="auto"/>
      </w:divBdr>
    </w:div>
    <w:div w:id="1135217867">
      <w:bodyDiv w:val="1"/>
      <w:marLeft w:val="0"/>
      <w:marRight w:val="0"/>
      <w:marTop w:val="0"/>
      <w:marBottom w:val="0"/>
      <w:divBdr>
        <w:top w:val="none" w:sz="0" w:space="0" w:color="auto"/>
        <w:left w:val="none" w:sz="0" w:space="0" w:color="auto"/>
        <w:bottom w:val="none" w:sz="0" w:space="0" w:color="auto"/>
        <w:right w:val="none" w:sz="0" w:space="0" w:color="auto"/>
      </w:divBdr>
    </w:div>
    <w:div w:id="1211721329">
      <w:bodyDiv w:val="1"/>
      <w:marLeft w:val="0"/>
      <w:marRight w:val="0"/>
      <w:marTop w:val="0"/>
      <w:marBottom w:val="0"/>
      <w:divBdr>
        <w:top w:val="none" w:sz="0" w:space="0" w:color="auto"/>
        <w:left w:val="none" w:sz="0" w:space="0" w:color="auto"/>
        <w:bottom w:val="none" w:sz="0" w:space="0" w:color="auto"/>
        <w:right w:val="none" w:sz="0" w:space="0" w:color="auto"/>
      </w:divBdr>
    </w:div>
    <w:div w:id="1217620375">
      <w:bodyDiv w:val="1"/>
      <w:marLeft w:val="0"/>
      <w:marRight w:val="0"/>
      <w:marTop w:val="0"/>
      <w:marBottom w:val="0"/>
      <w:divBdr>
        <w:top w:val="none" w:sz="0" w:space="0" w:color="auto"/>
        <w:left w:val="none" w:sz="0" w:space="0" w:color="auto"/>
        <w:bottom w:val="none" w:sz="0" w:space="0" w:color="auto"/>
        <w:right w:val="none" w:sz="0" w:space="0" w:color="auto"/>
      </w:divBdr>
    </w:div>
    <w:div w:id="1237518071">
      <w:bodyDiv w:val="1"/>
      <w:marLeft w:val="0"/>
      <w:marRight w:val="0"/>
      <w:marTop w:val="0"/>
      <w:marBottom w:val="0"/>
      <w:divBdr>
        <w:top w:val="none" w:sz="0" w:space="0" w:color="auto"/>
        <w:left w:val="none" w:sz="0" w:space="0" w:color="auto"/>
        <w:bottom w:val="none" w:sz="0" w:space="0" w:color="auto"/>
        <w:right w:val="none" w:sz="0" w:space="0" w:color="auto"/>
      </w:divBdr>
    </w:div>
    <w:div w:id="1264261019">
      <w:bodyDiv w:val="1"/>
      <w:marLeft w:val="0"/>
      <w:marRight w:val="0"/>
      <w:marTop w:val="0"/>
      <w:marBottom w:val="0"/>
      <w:divBdr>
        <w:top w:val="none" w:sz="0" w:space="0" w:color="auto"/>
        <w:left w:val="none" w:sz="0" w:space="0" w:color="auto"/>
        <w:bottom w:val="none" w:sz="0" w:space="0" w:color="auto"/>
        <w:right w:val="none" w:sz="0" w:space="0" w:color="auto"/>
      </w:divBdr>
    </w:div>
    <w:div w:id="1275138249">
      <w:bodyDiv w:val="1"/>
      <w:marLeft w:val="0"/>
      <w:marRight w:val="0"/>
      <w:marTop w:val="0"/>
      <w:marBottom w:val="0"/>
      <w:divBdr>
        <w:top w:val="none" w:sz="0" w:space="0" w:color="auto"/>
        <w:left w:val="none" w:sz="0" w:space="0" w:color="auto"/>
        <w:bottom w:val="none" w:sz="0" w:space="0" w:color="auto"/>
        <w:right w:val="none" w:sz="0" w:space="0" w:color="auto"/>
      </w:divBdr>
    </w:div>
    <w:div w:id="1305240326">
      <w:bodyDiv w:val="1"/>
      <w:marLeft w:val="0"/>
      <w:marRight w:val="0"/>
      <w:marTop w:val="0"/>
      <w:marBottom w:val="0"/>
      <w:divBdr>
        <w:top w:val="none" w:sz="0" w:space="0" w:color="auto"/>
        <w:left w:val="none" w:sz="0" w:space="0" w:color="auto"/>
        <w:bottom w:val="none" w:sz="0" w:space="0" w:color="auto"/>
        <w:right w:val="none" w:sz="0" w:space="0" w:color="auto"/>
      </w:divBdr>
    </w:div>
    <w:div w:id="1383286900">
      <w:bodyDiv w:val="1"/>
      <w:marLeft w:val="0"/>
      <w:marRight w:val="0"/>
      <w:marTop w:val="0"/>
      <w:marBottom w:val="0"/>
      <w:divBdr>
        <w:top w:val="none" w:sz="0" w:space="0" w:color="auto"/>
        <w:left w:val="none" w:sz="0" w:space="0" w:color="auto"/>
        <w:bottom w:val="none" w:sz="0" w:space="0" w:color="auto"/>
        <w:right w:val="none" w:sz="0" w:space="0" w:color="auto"/>
      </w:divBdr>
    </w:div>
    <w:div w:id="1386828185">
      <w:bodyDiv w:val="1"/>
      <w:marLeft w:val="0"/>
      <w:marRight w:val="0"/>
      <w:marTop w:val="0"/>
      <w:marBottom w:val="0"/>
      <w:divBdr>
        <w:top w:val="none" w:sz="0" w:space="0" w:color="auto"/>
        <w:left w:val="none" w:sz="0" w:space="0" w:color="auto"/>
        <w:bottom w:val="none" w:sz="0" w:space="0" w:color="auto"/>
        <w:right w:val="none" w:sz="0" w:space="0" w:color="auto"/>
      </w:divBdr>
    </w:div>
    <w:div w:id="1439056721">
      <w:bodyDiv w:val="1"/>
      <w:marLeft w:val="0"/>
      <w:marRight w:val="0"/>
      <w:marTop w:val="0"/>
      <w:marBottom w:val="0"/>
      <w:divBdr>
        <w:top w:val="none" w:sz="0" w:space="0" w:color="auto"/>
        <w:left w:val="none" w:sz="0" w:space="0" w:color="auto"/>
        <w:bottom w:val="none" w:sz="0" w:space="0" w:color="auto"/>
        <w:right w:val="none" w:sz="0" w:space="0" w:color="auto"/>
      </w:divBdr>
    </w:div>
    <w:div w:id="1445341868">
      <w:bodyDiv w:val="1"/>
      <w:marLeft w:val="0"/>
      <w:marRight w:val="0"/>
      <w:marTop w:val="0"/>
      <w:marBottom w:val="0"/>
      <w:divBdr>
        <w:top w:val="none" w:sz="0" w:space="0" w:color="auto"/>
        <w:left w:val="none" w:sz="0" w:space="0" w:color="auto"/>
        <w:bottom w:val="none" w:sz="0" w:space="0" w:color="auto"/>
        <w:right w:val="none" w:sz="0" w:space="0" w:color="auto"/>
      </w:divBdr>
    </w:div>
    <w:div w:id="1472866342">
      <w:bodyDiv w:val="1"/>
      <w:marLeft w:val="0"/>
      <w:marRight w:val="0"/>
      <w:marTop w:val="0"/>
      <w:marBottom w:val="0"/>
      <w:divBdr>
        <w:top w:val="none" w:sz="0" w:space="0" w:color="auto"/>
        <w:left w:val="none" w:sz="0" w:space="0" w:color="auto"/>
        <w:bottom w:val="none" w:sz="0" w:space="0" w:color="auto"/>
        <w:right w:val="none" w:sz="0" w:space="0" w:color="auto"/>
      </w:divBdr>
    </w:div>
    <w:div w:id="1501383924">
      <w:bodyDiv w:val="1"/>
      <w:marLeft w:val="0"/>
      <w:marRight w:val="0"/>
      <w:marTop w:val="0"/>
      <w:marBottom w:val="0"/>
      <w:divBdr>
        <w:top w:val="none" w:sz="0" w:space="0" w:color="auto"/>
        <w:left w:val="none" w:sz="0" w:space="0" w:color="auto"/>
        <w:bottom w:val="none" w:sz="0" w:space="0" w:color="auto"/>
        <w:right w:val="none" w:sz="0" w:space="0" w:color="auto"/>
      </w:divBdr>
    </w:div>
    <w:div w:id="1508590211">
      <w:bodyDiv w:val="1"/>
      <w:marLeft w:val="0"/>
      <w:marRight w:val="0"/>
      <w:marTop w:val="0"/>
      <w:marBottom w:val="0"/>
      <w:divBdr>
        <w:top w:val="none" w:sz="0" w:space="0" w:color="auto"/>
        <w:left w:val="none" w:sz="0" w:space="0" w:color="auto"/>
        <w:bottom w:val="none" w:sz="0" w:space="0" w:color="auto"/>
        <w:right w:val="none" w:sz="0" w:space="0" w:color="auto"/>
      </w:divBdr>
    </w:div>
    <w:div w:id="1515613438">
      <w:bodyDiv w:val="1"/>
      <w:marLeft w:val="0"/>
      <w:marRight w:val="0"/>
      <w:marTop w:val="0"/>
      <w:marBottom w:val="0"/>
      <w:divBdr>
        <w:top w:val="none" w:sz="0" w:space="0" w:color="auto"/>
        <w:left w:val="none" w:sz="0" w:space="0" w:color="auto"/>
        <w:bottom w:val="none" w:sz="0" w:space="0" w:color="auto"/>
        <w:right w:val="none" w:sz="0" w:space="0" w:color="auto"/>
      </w:divBdr>
    </w:div>
    <w:div w:id="1547376220">
      <w:bodyDiv w:val="1"/>
      <w:marLeft w:val="0"/>
      <w:marRight w:val="0"/>
      <w:marTop w:val="0"/>
      <w:marBottom w:val="0"/>
      <w:divBdr>
        <w:top w:val="none" w:sz="0" w:space="0" w:color="auto"/>
        <w:left w:val="none" w:sz="0" w:space="0" w:color="auto"/>
        <w:bottom w:val="none" w:sz="0" w:space="0" w:color="auto"/>
        <w:right w:val="none" w:sz="0" w:space="0" w:color="auto"/>
      </w:divBdr>
    </w:div>
    <w:div w:id="1558516333">
      <w:bodyDiv w:val="1"/>
      <w:marLeft w:val="0"/>
      <w:marRight w:val="0"/>
      <w:marTop w:val="0"/>
      <w:marBottom w:val="0"/>
      <w:divBdr>
        <w:top w:val="none" w:sz="0" w:space="0" w:color="auto"/>
        <w:left w:val="none" w:sz="0" w:space="0" w:color="auto"/>
        <w:bottom w:val="none" w:sz="0" w:space="0" w:color="auto"/>
        <w:right w:val="none" w:sz="0" w:space="0" w:color="auto"/>
      </w:divBdr>
    </w:div>
    <w:div w:id="1572108983">
      <w:bodyDiv w:val="1"/>
      <w:marLeft w:val="0"/>
      <w:marRight w:val="0"/>
      <w:marTop w:val="0"/>
      <w:marBottom w:val="0"/>
      <w:divBdr>
        <w:top w:val="none" w:sz="0" w:space="0" w:color="auto"/>
        <w:left w:val="none" w:sz="0" w:space="0" w:color="auto"/>
        <w:bottom w:val="none" w:sz="0" w:space="0" w:color="auto"/>
        <w:right w:val="none" w:sz="0" w:space="0" w:color="auto"/>
      </w:divBdr>
    </w:div>
    <w:div w:id="1578663414">
      <w:bodyDiv w:val="1"/>
      <w:marLeft w:val="0"/>
      <w:marRight w:val="0"/>
      <w:marTop w:val="0"/>
      <w:marBottom w:val="0"/>
      <w:divBdr>
        <w:top w:val="none" w:sz="0" w:space="0" w:color="auto"/>
        <w:left w:val="none" w:sz="0" w:space="0" w:color="auto"/>
        <w:bottom w:val="none" w:sz="0" w:space="0" w:color="auto"/>
        <w:right w:val="none" w:sz="0" w:space="0" w:color="auto"/>
      </w:divBdr>
    </w:div>
    <w:div w:id="1599023705">
      <w:bodyDiv w:val="1"/>
      <w:marLeft w:val="0"/>
      <w:marRight w:val="0"/>
      <w:marTop w:val="0"/>
      <w:marBottom w:val="0"/>
      <w:divBdr>
        <w:top w:val="none" w:sz="0" w:space="0" w:color="auto"/>
        <w:left w:val="none" w:sz="0" w:space="0" w:color="auto"/>
        <w:bottom w:val="none" w:sz="0" w:space="0" w:color="auto"/>
        <w:right w:val="none" w:sz="0" w:space="0" w:color="auto"/>
      </w:divBdr>
    </w:div>
    <w:div w:id="1669088500">
      <w:bodyDiv w:val="1"/>
      <w:marLeft w:val="0"/>
      <w:marRight w:val="0"/>
      <w:marTop w:val="0"/>
      <w:marBottom w:val="0"/>
      <w:divBdr>
        <w:top w:val="none" w:sz="0" w:space="0" w:color="auto"/>
        <w:left w:val="none" w:sz="0" w:space="0" w:color="auto"/>
        <w:bottom w:val="none" w:sz="0" w:space="0" w:color="auto"/>
        <w:right w:val="none" w:sz="0" w:space="0" w:color="auto"/>
      </w:divBdr>
    </w:div>
    <w:div w:id="1741908504">
      <w:bodyDiv w:val="1"/>
      <w:marLeft w:val="0"/>
      <w:marRight w:val="0"/>
      <w:marTop w:val="0"/>
      <w:marBottom w:val="0"/>
      <w:divBdr>
        <w:top w:val="none" w:sz="0" w:space="0" w:color="auto"/>
        <w:left w:val="none" w:sz="0" w:space="0" w:color="auto"/>
        <w:bottom w:val="none" w:sz="0" w:space="0" w:color="auto"/>
        <w:right w:val="none" w:sz="0" w:space="0" w:color="auto"/>
      </w:divBdr>
    </w:div>
    <w:div w:id="1757088450">
      <w:bodyDiv w:val="1"/>
      <w:marLeft w:val="0"/>
      <w:marRight w:val="0"/>
      <w:marTop w:val="0"/>
      <w:marBottom w:val="0"/>
      <w:divBdr>
        <w:top w:val="none" w:sz="0" w:space="0" w:color="auto"/>
        <w:left w:val="none" w:sz="0" w:space="0" w:color="auto"/>
        <w:bottom w:val="none" w:sz="0" w:space="0" w:color="auto"/>
        <w:right w:val="none" w:sz="0" w:space="0" w:color="auto"/>
      </w:divBdr>
    </w:div>
    <w:div w:id="1758936912">
      <w:bodyDiv w:val="1"/>
      <w:marLeft w:val="0"/>
      <w:marRight w:val="0"/>
      <w:marTop w:val="0"/>
      <w:marBottom w:val="0"/>
      <w:divBdr>
        <w:top w:val="none" w:sz="0" w:space="0" w:color="auto"/>
        <w:left w:val="none" w:sz="0" w:space="0" w:color="auto"/>
        <w:bottom w:val="none" w:sz="0" w:space="0" w:color="auto"/>
        <w:right w:val="none" w:sz="0" w:space="0" w:color="auto"/>
      </w:divBdr>
    </w:div>
    <w:div w:id="1762141816">
      <w:bodyDiv w:val="1"/>
      <w:marLeft w:val="0"/>
      <w:marRight w:val="0"/>
      <w:marTop w:val="0"/>
      <w:marBottom w:val="0"/>
      <w:divBdr>
        <w:top w:val="none" w:sz="0" w:space="0" w:color="auto"/>
        <w:left w:val="none" w:sz="0" w:space="0" w:color="auto"/>
        <w:bottom w:val="none" w:sz="0" w:space="0" w:color="auto"/>
        <w:right w:val="none" w:sz="0" w:space="0" w:color="auto"/>
      </w:divBdr>
    </w:div>
    <w:div w:id="1776512849">
      <w:bodyDiv w:val="1"/>
      <w:marLeft w:val="0"/>
      <w:marRight w:val="0"/>
      <w:marTop w:val="0"/>
      <w:marBottom w:val="0"/>
      <w:divBdr>
        <w:top w:val="none" w:sz="0" w:space="0" w:color="auto"/>
        <w:left w:val="none" w:sz="0" w:space="0" w:color="auto"/>
        <w:bottom w:val="none" w:sz="0" w:space="0" w:color="auto"/>
        <w:right w:val="none" w:sz="0" w:space="0" w:color="auto"/>
      </w:divBdr>
    </w:div>
    <w:div w:id="1838956693">
      <w:bodyDiv w:val="1"/>
      <w:marLeft w:val="0"/>
      <w:marRight w:val="0"/>
      <w:marTop w:val="0"/>
      <w:marBottom w:val="0"/>
      <w:divBdr>
        <w:top w:val="none" w:sz="0" w:space="0" w:color="auto"/>
        <w:left w:val="none" w:sz="0" w:space="0" w:color="auto"/>
        <w:bottom w:val="none" w:sz="0" w:space="0" w:color="auto"/>
        <w:right w:val="none" w:sz="0" w:space="0" w:color="auto"/>
      </w:divBdr>
    </w:div>
    <w:div w:id="1843397001">
      <w:bodyDiv w:val="1"/>
      <w:marLeft w:val="0"/>
      <w:marRight w:val="0"/>
      <w:marTop w:val="0"/>
      <w:marBottom w:val="0"/>
      <w:divBdr>
        <w:top w:val="none" w:sz="0" w:space="0" w:color="auto"/>
        <w:left w:val="none" w:sz="0" w:space="0" w:color="auto"/>
        <w:bottom w:val="none" w:sz="0" w:space="0" w:color="auto"/>
        <w:right w:val="none" w:sz="0" w:space="0" w:color="auto"/>
      </w:divBdr>
    </w:div>
    <w:div w:id="1851606538">
      <w:bodyDiv w:val="1"/>
      <w:marLeft w:val="0"/>
      <w:marRight w:val="0"/>
      <w:marTop w:val="0"/>
      <w:marBottom w:val="0"/>
      <w:divBdr>
        <w:top w:val="none" w:sz="0" w:space="0" w:color="auto"/>
        <w:left w:val="none" w:sz="0" w:space="0" w:color="auto"/>
        <w:bottom w:val="none" w:sz="0" w:space="0" w:color="auto"/>
        <w:right w:val="none" w:sz="0" w:space="0" w:color="auto"/>
      </w:divBdr>
    </w:div>
    <w:div w:id="1854998850">
      <w:bodyDiv w:val="1"/>
      <w:marLeft w:val="0"/>
      <w:marRight w:val="0"/>
      <w:marTop w:val="0"/>
      <w:marBottom w:val="0"/>
      <w:divBdr>
        <w:top w:val="none" w:sz="0" w:space="0" w:color="auto"/>
        <w:left w:val="none" w:sz="0" w:space="0" w:color="auto"/>
        <w:bottom w:val="none" w:sz="0" w:space="0" w:color="auto"/>
        <w:right w:val="none" w:sz="0" w:space="0" w:color="auto"/>
      </w:divBdr>
    </w:div>
    <w:div w:id="1858929557">
      <w:bodyDiv w:val="1"/>
      <w:marLeft w:val="0"/>
      <w:marRight w:val="0"/>
      <w:marTop w:val="0"/>
      <w:marBottom w:val="0"/>
      <w:divBdr>
        <w:top w:val="none" w:sz="0" w:space="0" w:color="auto"/>
        <w:left w:val="none" w:sz="0" w:space="0" w:color="auto"/>
        <w:bottom w:val="none" w:sz="0" w:space="0" w:color="auto"/>
        <w:right w:val="none" w:sz="0" w:space="0" w:color="auto"/>
      </w:divBdr>
    </w:div>
    <w:div w:id="1907835889">
      <w:bodyDiv w:val="1"/>
      <w:marLeft w:val="0"/>
      <w:marRight w:val="0"/>
      <w:marTop w:val="0"/>
      <w:marBottom w:val="0"/>
      <w:divBdr>
        <w:top w:val="none" w:sz="0" w:space="0" w:color="auto"/>
        <w:left w:val="none" w:sz="0" w:space="0" w:color="auto"/>
        <w:bottom w:val="none" w:sz="0" w:space="0" w:color="auto"/>
        <w:right w:val="none" w:sz="0" w:space="0" w:color="auto"/>
      </w:divBdr>
    </w:div>
    <w:div w:id="1922135995">
      <w:bodyDiv w:val="1"/>
      <w:marLeft w:val="0"/>
      <w:marRight w:val="0"/>
      <w:marTop w:val="0"/>
      <w:marBottom w:val="0"/>
      <w:divBdr>
        <w:top w:val="none" w:sz="0" w:space="0" w:color="auto"/>
        <w:left w:val="none" w:sz="0" w:space="0" w:color="auto"/>
        <w:bottom w:val="none" w:sz="0" w:space="0" w:color="auto"/>
        <w:right w:val="none" w:sz="0" w:space="0" w:color="auto"/>
      </w:divBdr>
    </w:div>
    <w:div w:id="1932740121">
      <w:bodyDiv w:val="1"/>
      <w:marLeft w:val="0"/>
      <w:marRight w:val="0"/>
      <w:marTop w:val="0"/>
      <w:marBottom w:val="0"/>
      <w:divBdr>
        <w:top w:val="none" w:sz="0" w:space="0" w:color="auto"/>
        <w:left w:val="none" w:sz="0" w:space="0" w:color="auto"/>
        <w:bottom w:val="none" w:sz="0" w:space="0" w:color="auto"/>
        <w:right w:val="none" w:sz="0" w:space="0" w:color="auto"/>
      </w:divBdr>
    </w:div>
    <w:div w:id="1934823796">
      <w:bodyDiv w:val="1"/>
      <w:marLeft w:val="0"/>
      <w:marRight w:val="0"/>
      <w:marTop w:val="0"/>
      <w:marBottom w:val="0"/>
      <w:divBdr>
        <w:top w:val="none" w:sz="0" w:space="0" w:color="auto"/>
        <w:left w:val="none" w:sz="0" w:space="0" w:color="auto"/>
        <w:bottom w:val="none" w:sz="0" w:space="0" w:color="auto"/>
        <w:right w:val="none" w:sz="0" w:space="0" w:color="auto"/>
      </w:divBdr>
    </w:div>
    <w:div w:id="1969776205">
      <w:bodyDiv w:val="1"/>
      <w:marLeft w:val="0"/>
      <w:marRight w:val="0"/>
      <w:marTop w:val="0"/>
      <w:marBottom w:val="0"/>
      <w:divBdr>
        <w:top w:val="none" w:sz="0" w:space="0" w:color="auto"/>
        <w:left w:val="none" w:sz="0" w:space="0" w:color="auto"/>
        <w:bottom w:val="none" w:sz="0" w:space="0" w:color="auto"/>
        <w:right w:val="none" w:sz="0" w:space="0" w:color="auto"/>
      </w:divBdr>
    </w:div>
    <w:div w:id="2020616666">
      <w:bodyDiv w:val="1"/>
      <w:marLeft w:val="0"/>
      <w:marRight w:val="0"/>
      <w:marTop w:val="0"/>
      <w:marBottom w:val="0"/>
      <w:divBdr>
        <w:top w:val="none" w:sz="0" w:space="0" w:color="auto"/>
        <w:left w:val="none" w:sz="0" w:space="0" w:color="auto"/>
        <w:bottom w:val="none" w:sz="0" w:space="0" w:color="auto"/>
        <w:right w:val="none" w:sz="0" w:space="0" w:color="auto"/>
      </w:divBdr>
    </w:div>
    <w:div w:id="2107074644">
      <w:bodyDiv w:val="1"/>
      <w:marLeft w:val="0"/>
      <w:marRight w:val="0"/>
      <w:marTop w:val="0"/>
      <w:marBottom w:val="0"/>
      <w:divBdr>
        <w:top w:val="none" w:sz="0" w:space="0" w:color="auto"/>
        <w:left w:val="none" w:sz="0" w:space="0" w:color="auto"/>
        <w:bottom w:val="none" w:sz="0" w:space="0" w:color="auto"/>
        <w:right w:val="none" w:sz="0" w:space="0" w:color="auto"/>
      </w:divBdr>
    </w:div>
    <w:div w:id="21159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BAF7C-A915-41AC-B9A6-D4ED9658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101</TotalTime>
  <Pages>4</Pages>
  <Words>1782</Words>
  <Characters>10520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76</cp:revision>
  <cp:lastPrinted>2016-04-20T10:14:00Z</cp:lastPrinted>
  <dcterms:created xsi:type="dcterms:W3CDTF">2016-04-25T06:01:00Z</dcterms:created>
  <dcterms:modified xsi:type="dcterms:W3CDTF">2016-04-28T09:51:00Z</dcterms:modified>
</cp:coreProperties>
</file>