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5C339" w14:textId="77777777" w:rsidR="000200BE" w:rsidRDefault="000200BE" w:rsidP="000200BE">
      <w:pPr>
        <w:pStyle w:val="Nadpis11"/>
        <w:spacing w:after="120"/>
      </w:pPr>
      <w:bookmarkStart w:id="0" w:name="_Toc74643859"/>
      <w:bookmarkStart w:id="1" w:name="_Toc90395915"/>
      <w:bookmarkStart w:id="2" w:name="_Toc98245446"/>
      <w:bookmarkStart w:id="3" w:name="_Toc74643860"/>
      <w:r>
        <w:t>7. Měnové podmínky</w:t>
      </w:r>
      <w:bookmarkEnd w:id="0"/>
      <w:bookmarkEnd w:id="1"/>
      <w:bookmarkEnd w:id="2"/>
    </w:p>
    <w:tbl>
      <w:tblPr>
        <w:tblW w:w="9641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2"/>
        <w:gridCol w:w="229"/>
        <w:gridCol w:w="7610"/>
      </w:tblGrid>
      <w:tr w:rsidR="000200BE" w:rsidRPr="0037004A" w14:paraId="0D5B1090" w14:textId="77777777" w:rsidTr="00913237">
        <w:trPr>
          <w:trHeight w:val="145"/>
        </w:trPr>
        <w:tc>
          <w:tcPr>
            <w:tcW w:w="1802" w:type="dxa"/>
          </w:tcPr>
          <w:p w14:paraId="50AF164E" w14:textId="77777777" w:rsidR="000200BE" w:rsidRDefault="000200BE" w:rsidP="0091323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V závěru roku 2021 došlo k několikanásobnému zvýšení měnověpolitických úrokových sazeb.</w:t>
            </w:r>
          </w:p>
        </w:tc>
        <w:tc>
          <w:tcPr>
            <w:tcW w:w="229" w:type="dxa"/>
          </w:tcPr>
          <w:p w14:paraId="67F79BCE" w14:textId="77777777" w:rsidR="000200BE" w:rsidRDefault="000200BE" w:rsidP="0091323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21211623" w14:textId="77777777" w:rsidR="000200BE" w:rsidRPr="0037004A" w:rsidRDefault="000200BE" w:rsidP="00913237">
            <w:pPr>
              <w:rPr>
                <w:spacing w:val="-2"/>
                <w:lang w:eastAsia="en-US"/>
              </w:rPr>
            </w:pPr>
            <w:r w:rsidRPr="0037004A">
              <w:rPr>
                <w:spacing w:val="-2"/>
                <w:lang w:eastAsia="en-US"/>
              </w:rPr>
              <w:t>V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průběhu 4.</w:t>
            </w:r>
            <w:r>
              <w:rPr>
                <w:spacing w:val="-2"/>
                <w:lang w:eastAsia="en-US"/>
              </w:rPr>
              <w:t> čtvrtlet</w:t>
            </w:r>
            <w:r w:rsidRPr="0037004A">
              <w:rPr>
                <w:spacing w:val="-2"/>
                <w:lang w:eastAsia="en-US"/>
              </w:rPr>
              <w:t>í 2021 došlo v reakci na zrychlování cenového růstu k významnému navýšení základních měnověpolitických sazeb. První navýšení přišlo již na začátku října (dvoutýdenní repo sazba byla zvýšena o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0,75</w:t>
            </w:r>
            <w:r>
              <w:rPr>
                <w:spacing w:val="-2"/>
                <w:lang w:eastAsia="en-US"/>
              </w:rPr>
              <w:t> p. </w:t>
            </w:r>
            <w:r w:rsidRPr="0037004A">
              <w:rPr>
                <w:spacing w:val="-2"/>
                <w:lang w:eastAsia="en-US"/>
              </w:rPr>
              <w:t>b. na 1,50</w:t>
            </w:r>
            <w:r>
              <w:rPr>
                <w:spacing w:val="-2"/>
                <w:lang w:eastAsia="en-US"/>
              </w:rPr>
              <w:t> %</w:t>
            </w:r>
            <w:r w:rsidRPr="0037004A">
              <w:rPr>
                <w:rStyle w:val="Znakapoznpodarou"/>
                <w:spacing w:val="-2"/>
                <w:lang w:eastAsia="en-US"/>
              </w:rPr>
              <w:footnoteReference w:id="1"/>
            </w:r>
            <w:r w:rsidRPr="0037004A">
              <w:rPr>
                <w:spacing w:val="-2"/>
                <w:lang w:eastAsia="en-US"/>
              </w:rPr>
              <w:t>) a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další následovalo v listopadu (+1,25</w:t>
            </w:r>
            <w:r>
              <w:rPr>
                <w:spacing w:val="-2"/>
                <w:lang w:eastAsia="en-US"/>
              </w:rPr>
              <w:t> p. </w:t>
            </w:r>
            <w:r w:rsidRPr="0037004A">
              <w:rPr>
                <w:spacing w:val="-2"/>
                <w:lang w:eastAsia="en-US"/>
              </w:rPr>
              <w:t>b. na 2,75</w:t>
            </w:r>
            <w:r>
              <w:rPr>
                <w:spacing w:val="-2"/>
                <w:lang w:eastAsia="en-US"/>
              </w:rPr>
              <w:t> %</w:t>
            </w:r>
            <w:r w:rsidRPr="0037004A">
              <w:rPr>
                <w:spacing w:val="-2"/>
                <w:lang w:eastAsia="en-US"/>
              </w:rPr>
              <w:t>). V závěru roku se repo sazba navýšila ještě o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1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p. b. na 3,75</w:t>
            </w:r>
            <w:r>
              <w:rPr>
                <w:spacing w:val="-2"/>
                <w:lang w:eastAsia="en-US"/>
              </w:rPr>
              <w:t> %</w:t>
            </w:r>
            <w:r w:rsidRPr="0037004A">
              <w:rPr>
                <w:spacing w:val="-2"/>
                <w:lang w:eastAsia="en-US"/>
              </w:rPr>
              <w:t>, což bylo nejvíce od roku 2008. Za celý rok 2021 dvoutýdenní repo sazba vzrostla o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3,25</w:t>
            </w:r>
            <w:r>
              <w:rPr>
                <w:spacing w:val="-2"/>
                <w:lang w:eastAsia="en-US"/>
              </w:rPr>
              <w:t> p. </w:t>
            </w:r>
            <w:r w:rsidRPr="0037004A">
              <w:rPr>
                <w:spacing w:val="-2"/>
                <w:lang w:eastAsia="en-US"/>
              </w:rPr>
              <w:t>b. Diskontní sazba ke konci roku 2021 činila 2,75 % a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lombardní 4,75</w:t>
            </w:r>
            <w:r>
              <w:rPr>
                <w:spacing w:val="-2"/>
                <w:lang w:eastAsia="en-US"/>
              </w:rPr>
              <w:t> %</w:t>
            </w:r>
            <w:r w:rsidRPr="0037004A">
              <w:rPr>
                <w:spacing w:val="-2"/>
                <w:lang w:eastAsia="en-US"/>
              </w:rPr>
              <w:t>. Kurz koruny vůči euru ve 4.</w:t>
            </w:r>
            <w:r>
              <w:rPr>
                <w:spacing w:val="-2"/>
                <w:lang w:eastAsia="en-US"/>
              </w:rPr>
              <w:t> čtvrtlet</w:t>
            </w:r>
            <w:r w:rsidRPr="0037004A">
              <w:rPr>
                <w:spacing w:val="-2"/>
                <w:lang w:eastAsia="en-US"/>
              </w:rPr>
              <w:t>í dosáhl průměru 25,38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CZK/EUR a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meziročně posílil o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4,8</w:t>
            </w:r>
            <w:r>
              <w:rPr>
                <w:spacing w:val="-2"/>
                <w:lang w:eastAsia="en-US"/>
              </w:rPr>
              <w:t> %</w:t>
            </w:r>
            <w:r w:rsidRPr="0037004A">
              <w:rPr>
                <w:spacing w:val="-2"/>
                <w:lang w:eastAsia="en-US"/>
              </w:rPr>
              <w:t xml:space="preserve"> (to odpovídá 1,29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korun</w:t>
            </w:r>
            <w:r>
              <w:rPr>
                <w:spacing w:val="-2"/>
                <w:lang w:eastAsia="en-US"/>
              </w:rPr>
              <w:t>y</w:t>
            </w:r>
            <w:r w:rsidRPr="0037004A">
              <w:rPr>
                <w:spacing w:val="-2"/>
                <w:lang w:eastAsia="en-US"/>
              </w:rPr>
              <w:t>). Oproti 3.</w:t>
            </w:r>
            <w:r>
              <w:rPr>
                <w:spacing w:val="-2"/>
                <w:lang w:eastAsia="en-US"/>
              </w:rPr>
              <w:t> čtvrtlet</w:t>
            </w:r>
            <w:r w:rsidRPr="0037004A">
              <w:rPr>
                <w:spacing w:val="-2"/>
                <w:lang w:eastAsia="en-US"/>
              </w:rPr>
              <w:t>í byl kurz silnější o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0,5</w:t>
            </w:r>
            <w:r>
              <w:rPr>
                <w:spacing w:val="-2"/>
                <w:lang w:eastAsia="en-US"/>
              </w:rPr>
              <w:t> %</w:t>
            </w:r>
            <w:r w:rsidRPr="0037004A">
              <w:rPr>
                <w:spacing w:val="-2"/>
                <w:lang w:eastAsia="en-US"/>
              </w:rPr>
              <w:t xml:space="preserve"> (0,12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korun</w:t>
            </w:r>
            <w:r>
              <w:rPr>
                <w:spacing w:val="-2"/>
                <w:lang w:eastAsia="en-US"/>
              </w:rPr>
              <w:t>y</w:t>
            </w:r>
            <w:r w:rsidRPr="0037004A">
              <w:rPr>
                <w:spacing w:val="-2"/>
                <w:lang w:eastAsia="en-US"/>
              </w:rPr>
              <w:t>). Kurz posiloval zejména v průběhu prosince 2021 a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tehdy také poprvé od února 2020 prolomil hranici 25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korun. Rok 2021 uzavíral kurz koruny vůči euru na 24,86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CZK/EUR. Kurz vůči dolaru ve 4.</w:t>
            </w:r>
            <w:r>
              <w:rPr>
                <w:spacing w:val="-2"/>
                <w:lang w:eastAsia="en-US"/>
              </w:rPr>
              <w:t> čtvrtlet</w:t>
            </w:r>
            <w:r w:rsidRPr="0037004A">
              <w:rPr>
                <w:spacing w:val="-2"/>
                <w:lang w:eastAsia="en-US"/>
              </w:rPr>
              <w:t>í dosáhl průměru 22,19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CZK/USD a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meziročně byl silnější o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0,8</w:t>
            </w:r>
            <w:r>
              <w:rPr>
                <w:spacing w:val="-2"/>
                <w:lang w:eastAsia="en-US"/>
              </w:rPr>
              <w:t> %</w:t>
            </w:r>
            <w:r w:rsidRPr="0037004A">
              <w:rPr>
                <w:spacing w:val="-2"/>
                <w:lang w:eastAsia="en-US"/>
              </w:rPr>
              <w:t xml:space="preserve"> (0,17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korun</w:t>
            </w:r>
            <w:r>
              <w:rPr>
                <w:spacing w:val="-2"/>
                <w:lang w:eastAsia="en-US"/>
              </w:rPr>
              <w:t>y</w:t>
            </w:r>
            <w:r w:rsidRPr="0037004A">
              <w:rPr>
                <w:spacing w:val="-2"/>
                <w:lang w:eastAsia="en-US"/>
              </w:rPr>
              <w:t>). Ve srovnání se 3.</w:t>
            </w:r>
            <w:r>
              <w:rPr>
                <w:spacing w:val="-2"/>
                <w:lang w:eastAsia="en-US"/>
              </w:rPr>
              <w:t> čtvrtlet</w:t>
            </w:r>
            <w:r w:rsidRPr="0037004A">
              <w:rPr>
                <w:spacing w:val="-2"/>
                <w:lang w:eastAsia="en-US"/>
              </w:rPr>
              <w:t>ím 2021 kurz vůči dolaru oslabil o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2,6</w:t>
            </w:r>
            <w:r>
              <w:rPr>
                <w:spacing w:val="-2"/>
                <w:lang w:eastAsia="en-US"/>
              </w:rPr>
              <w:t> %</w:t>
            </w:r>
            <w:r w:rsidRPr="0037004A">
              <w:rPr>
                <w:spacing w:val="-2"/>
                <w:lang w:eastAsia="en-US"/>
              </w:rPr>
              <w:t xml:space="preserve"> (0,56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korun</w:t>
            </w:r>
            <w:r>
              <w:rPr>
                <w:spacing w:val="-2"/>
                <w:lang w:eastAsia="en-US"/>
              </w:rPr>
              <w:t>y</w:t>
            </w:r>
            <w:r w:rsidRPr="0037004A">
              <w:rPr>
                <w:spacing w:val="-2"/>
                <w:lang w:eastAsia="en-US"/>
              </w:rPr>
              <w:t>). Také vůči dolaru koruna v průběhu prosince posilovala. Ke 31</w:t>
            </w:r>
            <w:r>
              <w:rPr>
                <w:spacing w:val="-2"/>
                <w:lang w:eastAsia="en-US"/>
              </w:rPr>
              <w:t>. </w:t>
            </w:r>
            <w:r w:rsidRPr="0037004A">
              <w:rPr>
                <w:spacing w:val="-2"/>
                <w:lang w:eastAsia="en-US"/>
              </w:rPr>
              <w:t>12</w:t>
            </w:r>
            <w:r>
              <w:rPr>
                <w:spacing w:val="-2"/>
                <w:lang w:eastAsia="en-US"/>
              </w:rPr>
              <w:t>. </w:t>
            </w:r>
            <w:r w:rsidRPr="0037004A">
              <w:rPr>
                <w:spacing w:val="-2"/>
                <w:lang w:eastAsia="en-US"/>
              </w:rPr>
              <w:t>2021 kurz koruny vůči dolaru dosahoval 21,95</w:t>
            </w:r>
            <w:r>
              <w:rPr>
                <w:spacing w:val="-2"/>
                <w:lang w:eastAsia="en-US"/>
              </w:rPr>
              <w:t> </w:t>
            </w:r>
            <w:r w:rsidRPr="0037004A">
              <w:rPr>
                <w:spacing w:val="-2"/>
                <w:lang w:eastAsia="en-US"/>
              </w:rPr>
              <w:t>CZK/USD.</w:t>
            </w:r>
          </w:p>
        </w:tc>
      </w:tr>
      <w:tr w:rsidR="000200BE" w14:paraId="04446CFC" w14:textId="77777777" w:rsidTr="00913237">
        <w:trPr>
          <w:trHeight w:val="145"/>
        </w:trPr>
        <w:tc>
          <w:tcPr>
            <w:tcW w:w="1802" w:type="dxa"/>
          </w:tcPr>
          <w:p w14:paraId="7997219A" w14:textId="77777777" w:rsidR="000200BE" w:rsidRDefault="000200BE" w:rsidP="0091323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Prudce narostly i sazby mezibankovního trhu a výnosy vládních dluhopisů.</w:t>
            </w:r>
          </w:p>
        </w:tc>
        <w:tc>
          <w:tcPr>
            <w:tcW w:w="229" w:type="dxa"/>
          </w:tcPr>
          <w:p w14:paraId="35F1011D" w14:textId="77777777" w:rsidR="000200BE" w:rsidRDefault="000200BE" w:rsidP="0091323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79C48C39" w14:textId="77777777" w:rsidR="000200BE" w:rsidRDefault="000200BE" w:rsidP="00913237">
            <w:pPr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Úrokové sazby mezibankovního trhu reagovaly na prudké zvýšení měnověpolitických sazeb silnými nárůsty. Tříměsíční sazba PRIBOR v průběhu 4. čtvrtletí narostla o 2,39 p. b.</w:t>
            </w:r>
            <w:r>
              <w:rPr>
                <w:rStyle w:val="Znakapoznpodarou"/>
                <w:spacing w:val="-1"/>
                <w:lang w:eastAsia="en-US"/>
              </w:rPr>
              <w:footnoteReference w:id="2"/>
            </w:r>
            <w:r>
              <w:rPr>
                <w:spacing w:val="-1"/>
                <w:lang w:eastAsia="en-US"/>
              </w:rPr>
              <w:t xml:space="preserve"> a ke konci roku 2021 dosahovala 3,5 %. Dál pokračovalo také navyšování výnosů na domácích vládních dluhopisech všech splatností. K 31. 12. dosahovala úroková sazba na dluhopisech s krátkodobou splatností 3,07 % (nárůst o 1,47 p. b.), což je nejvíce od dubna 2009. Výnosy střednědobých dluhopisů stouply o 0,97 p. b. na 2,84 % a těch dlouhodobých o 0,72 p. b. na 2,62 %. Mírně se zvyšovaly i výnosy dluhopisů v eurozóně. Ty s desetiletou splatností byly ke konci roku 2021 úročeny 0,28 % (+0,</w:t>
            </w:r>
            <w:r w:rsidRPr="007E7DB5">
              <w:t>08</w:t>
            </w:r>
            <w:r>
              <w:t> </w:t>
            </w:r>
            <w:r w:rsidRPr="007E7DB5">
              <w:t>p</w:t>
            </w:r>
            <w:r>
              <w:rPr>
                <w:spacing w:val="-1"/>
                <w:lang w:eastAsia="en-US"/>
              </w:rPr>
              <w:t>. b.).</w:t>
            </w:r>
          </w:p>
        </w:tc>
      </w:tr>
      <w:tr w:rsidR="000200BE" w14:paraId="641836CF" w14:textId="77777777" w:rsidTr="00913237">
        <w:trPr>
          <w:trHeight w:val="145"/>
        </w:trPr>
        <w:tc>
          <w:tcPr>
            <w:tcW w:w="1802" w:type="dxa"/>
            <w:hideMark/>
          </w:tcPr>
          <w:p w14:paraId="50159FD7" w14:textId="77777777" w:rsidR="000200BE" w:rsidRDefault="000200BE" w:rsidP="0091323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Domácnostem a nefinančním podnikům rostlo úročení termínovaných vkladů.</w:t>
            </w:r>
          </w:p>
        </w:tc>
        <w:tc>
          <w:tcPr>
            <w:tcW w:w="229" w:type="dxa"/>
          </w:tcPr>
          <w:p w14:paraId="68A1DFF5" w14:textId="77777777" w:rsidR="000200BE" w:rsidRDefault="000200BE" w:rsidP="0091323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2519A694" w14:textId="77777777" w:rsidR="000200BE" w:rsidRDefault="000200BE" w:rsidP="00913237">
            <w:pPr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Průměrné úročení běžných účtů domácností se velmi drobně zvýšilo, ale ke konci roku 2021 bylo stále na prakticky nulové úrovni (0,06 %). Jiná byla situace v případě vkladů s dohodnutou splatností. U těch se úrokové sazby postupně zvyšovaly v průběhu celého roku a nejvíce to bylo právě ve 4. čtvrtletí. Ke konci roku 2021 průměrné úročení vkladů domácností s dohodnutou splatností činilo 2,32 % (navýšení od 30. září o 1,59 %). Úročení běžných účtů nefinančních podniků se ve 4. čtvrtletí zvýšilo o 0,15 p. b. na 0,2 %. Průměrné úrokové sazby vkladů s dohodnutou splatností nefinančních podniků ke konci roku činily 2,47 %, což bylo o 1,91 p. b. více než na konci září. Celkový objem netermínovaných vkladů klientů byl na konci roku 2021 meziročně vyšší o 5,9 %, což znamenalo výrazné zpomalení růstu. Oproti konci 3. čtvrtletí klesl o 202,1 mld. korun, což je u netermínovaných vkladů poměrně netypické. Na tomto poklesu se podílely zejména netermínované vklady domácností</w:t>
            </w:r>
            <w:r>
              <w:rPr>
                <w:rStyle w:val="Znakapoznpodarou"/>
                <w:spacing w:val="-3"/>
                <w:lang w:eastAsia="en-US"/>
              </w:rPr>
              <w:footnoteReference w:id="3"/>
            </w:r>
            <w:r>
              <w:rPr>
                <w:spacing w:val="-3"/>
                <w:lang w:eastAsia="en-US"/>
              </w:rPr>
              <w:t xml:space="preserve"> (–59,6 mld. korun) a vlády (–110,5 mld.). Objem termínovaných vkladů byl na konci roku meziročně vyšší o 10,1 %, především díky nárůstu krátkodobých a dlouhodobých vkladů.</w:t>
            </w:r>
          </w:p>
        </w:tc>
      </w:tr>
      <w:tr w:rsidR="000200BE" w14:paraId="0749CA96" w14:textId="77777777" w:rsidTr="00913237">
        <w:trPr>
          <w:trHeight w:val="145"/>
        </w:trPr>
        <w:tc>
          <w:tcPr>
            <w:tcW w:w="1802" w:type="dxa"/>
          </w:tcPr>
          <w:p w14:paraId="0FFB8223" w14:textId="77777777" w:rsidR="000200BE" w:rsidRDefault="000200BE" w:rsidP="0091323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Domácnostem se zdražilo úvěrové financování spotřeby i bydlení.</w:t>
            </w:r>
          </w:p>
        </w:tc>
        <w:tc>
          <w:tcPr>
            <w:tcW w:w="229" w:type="dxa"/>
          </w:tcPr>
          <w:p w14:paraId="3EBC3183" w14:textId="77777777" w:rsidR="000200BE" w:rsidRDefault="000200BE" w:rsidP="0091323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54C43C4A" w14:textId="77777777" w:rsidR="000200BE" w:rsidRDefault="000200BE" w:rsidP="009132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Úrokové sazby na úvěrech pro domácnosti také reagovaly na všeobecný růst úroků v ekonomice. Průměrné úročení úvěrů na spotřebu k 31. 12. dosahovalo 7,91 %, což bylo o 0,32 p. b. více než na konci září. Pokračoval tak postupný nárůst sazeb, který trval po celý loňský rok. Vyšší bylo také průměrné úročení úvěrů na bydlení. To se ve 4. čtvrtletí zvýšilo o 0,47 p. b. na 2,92 %. Nejvíce narostlo úročení úvěrů s nejkratší fixací (do 1 roku). Během loňského roku postupně zrychloval meziroční růst objemu poskytnutých úvěrů na spotřebu. Těch bylo ke konci roku 2021 více o 6,5 %. Jejich růst v roce 2020 zastavilo především omezení maloobchodu a následný propad spotřeby </w:t>
            </w:r>
            <w:r>
              <w:rPr>
                <w:lang w:eastAsia="en-US"/>
              </w:rPr>
              <w:lastRenderedPageBreak/>
              <w:t>domácností. Naopak dál akceleroval růst úvěrů na bydlení. Na konci roku 2021 meziroční přírůstek jejich objemu dosáhl rekordních 11,1 %. Co se týká nových hypoték</w:t>
            </w:r>
            <w:r>
              <w:rPr>
                <w:rStyle w:val="Znakapoznpodarou"/>
                <w:lang w:eastAsia="en-US"/>
              </w:rPr>
              <w:footnoteReference w:id="4"/>
            </w:r>
            <w:r>
              <w:rPr>
                <w:lang w:eastAsia="en-US"/>
              </w:rPr>
              <w:t>, po předchozím propadu objemu čistých nových úvěrů došlo k dalšímu růstu. Vyšší byl i objem refinancovaných úvěrů a ostatních nových ujednání. Zadlužení domácností dosáhlo ke konci prosince 2 108,8 mld. korun a meziročně se zvýšilo o 9,5 %, nejvíce od září 2009.</w:t>
            </w:r>
          </w:p>
        </w:tc>
      </w:tr>
      <w:tr w:rsidR="000200BE" w14:paraId="545173FF" w14:textId="77777777" w:rsidTr="00913237">
        <w:trPr>
          <w:trHeight w:val="145"/>
        </w:trPr>
        <w:tc>
          <w:tcPr>
            <w:tcW w:w="1802" w:type="dxa"/>
          </w:tcPr>
          <w:p w14:paraId="34ED9EF4" w14:textId="77777777" w:rsidR="000200BE" w:rsidRDefault="000200BE" w:rsidP="0091323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Prudké zvýšení úrokových sazeb se týkalo i úvěrů pro podniky.</w:t>
            </w:r>
          </w:p>
        </w:tc>
        <w:tc>
          <w:tcPr>
            <w:tcW w:w="229" w:type="dxa"/>
          </w:tcPr>
          <w:p w14:paraId="1AF7D4E7" w14:textId="77777777" w:rsidR="000200BE" w:rsidRDefault="000200BE" w:rsidP="0091323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30AF68BA" w14:textId="0E60C579" w:rsidR="000200BE" w:rsidRDefault="000200BE" w:rsidP="000200BE">
            <w:pPr>
              <w:rPr>
                <w:lang w:eastAsia="en-US"/>
              </w:rPr>
            </w:pPr>
            <w:r>
              <w:rPr>
                <w:lang w:eastAsia="en-US"/>
              </w:rPr>
              <w:t>Nefinančním podnikům se náklady na úvěrové financování také prudce zvýšily. Průměrné úročení úvěrů s objemem do 7,5 mil. korun se ve 4. čtvrtletí zvýšilo o 1,09 p.</w:t>
            </w:r>
            <w:r>
              <w:t> </w:t>
            </w:r>
            <w:r>
              <w:rPr>
                <w:lang w:eastAsia="en-US"/>
              </w:rPr>
              <w:t xml:space="preserve">b. na 4,86 %. U střední kategorie úvěrů s objemem mezi 7,5 a 30 miliony korun došlo k navýšení úrokových sazeb o 1,77 p. b. na 4,71 %. Nejvíce (o 2,61 p. b.) se zvýšily sazby na úvěrech nad 30 milionů korun, které dosáhly 4,35 %. Meziroční růst objemu úvěrů poskytnutých nefinančním podnikům v závěru roku prudce zrychlil na 6,0 %. Nejvíce přitom narostl objem krátkodobých úvěrů (13,9 %), zejména těch denominovaných v cizí měně. Posílil ale také přírůstek objemu úvěrů střednědobých (6,7 %) a dlouhodobých (2,9 %). Nejvíce se meziročně zvyšoval objem poskytnutých půjček v dopravě a skladování (34,2 %; 30% úroveň přírůstky překonaly i ve 2. a 3. čtvrtletí), profesních, vědeckých, technických a administrativních činnostech (15,2 %) a velkoobchodě, maloobchodě, opravách a údržbě motorových vozidel (11,1 %). Meziročně se kromě dlouhodobě ubývajících úvěrů v těžbě a dobývání </w:t>
            </w:r>
            <w:r>
              <w:rPr>
                <w:lang w:eastAsia="en-US"/>
              </w:rPr>
              <w:br/>
              <w:t xml:space="preserve">(–20,3 %) propadl objem půjček pro ubytování, stravování a pohostinství (–10,3 %, vliv mělo především srovnání s prudkými nárůsty v roce 2020), zpracovatelský průmysl </w:t>
            </w:r>
            <w:r>
              <w:rPr>
                <w:lang w:eastAsia="en-US"/>
              </w:rPr>
              <w:br/>
              <w:t>(–3,8 %), pro výrobu a rozvod elektřiny, plynu, tepla, vzduchu a služby související s odpadními vodami (–3,1 %) a informační a komunikační činnosti (–2,5 %).</w:t>
            </w:r>
          </w:p>
        </w:tc>
      </w:tr>
      <w:tr w:rsidR="000200BE" w14:paraId="59199D5E" w14:textId="77777777" w:rsidTr="00913237">
        <w:trPr>
          <w:trHeight w:val="304"/>
        </w:trPr>
        <w:tc>
          <w:tcPr>
            <w:tcW w:w="1802" w:type="dxa"/>
            <w:vMerge w:val="restart"/>
          </w:tcPr>
          <w:p w14:paraId="53DBE1F7" w14:textId="77777777" w:rsidR="000200BE" w:rsidRDefault="000200BE" w:rsidP="00913237">
            <w:pPr>
              <w:pStyle w:val="Marginlie"/>
              <w:rPr>
                <w:lang w:eastAsia="en-US"/>
              </w:rPr>
            </w:pPr>
          </w:p>
        </w:tc>
        <w:tc>
          <w:tcPr>
            <w:tcW w:w="229" w:type="dxa"/>
            <w:vMerge w:val="restart"/>
          </w:tcPr>
          <w:p w14:paraId="3578A2E3" w14:textId="77777777" w:rsidR="000200BE" w:rsidRDefault="000200BE" w:rsidP="0091323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  <w:hideMark/>
          </w:tcPr>
          <w:p w14:paraId="700DB65A" w14:textId="374CA604" w:rsidR="000200BE" w:rsidRPr="00D721B4" w:rsidRDefault="00A02E8B" w:rsidP="00913237">
            <w:pPr>
              <w:spacing w:after="0"/>
              <w:rPr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Graf č. 17</w:t>
            </w:r>
            <w:r w:rsidR="000200BE" w:rsidRPr="00D721B4"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  </w:t>
            </w:r>
            <w:r w:rsidR="000200BE" w:rsidRPr="00D721B4">
              <w:rPr>
                <w:b/>
                <w:spacing w:val="-4"/>
                <w:szCs w:val="20"/>
                <w:lang w:eastAsia="en-US"/>
              </w:rPr>
              <w:t xml:space="preserve">Tržní úrokové sazby </w:t>
            </w:r>
            <w:r w:rsidR="000200BE" w:rsidRPr="00D721B4">
              <w:rPr>
                <w:bCs/>
                <w:spacing w:val="-4"/>
                <w:szCs w:val="20"/>
                <w:lang w:eastAsia="en-US"/>
              </w:rPr>
              <w:t>(v</w:t>
            </w:r>
            <w:r w:rsidR="000200BE">
              <w:rPr>
                <w:bCs/>
                <w:spacing w:val="-4"/>
                <w:szCs w:val="20"/>
                <w:lang w:eastAsia="en-US"/>
              </w:rPr>
              <w:t> %</w:t>
            </w:r>
            <w:r w:rsidR="000200BE" w:rsidRPr="00D721B4">
              <w:rPr>
                <w:bCs/>
                <w:spacing w:val="-4"/>
                <w:szCs w:val="20"/>
                <w:lang w:eastAsia="en-US"/>
              </w:rPr>
              <w:t>)</w:t>
            </w:r>
          </w:p>
        </w:tc>
      </w:tr>
      <w:tr w:rsidR="000200BE" w14:paraId="660A11B9" w14:textId="77777777" w:rsidTr="00913237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2" w:type="dxa"/>
            <w:vMerge/>
            <w:vAlign w:val="center"/>
            <w:hideMark/>
          </w:tcPr>
          <w:p w14:paraId="46B716F5" w14:textId="77777777" w:rsidR="000200BE" w:rsidRDefault="000200BE" w:rsidP="00913237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78F89FD9" w14:textId="77777777" w:rsidR="000200BE" w:rsidRDefault="000200BE" w:rsidP="00913237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751948C8" w14:textId="77777777" w:rsidR="000200BE" w:rsidRDefault="000200BE" w:rsidP="00913237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9DB6140" wp14:editId="202EC4CB">
                  <wp:extent cx="4734425" cy="3375400"/>
                  <wp:effectExtent l="0" t="0" r="0" b="0"/>
                  <wp:docPr id="3" name="Graf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0200BE" w14:paraId="73B405F8" w14:textId="77777777" w:rsidTr="00913237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2B56C3CB" w14:textId="77777777" w:rsidR="000200BE" w:rsidRDefault="000200BE" w:rsidP="00913237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A21791" w14:textId="77777777" w:rsidR="000200BE" w:rsidRDefault="000200BE" w:rsidP="00913237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776EE0D3" w14:textId="77777777" w:rsidR="000200BE" w:rsidRDefault="000200BE" w:rsidP="00913237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Zdroj: ČNB</w:t>
            </w:r>
          </w:p>
        </w:tc>
      </w:tr>
    </w:tbl>
    <w:p w14:paraId="1CC0B2DD" w14:textId="77777777" w:rsidR="00F00535" w:rsidRPr="00E42054" w:rsidRDefault="00F00535" w:rsidP="00E35BBB">
      <w:pPr>
        <w:pStyle w:val="Nadpis11"/>
        <w:rPr>
          <w:b w:val="0"/>
          <w:sz w:val="2"/>
          <w:szCs w:val="2"/>
        </w:rPr>
      </w:pPr>
      <w:bookmarkStart w:id="4" w:name="_GoBack"/>
      <w:bookmarkEnd w:id="3"/>
      <w:bookmarkEnd w:id="4"/>
    </w:p>
    <w:sectPr w:rsidR="00F00535" w:rsidRPr="00E42054" w:rsidSect="00E35BBB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737" w:gutter="0"/>
      <w:pgNumType w:start="33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05233" w16cex:dateUtc="2021-12-12T09:49:00Z"/>
  <w16cex:commentExtensible w16cex:durableId="25605965" w16cex:dateUtc="2021-12-12T10:20:00Z"/>
  <w16cex:commentExtensible w16cex:durableId="256059E5" w16cex:dateUtc="2021-12-12T10:22:00Z"/>
  <w16cex:commentExtensible w16cex:durableId="255E05D5" w16cex:dateUtc="2021-12-10T15:59:00Z"/>
  <w16cex:commentExtensible w16cex:durableId="2560964B" w16cex:dateUtc="2021-12-12T14:39:00Z"/>
  <w16cex:commentExtensible w16cex:durableId="255E068F" w16cex:dateUtc="2021-12-10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C02D9A" w16cid:durableId="25605233"/>
  <w16cid:commentId w16cid:paraId="47A2534C" w16cid:durableId="25605965"/>
  <w16cid:commentId w16cid:paraId="39626918" w16cid:durableId="256059E5"/>
  <w16cid:commentId w16cid:paraId="0F66996F" w16cid:durableId="255E05D5"/>
  <w16cid:commentId w16cid:paraId="6E18F763" w16cid:durableId="2560964B"/>
  <w16cid:commentId w16cid:paraId="3AE6BE9D" w16cid:durableId="255E06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2EE6E" w14:textId="77777777" w:rsidR="00626259" w:rsidRDefault="00626259" w:rsidP="00E71A58">
      <w:r>
        <w:separator/>
      </w:r>
    </w:p>
  </w:endnote>
  <w:endnote w:type="continuationSeparator" w:id="0">
    <w:p w14:paraId="1CE4FB70" w14:textId="77777777" w:rsidR="00626259" w:rsidRDefault="0062625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3E0FE17C" w:rsidR="00CD7E9E" w:rsidRPr="00932443" w:rsidRDefault="00CD7E9E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E35BBB">
      <w:rPr>
        <w:szCs w:val="16"/>
      </w:rPr>
      <w:t>34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01F22CDC" w:rsidR="00CD7E9E" w:rsidRPr="00932443" w:rsidRDefault="00CD7E9E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rok 2021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E35BBB">
      <w:rPr>
        <w:rStyle w:val="ZpatChar"/>
        <w:szCs w:val="16"/>
      </w:rPr>
      <w:t>33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792FA" w14:textId="77777777" w:rsidR="00626259" w:rsidRDefault="00626259" w:rsidP="00A21B4D">
      <w:pPr>
        <w:spacing w:after="0"/>
      </w:pPr>
      <w:r>
        <w:separator/>
      </w:r>
    </w:p>
  </w:footnote>
  <w:footnote w:type="continuationSeparator" w:id="0">
    <w:p w14:paraId="54063DA9" w14:textId="77777777" w:rsidR="00626259" w:rsidRDefault="00626259" w:rsidP="00E71A58">
      <w:r>
        <w:continuationSeparator/>
      </w:r>
    </w:p>
  </w:footnote>
  <w:footnote w:id="1">
    <w:p w14:paraId="3D4072D8" w14:textId="77777777" w:rsidR="00CD7E9E" w:rsidRDefault="00CD7E9E" w:rsidP="000200BE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Není-li uvedeno jinak, je zdrojem údajů v této kapitole databáze ARAD České národní banky. Hodnoty směnných kurzů jsou rovněž převzaty od ČNB.</w:t>
      </w:r>
    </w:p>
  </w:footnote>
  <w:footnote w:id="2">
    <w:p w14:paraId="6C828CCD" w14:textId="77777777" w:rsidR="00CD7E9E" w:rsidRPr="001F5F82" w:rsidRDefault="00CD7E9E" w:rsidP="000200BE">
      <w:pPr>
        <w:pStyle w:val="Textpoznpodarou"/>
        <w:rPr>
          <w:sz w:val="16"/>
          <w:szCs w:val="16"/>
        </w:rPr>
      </w:pPr>
      <w:r w:rsidRPr="001F5F82">
        <w:rPr>
          <w:rStyle w:val="Znakapoznpodarou"/>
          <w:sz w:val="16"/>
          <w:szCs w:val="16"/>
        </w:rPr>
        <w:footnoteRef/>
      </w:r>
      <w:r w:rsidRPr="001F5F82">
        <w:rPr>
          <w:sz w:val="16"/>
          <w:szCs w:val="16"/>
        </w:rPr>
        <w:t xml:space="preserve"> Není-li uvedeno jinak, je změnou úrokových sazeb myšlen rozdíl mezi hodnotou ke dni 3</w:t>
      </w:r>
      <w:r>
        <w:rPr>
          <w:sz w:val="16"/>
          <w:szCs w:val="16"/>
        </w:rPr>
        <w:t>1. 12</w:t>
      </w:r>
      <w:r w:rsidRPr="001F5F82">
        <w:rPr>
          <w:sz w:val="16"/>
          <w:szCs w:val="16"/>
        </w:rPr>
        <w:t>. a</w:t>
      </w:r>
      <w:r>
        <w:rPr>
          <w:sz w:val="16"/>
          <w:szCs w:val="16"/>
        </w:rPr>
        <w:t> </w:t>
      </w:r>
      <w:r w:rsidRPr="001F5F82">
        <w:rPr>
          <w:sz w:val="16"/>
          <w:szCs w:val="16"/>
        </w:rPr>
        <w:t>30</w:t>
      </w:r>
      <w:r>
        <w:rPr>
          <w:sz w:val="16"/>
          <w:szCs w:val="16"/>
        </w:rPr>
        <w:t>. 9</w:t>
      </w:r>
      <w:r w:rsidRPr="001F5F82">
        <w:rPr>
          <w:sz w:val="16"/>
          <w:szCs w:val="16"/>
        </w:rPr>
        <w:t>.</w:t>
      </w:r>
    </w:p>
  </w:footnote>
  <w:footnote w:id="3">
    <w:p w14:paraId="6760877C" w14:textId="77777777" w:rsidR="00CD7E9E" w:rsidRPr="00651A71" w:rsidRDefault="00CD7E9E" w:rsidP="000200BE">
      <w:pPr>
        <w:pStyle w:val="Textpoznpodarou"/>
        <w:rPr>
          <w:sz w:val="16"/>
          <w:szCs w:val="16"/>
        </w:rPr>
      </w:pPr>
      <w:r w:rsidRPr="00651A71">
        <w:rPr>
          <w:rStyle w:val="Znakapoznpodarou"/>
          <w:sz w:val="16"/>
          <w:szCs w:val="16"/>
        </w:rPr>
        <w:footnoteRef/>
      </w:r>
      <w:r w:rsidRPr="00651A71">
        <w:rPr>
          <w:sz w:val="16"/>
          <w:szCs w:val="16"/>
        </w:rPr>
        <w:t xml:space="preserve"> O</w:t>
      </w:r>
      <w:r w:rsidRPr="00651A71">
        <w:rPr>
          <w:spacing w:val="-3"/>
          <w:sz w:val="16"/>
          <w:szCs w:val="16"/>
          <w:lang w:eastAsia="en-US"/>
        </w:rPr>
        <w:t>byvatelstvo</w:t>
      </w:r>
      <w:r>
        <w:rPr>
          <w:spacing w:val="-3"/>
          <w:sz w:val="16"/>
          <w:szCs w:val="16"/>
          <w:lang w:eastAsia="en-US"/>
        </w:rPr>
        <w:t xml:space="preserve"> včetně </w:t>
      </w:r>
      <w:r w:rsidRPr="00651A71">
        <w:rPr>
          <w:spacing w:val="-3"/>
          <w:sz w:val="16"/>
          <w:szCs w:val="16"/>
          <w:lang w:eastAsia="en-US"/>
        </w:rPr>
        <w:t>živnostníků.</w:t>
      </w:r>
    </w:p>
  </w:footnote>
  <w:footnote w:id="4">
    <w:p w14:paraId="7D3A995A" w14:textId="77777777" w:rsidR="00CD7E9E" w:rsidRPr="00284DA5" w:rsidRDefault="00CD7E9E" w:rsidP="000200BE">
      <w:pPr>
        <w:pStyle w:val="Textpoznpodarou"/>
        <w:rPr>
          <w:sz w:val="16"/>
          <w:szCs w:val="16"/>
        </w:rPr>
      </w:pPr>
      <w:r w:rsidRPr="00284DA5">
        <w:rPr>
          <w:rStyle w:val="Znakapoznpodarou"/>
          <w:sz w:val="16"/>
          <w:szCs w:val="16"/>
        </w:rPr>
        <w:footnoteRef/>
      </w:r>
      <w:r w:rsidRPr="00284DA5">
        <w:rPr>
          <w:sz w:val="16"/>
          <w:szCs w:val="16"/>
        </w:rPr>
        <w:t xml:space="preserve"> V nových smlouvách jsou zahrnuty i</w:t>
      </w:r>
      <w:r>
        <w:rPr>
          <w:sz w:val="16"/>
          <w:szCs w:val="16"/>
        </w:rPr>
        <w:t> </w:t>
      </w:r>
      <w:r w:rsidRPr="00284DA5">
        <w:rPr>
          <w:sz w:val="16"/>
          <w:szCs w:val="16"/>
        </w:rPr>
        <w:t>refinancované úvěry a</w:t>
      </w:r>
      <w:r>
        <w:rPr>
          <w:sz w:val="16"/>
          <w:szCs w:val="16"/>
        </w:rPr>
        <w:t> </w:t>
      </w:r>
      <w:r w:rsidRPr="00284DA5">
        <w:rPr>
          <w:sz w:val="16"/>
          <w:szCs w:val="16"/>
        </w:rPr>
        <w:t>ostatní ujednání (v</w:t>
      </w:r>
      <w:r>
        <w:rPr>
          <w:sz w:val="16"/>
          <w:szCs w:val="16"/>
        </w:rPr>
        <w:t> </w:t>
      </w:r>
      <w:r w:rsidRPr="00284DA5">
        <w:rPr>
          <w:sz w:val="16"/>
          <w:szCs w:val="16"/>
        </w:rPr>
        <w:t>posledním roce zejména odklady splátek).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CD7E9E" w:rsidRDefault="00CD7E9E" w:rsidP="00937AE2">
    <w:pPr>
      <w:pStyle w:val="Zhlav"/>
    </w:pPr>
    <w:r>
      <w:t>Vývoj ekonomiky České republiky</w:t>
    </w:r>
  </w:p>
  <w:p w14:paraId="3E881AB3" w14:textId="77777777" w:rsidR="00CD7E9E" w:rsidRPr="006F5416" w:rsidRDefault="00CD7E9E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CD7E9E" w:rsidRDefault="00CD7E9E" w:rsidP="00937AE2">
    <w:pPr>
      <w:pStyle w:val="Zhlav"/>
    </w:pPr>
    <w:r>
      <w:t>Vývoj ekonomiky České republiky</w:t>
    </w:r>
  </w:p>
  <w:p w14:paraId="57266714" w14:textId="77777777" w:rsidR="00CD7E9E" w:rsidRPr="006F5416" w:rsidRDefault="00CD7E9E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6"/>
  </w:num>
  <w:num w:numId="14">
    <w:abstractNumId w:val="13"/>
  </w:num>
  <w:num w:numId="15">
    <w:abstractNumId w:val="19"/>
  </w:num>
  <w:num w:numId="16">
    <w:abstractNumId w:val="15"/>
  </w:num>
  <w:num w:numId="17">
    <w:abstractNumId w:val="27"/>
  </w:num>
  <w:num w:numId="18">
    <w:abstractNumId w:val="20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6"/>
  </w:num>
  <w:num w:numId="24">
    <w:abstractNumId w:val="17"/>
  </w:num>
  <w:num w:numId="25">
    <w:abstractNumId w:val="12"/>
  </w:num>
  <w:num w:numId="26">
    <w:abstractNumId w:val="22"/>
  </w:num>
  <w:num w:numId="27">
    <w:abstractNumId w:val="21"/>
  </w:num>
  <w:num w:numId="28">
    <w:abstractNumId w:val="10"/>
  </w:num>
  <w:num w:numId="29">
    <w:abstractNumId w:val="29"/>
  </w:num>
  <w:num w:numId="30">
    <w:abstractNumId w:val="23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33F"/>
    <w:rsid w:val="00065348"/>
    <w:rsid w:val="0006551C"/>
    <w:rsid w:val="00065A75"/>
    <w:rsid w:val="000663F0"/>
    <w:rsid w:val="00066558"/>
    <w:rsid w:val="000671DB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A2C"/>
    <w:rsid w:val="000A3D9E"/>
    <w:rsid w:val="000A4A54"/>
    <w:rsid w:val="000A4ED9"/>
    <w:rsid w:val="000A5DB7"/>
    <w:rsid w:val="000A6753"/>
    <w:rsid w:val="000A6D94"/>
    <w:rsid w:val="000A7377"/>
    <w:rsid w:val="000A74A4"/>
    <w:rsid w:val="000A775A"/>
    <w:rsid w:val="000A7FF4"/>
    <w:rsid w:val="000B03CC"/>
    <w:rsid w:val="000B4212"/>
    <w:rsid w:val="000B67B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D0A26"/>
    <w:rsid w:val="000D13CB"/>
    <w:rsid w:val="000D2196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3F3B"/>
    <w:rsid w:val="000F4721"/>
    <w:rsid w:val="000F47E8"/>
    <w:rsid w:val="000F70E4"/>
    <w:rsid w:val="000F76EA"/>
    <w:rsid w:val="00100A8B"/>
    <w:rsid w:val="00100F5C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1573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35111"/>
    <w:rsid w:val="00136A6F"/>
    <w:rsid w:val="00136C1A"/>
    <w:rsid w:val="001405FA"/>
    <w:rsid w:val="00140D1A"/>
    <w:rsid w:val="00141184"/>
    <w:rsid w:val="00141315"/>
    <w:rsid w:val="00141AA0"/>
    <w:rsid w:val="001425C3"/>
    <w:rsid w:val="0014262D"/>
    <w:rsid w:val="00142B29"/>
    <w:rsid w:val="00144108"/>
    <w:rsid w:val="00144588"/>
    <w:rsid w:val="001447DD"/>
    <w:rsid w:val="00145358"/>
    <w:rsid w:val="001459BC"/>
    <w:rsid w:val="00150ECA"/>
    <w:rsid w:val="00151707"/>
    <w:rsid w:val="00152C86"/>
    <w:rsid w:val="00152F4F"/>
    <w:rsid w:val="0015329F"/>
    <w:rsid w:val="001544A1"/>
    <w:rsid w:val="001553B8"/>
    <w:rsid w:val="001554C2"/>
    <w:rsid w:val="001571C0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4CA1"/>
    <w:rsid w:val="00165313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C22"/>
    <w:rsid w:val="00186BA9"/>
    <w:rsid w:val="00187D50"/>
    <w:rsid w:val="0019196C"/>
    <w:rsid w:val="001926A9"/>
    <w:rsid w:val="00192F05"/>
    <w:rsid w:val="00194729"/>
    <w:rsid w:val="00194850"/>
    <w:rsid w:val="00195234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B0738"/>
    <w:rsid w:val="001B1235"/>
    <w:rsid w:val="001B158D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B24"/>
    <w:rsid w:val="001C1B66"/>
    <w:rsid w:val="001C1BB5"/>
    <w:rsid w:val="001C2732"/>
    <w:rsid w:val="001C31A2"/>
    <w:rsid w:val="001C351D"/>
    <w:rsid w:val="001C3794"/>
    <w:rsid w:val="001C4B8F"/>
    <w:rsid w:val="001C4BB8"/>
    <w:rsid w:val="001C4FD0"/>
    <w:rsid w:val="001C544D"/>
    <w:rsid w:val="001C5E46"/>
    <w:rsid w:val="001C6B3B"/>
    <w:rsid w:val="001C7A26"/>
    <w:rsid w:val="001C7E3F"/>
    <w:rsid w:val="001D0EF1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7EFD"/>
    <w:rsid w:val="001D7F60"/>
    <w:rsid w:val="001E085B"/>
    <w:rsid w:val="001E149B"/>
    <w:rsid w:val="001E15CB"/>
    <w:rsid w:val="001E3306"/>
    <w:rsid w:val="001E504C"/>
    <w:rsid w:val="001E56AC"/>
    <w:rsid w:val="001E5A17"/>
    <w:rsid w:val="001E74C5"/>
    <w:rsid w:val="001F1236"/>
    <w:rsid w:val="001F2F90"/>
    <w:rsid w:val="001F4597"/>
    <w:rsid w:val="001F4826"/>
    <w:rsid w:val="001F4933"/>
    <w:rsid w:val="001F59C8"/>
    <w:rsid w:val="001F6CD3"/>
    <w:rsid w:val="001F75DA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0CF"/>
    <w:rsid w:val="002071D5"/>
    <w:rsid w:val="002111E5"/>
    <w:rsid w:val="0021149E"/>
    <w:rsid w:val="002118B9"/>
    <w:rsid w:val="00213691"/>
    <w:rsid w:val="002142C0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DEF"/>
    <w:rsid w:val="002763A2"/>
    <w:rsid w:val="00276B33"/>
    <w:rsid w:val="00277669"/>
    <w:rsid w:val="002803A5"/>
    <w:rsid w:val="00280ACB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509B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E4C"/>
    <w:rsid w:val="002E4EA7"/>
    <w:rsid w:val="002E5846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F89"/>
    <w:rsid w:val="0035506D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624C"/>
    <w:rsid w:val="00367F84"/>
    <w:rsid w:val="003712BC"/>
    <w:rsid w:val="00372164"/>
    <w:rsid w:val="003738BD"/>
    <w:rsid w:val="00374263"/>
    <w:rsid w:val="003746F0"/>
    <w:rsid w:val="00374A20"/>
    <w:rsid w:val="00374E21"/>
    <w:rsid w:val="0037537A"/>
    <w:rsid w:val="00377B2E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E8"/>
    <w:rsid w:val="003C3D2C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EF8"/>
    <w:rsid w:val="003E2DFB"/>
    <w:rsid w:val="003E4466"/>
    <w:rsid w:val="003E4C91"/>
    <w:rsid w:val="003E52D8"/>
    <w:rsid w:val="003E62F1"/>
    <w:rsid w:val="003E6F84"/>
    <w:rsid w:val="003F313C"/>
    <w:rsid w:val="003F33B1"/>
    <w:rsid w:val="003F33B9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23623"/>
    <w:rsid w:val="0042470E"/>
    <w:rsid w:val="00425352"/>
    <w:rsid w:val="00426C99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6FE5"/>
    <w:rsid w:val="00457490"/>
    <w:rsid w:val="0045786C"/>
    <w:rsid w:val="00457953"/>
    <w:rsid w:val="004604D8"/>
    <w:rsid w:val="00460656"/>
    <w:rsid w:val="00460FB3"/>
    <w:rsid w:val="00463D3C"/>
    <w:rsid w:val="00464851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D31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19E2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63"/>
    <w:rsid w:val="005A0948"/>
    <w:rsid w:val="005A0A03"/>
    <w:rsid w:val="005A10F2"/>
    <w:rsid w:val="005A16C0"/>
    <w:rsid w:val="005A2156"/>
    <w:rsid w:val="005A21E0"/>
    <w:rsid w:val="005A28FF"/>
    <w:rsid w:val="005A2C09"/>
    <w:rsid w:val="005A3778"/>
    <w:rsid w:val="005A37B0"/>
    <w:rsid w:val="005A3DF8"/>
    <w:rsid w:val="005A5549"/>
    <w:rsid w:val="005A566A"/>
    <w:rsid w:val="005A7ABD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6F0"/>
    <w:rsid w:val="005F6D7F"/>
    <w:rsid w:val="005F7174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B77"/>
    <w:rsid w:val="0062131B"/>
    <w:rsid w:val="00621E26"/>
    <w:rsid w:val="006224EA"/>
    <w:rsid w:val="0062263A"/>
    <w:rsid w:val="006227DF"/>
    <w:rsid w:val="006236C8"/>
    <w:rsid w:val="00624093"/>
    <w:rsid w:val="00625A84"/>
    <w:rsid w:val="00626079"/>
    <w:rsid w:val="0062625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41CD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0F6B"/>
    <w:rsid w:val="007D14FE"/>
    <w:rsid w:val="007D1A1F"/>
    <w:rsid w:val="007D213B"/>
    <w:rsid w:val="007D2E18"/>
    <w:rsid w:val="007D40DF"/>
    <w:rsid w:val="007D42E5"/>
    <w:rsid w:val="007D4458"/>
    <w:rsid w:val="007D6AF9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42A"/>
    <w:rsid w:val="00874FE8"/>
    <w:rsid w:val="00875A32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1717"/>
    <w:rsid w:val="008C17F0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E0001"/>
    <w:rsid w:val="008E039E"/>
    <w:rsid w:val="008E292B"/>
    <w:rsid w:val="008E2C57"/>
    <w:rsid w:val="008E31FF"/>
    <w:rsid w:val="008E3287"/>
    <w:rsid w:val="008E38E4"/>
    <w:rsid w:val="008E3DFA"/>
    <w:rsid w:val="008E51EB"/>
    <w:rsid w:val="008E5746"/>
    <w:rsid w:val="008E6DCB"/>
    <w:rsid w:val="008E6F06"/>
    <w:rsid w:val="008E7000"/>
    <w:rsid w:val="008E723E"/>
    <w:rsid w:val="008E7B8E"/>
    <w:rsid w:val="008E7FC9"/>
    <w:rsid w:val="008F0107"/>
    <w:rsid w:val="008F029B"/>
    <w:rsid w:val="008F0589"/>
    <w:rsid w:val="008F2A5D"/>
    <w:rsid w:val="008F2BC7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476D"/>
    <w:rsid w:val="00915D07"/>
    <w:rsid w:val="009162AE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1D45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CAB"/>
    <w:rsid w:val="009A2359"/>
    <w:rsid w:val="009A24F1"/>
    <w:rsid w:val="009A27E0"/>
    <w:rsid w:val="009A4D57"/>
    <w:rsid w:val="009A51A5"/>
    <w:rsid w:val="009A530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53D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731E"/>
    <w:rsid w:val="00A309AC"/>
    <w:rsid w:val="00A30F65"/>
    <w:rsid w:val="00A3279E"/>
    <w:rsid w:val="00A33DB1"/>
    <w:rsid w:val="00A33EEB"/>
    <w:rsid w:val="00A35900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776"/>
    <w:rsid w:val="00AF6F98"/>
    <w:rsid w:val="00AF7277"/>
    <w:rsid w:val="00B00550"/>
    <w:rsid w:val="00B00913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63B"/>
    <w:rsid w:val="00B36BDC"/>
    <w:rsid w:val="00B37D3A"/>
    <w:rsid w:val="00B37D96"/>
    <w:rsid w:val="00B402FC"/>
    <w:rsid w:val="00B422E2"/>
    <w:rsid w:val="00B42517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100"/>
    <w:rsid w:val="00B7680F"/>
    <w:rsid w:val="00B76B48"/>
    <w:rsid w:val="00B76D1E"/>
    <w:rsid w:val="00B77543"/>
    <w:rsid w:val="00B77584"/>
    <w:rsid w:val="00B77E3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4DA9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7FC"/>
    <w:rsid w:val="00C006D6"/>
    <w:rsid w:val="00C00BD7"/>
    <w:rsid w:val="00C01410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1244"/>
    <w:rsid w:val="00C11D48"/>
    <w:rsid w:val="00C12304"/>
    <w:rsid w:val="00C12316"/>
    <w:rsid w:val="00C1246C"/>
    <w:rsid w:val="00C1493E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672C1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EB6"/>
    <w:rsid w:val="00C93389"/>
    <w:rsid w:val="00C948E6"/>
    <w:rsid w:val="00C94CDD"/>
    <w:rsid w:val="00C95123"/>
    <w:rsid w:val="00C97588"/>
    <w:rsid w:val="00CA0346"/>
    <w:rsid w:val="00CA0DA1"/>
    <w:rsid w:val="00CA1BD6"/>
    <w:rsid w:val="00CA37FF"/>
    <w:rsid w:val="00CA423A"/>
    <w:rsid w:val="00CA47BC"/>
    <w:rsid w:val="00CA5EAD"/>
    <w:rsid w:val="00CA6AB4"/>
    <w:rsid w:val="00CA7255"/>
    <w:rsid w:val="00CB111E"/>
    <w:rsid w:val="00CB1BEE"/>
    <w:rsid w:val="00CB2351"/>
    <w:rsid w:val="00CB4022"/>
    <w:rsid w:val="00CB4930"/>
    <w:rsid w:val="00CB4BA9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D7E9E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62FA"/>
    <w:rsid w:val="00CE670B"/>
    <w:rsid w:val="00CE6833"/>
    <w:rsid w:val="00CF020B"/>
    <w:rsid w:val="00CF15BF"/>
    <w:rsid w:val="00CF2E4D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3F3E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0FA7"/>
    <w:rsid w:val="00D61FAB"/>
    <w:rsid w:val="00D63BE5"/>
    <w:rsid w:val="00D6475F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5302"/>
    <w:rsid w:val="00D95889"/>
    <w:rsid w:val="00D95C5D"/>
    <w:rsid w:val="00D97D00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3E5D"/>
    <w:rsid w:val="00DE450F"/>
    <w:rsid w:val="00DE4865"/>
    <w:rsid w:val="00DE5CA6"/>
    <w:rsid w:val="00DE5E55"/>
    <w:rsid w:val="00DE7156"/>
    <w:rsid w:val="00DE7AC8"/>
    <w:rsid w:val="00DF0830"/>
    <w:rsid w:val="00DF2C5D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5BBB"/>
    <w:rsid w:val="00E3634A"/>
    <w:rsid w:val="00E3656B"/>
    <w:rsid w:val="00E3712B"/>
    <w:rsid w:val="00E3724A"/>
    <w:rsid w:val="00E378B1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2618"/>
    <w:rsid w:val="00E82A42"/>
    <w:rsid w:val="00E84E09"/>
    <w:rsid w:val="00E87CE2"/>
    <w:rsid w:val="00E90CA8"/>
    <w:rsid w:val="00E911C6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3E60"/>
    <w:rsid w:val="00EB4511"/>
    <w:rsid w:val="00EB48D7"/>
    <w:rsid w:val="00EB49F1"/>
    <w:rsid w:val="00EB4A8E"/>
    <w:rsid w:val="00EB4BC5"/>
    <w:rsid w:val="00EB5BF7"/>
    <w:rsid w:val="00EB5E79"/>
    <w:rsid w:val="00EB6FAC"/>
    <w:rsid w:val="00EB7BAC"/>
    <w:rsid w:val="00EB7CC9"/>
    <w:rsid w:val="00EC03D7"/>
    <w:rsid w:val="00EC13A7"/>
    <w:rsid w:val="00EC2EB6"/>
    <w:rsid w:val="00EC4FFF"/>
    <w:rsid w:val="00EC5517"/>
    <w:rsid w:val="00EC6E8C"/>
    <w:rsid w:val="00ED0EF0"/>
    <w:rsid w:val="00ED12B9"/>
    <w:rsid w:val="00ED16B8"/>
    <w:rsid w:val="00ED1959"/>
    <w:rsid w:val="00ED1A00"/>
    <w:rsid w:val="00ED1DF0"/>
    <w:rsid w:val="00ED2386"/>
    <w:rsid w:val="00ED2EA1"/>
    <w:rsid w:val="00ED3851"/>
    <w:rsid w:val="00ED3E51"/>
    <w:rsid w:val="00ED3F10"/>
    <w:rsid w:val="00ED3F9B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75D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A4D"/>
    <w:rsid w:val="00F91B66"/>
    <w:rsid w:val="00F93688"/>
    <w:rsid w:val="00F939F3"/>
    <w:rsid w:val="00F93C6E"/>
    <w:rsid w:val="00F93F2C"/>
    <w:rsid w:val="00F962AD"/>
    <w:rsid w:val="00F9644E"/>
    <w:rsid w:val="00FA0105"/>
    <w:rsid w:val="00FA05A0"/>
    <w:rsid w:val="00FA0AEF"/>
    <w:rsid w:val="00FA17CC"/>
    <w:rsid w:val="00FA1CFE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916"/>
    <w:rsid w:val="00FD4D12"/>
    <w:rsid w:val="00FD4F73"/>
    <w:rsid w:val="00FD595E"/>
    <w:rsid w:val="00FD7802"/>
    <w:rsid w:val="00FD7D3B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1136"/>
    <w:rsid w:val="00FF3D76"/>
    <w:rsid w:val="00FF5B8C"/>
    <w:rsid w:val="00FF63E6"/>
    <w:rsid w:val="00FF72D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36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ntTable" Target="fontTable.xml"/><Relationship Id="rId35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&#253;za\Q\2021Q4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581433637284705E-2"/>
          <c:y val="2.1711264016309892E-2"/>
          <c:w val="0.93508633063154345"/>
          <c:h val="0.731303613644050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'Měnové podmínky 1'!$C$5</c:f>
              <c:strCache>
                <c:ptCount val="1"/>
                <c:pt idx="0">
                  <c:v>2T repo sazba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multiLvlStrRef>
              <c:f>'Měnové podmínky 1'!$A$54:$B$125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  <c:pt idx="60">
                    <c:v>2021</c:v>
                  </c:pt>
                </c:lvl>
              </c:multiLvlStrCache>
            </c:multiLvlStrRef>
          </c:cat>
          <c:val>
            <c:numRef>
              <c:f>'Měnové podmínky 1'!$C$54:$C$125</c:f>
              <c:numCache>
                <c:formatCode>General</c:formatCode>
                <c:ptCount val="72"/>
                <c:pt idx="0">
                  <c:v>0.05</c:v>
                </c:pt>
                <c:pt idx="1">
                  <c:v>0.05</c:v>
                </c:pt>
                <c:pt idx="2">
                  <c:v>0.05</c:v>
                </c:pt>
                <c:pt idx="3">
                  <c:v>0.05</c:v>
                </c:pt>
                <c:pt idx="4">
                  <c:v>0.05</c:v>
                </c:pt>
                <c:pt idx="5">
                  <c:v>0.05</c:v>
                </c:pt>
                <c:pt idx="6">
                  <c:v>0.05</c:v>
                </c:pt>
                <c:pt idx="7">
                  <c:v>0.05</c:v>
                </c:pt>
                <c:pt idx="8">
                  <c:v>0.05</c:v>
                </c:pt>
                <c:pt idx="9">
                  <c:v>0.05</c:v>
                </c:pt>
                <c:pt idx="10">
                  <c:v>0.05</c:v>
                </c:pt>
                <c:pt idx="11">
                  <c:v>0.05</c:v>
                </c:pt>
                <c:pt idx="12">
                  <c:v>0.05</c:v>
                </c:pt>
                <c:pt idx="13">
                  <c:v>0.05</c:v>
                </c:pt>
                <c:pt idx="14">
                  <c:v>0.05</c:v>
                </c:pt>
                <c:pt idx="15">
                  <c:v>0.05</c:v>
                </c:pt>
                <c:pt idx="16">
                  <c:v>0.05</c:v>
                </c:pt>
                <c:pt idx="17">
                  <c:v>0.05</c:v>
                </c:pt>
                <c:pt idx="18">
                  <c:v>0.05</c:v>
                </c:pt>
                <c:pt idx="19">
                  <c:v>0.25</c:v>
                </c:pt>
                <c:pt idx="20">
                  <c:v>0.25</c:v>
                </c:pt>
                <c:pt idx="21">
                  <c:v>0.25</c:v>
                </c:pt>
                <c:pt idx="22">
                  <c:v>0.5</c:v>
                </c:pt>
                <c:pt idx="23">
                  <c:v>0.5</c:v>
                </c:pt>
                <c:pt idx="24">
                  <c:v>0.5</c:v>
                </c:pt>
                <c:pt idx="25">
                  <c:v>0.75</c:v>
                </c:pt>
                <c:pt idx="26">
                  <c:v>0.75</c:v>
                </c:pt>
                <c:pt idx="27">
                  <c:v>0.75</c:v>
                </c:pt>
                <c:pt idx="28">
                  <c:v>0.75</c:v>
                </c:pt>
                <c:pt idx="29">
                  <c:v>1</c:v>
                </c:pt>
                <c:pt idx="30">
                  <c:v>1</c:v>
                </c:pt>
                <c:pt idx="31">
                  <c:v>1.25</c:v>
                </c:pt>
                <c:pt idx="32">
                  <c:v>1.5</c:v>
                </c:pt>
                <c:pt idx="33">
                  <c:v>1.5</c:v>
                </c:pt>
                <c:pt idx="34">
                  <c:v>1.75</c:v>
                </c:pt>
                <c:pt idx="35">
                  <c:v>1.75</c:v>
                </c:pt>
                <c:pt idx="36">
                  <c:v>1.75</c:v>
                </c:pt>
                <c:pt idx="37">
                  <c:v>1.75</c:v>
                </c:pt>
                <c:pt idx="38">
                  <c:v>1.75</c:v>
                </c:pt>
                <c:pt idx="39">
                  <c:v>1.75</c:v>
                </c:pt>
                <c:pt idx="40">
                  <c:v>2</c:v>
                </c:pt>
                <c:pt idx="41">
                  <c:v>2</c:v>
                </c:pt>
                <c:pt idx="42">
                  <c:v>2</c:v>
                </c:pt>
                <c:pt idx="43">
                  <c:v>2</c:v>
                </c:pt>
                <c:pt idx="44">
                  <c:v>2</c:v>
                </c:pt>
                <c:pt idx="45">
                  <c:v>2</c:v>
                </c:pt>
                <c:pt idx="46">
                  <c:v>2</c:v>
                </c:pt>
                <c:pt idx="47">
                  <c:v>2</c:v>
                </c:pt>
                <c:pt idx="48">
                  <c:v>2</c:v>
                </c:pt>
                <c:pt idx="49">
                  <c:v>2.25</c:v>
                </c:pt>
                <c:pt idx="50">
                  <c:v>1</c:v>
                </c:pt>
                <c:pt idx="51">
                  <c:v>1</c:v>
                </c:pt>
                <c:pt idx="52">
                  <c:v>0.25</c:v>
                </c:pt>
                <c:pt idx="53">
                  <c:v>0.25</c:v>
                </c:pt>
                <c:pt idx="54">
                  <c:v>0.25</c:v>
                </c:pt>
                <c:pt idx="55">
                  <c:v>0.25</c:v>
                </c:pt>
                <c:pt idx="56">
                  <c:v>0.25</c:v>
                </c:pt>
                <c:pt idx="57">
                  <c:v>0.25</c:v>
                </c:pt>
                <c:pt idx="58">
                  <c:v>0.25</c:v>
                </c:pt>
                <c:pt idx="59">
                  <c:v>0.25</c:v>
                </c:pt>
                <c:pt idx="60">
                  <c:v>0.25</c:v>
                </c:pt>
                <c:pt idx="61">
                  <c:v>0.25</c:v>
                </c:pt>
                <c:pt idx="62">
                  <c:v>0.25</c:v>
                </c:pt>
                <c:pt idx="63">
                  <c:v>0.25</c:v>
                </c:pt>
                <c:pt idx="64">
                  <c:v>0.25</c:v>
                </c:pt>
                <c:pt idx="65">
                  <c:v>0.5</c:v>
                </c:pt>
                <c:pt idx="66">
                  <c:v>0.5</c:v>
                </c:pt>
                <c:pt idx="67">
                  <c:v>0.75</c:v>
                </c:pt>
                <c:pt idx="68">
                  <c:v>0.75</c:v>
                </c:pt>
                <c:pt idx="69">
                  <c:v>1.5</c:v>
                </c:pt>
                <c:pt idx="70">
                  <c:v>2.75</c:v>
                </c:pt>
                <c:pt idx="71">
                  <c:v>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6D-44C9-9CA3-0572426988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271742464"/>
        <c:axId val="271744000"/>
      </c:barChart>
      <c:lineChart>
        <c:grouping val="standard"/>
        <c:varyColors val="0"/>
        <c:ser>
          <c:idx val="3"/>
          <c:order val="1"/>
          <c:tx>
            <c:strRef>
              <c:f>'Měnové podmínky 1'!$F$5</c:f>
              <c:strCache>
                <c:ptCount val="1"/>
                <c:pt idx="0">
                  <c:v>Průměrný výnos státních dluhopisů (2Y)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'Měnové podmínky 1'!$A$54:$B$125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  <c:pt idx="60">
                    <c:v>2021</c:v>
                  </c:pt>
                </c:lvl>
              </c:multiLvlStrCache>
            </c:multiLvlStrRef>
          </c:cat>
          <c:val>
            <c:numRef>
              <c:f>'Měnové podmínky 1'!$F$54:$F$125</c:f>
              <c:numCache>
                <c:formatCode>General</c:formatCode>
                <c:ptCount val="72"/>
                <c:pt idx="0">
                  <c:v>-0.21</c:v>
                </c:pt>
                <c:pt idx="1">
                  <c:v>-0.18</c:v>
                </c:pt>
                <c:pt idx="2">
                  <c:v>-0.17</c:v>
                </c:pt>
                <c:pt idx="3">
                  <c:v>-0.08</c:v>
                </c:pt>
                <c:pt idx="4">
                  <c:v>-0.04</c:v>
                </c:pt>
                <c:pt idx="5">
                  <c:v>-0.05</c:v>
                </c:pt>
                <c:pt idx="6">
                  <c:v>-0.13</c:v>
                </c:pt>
                <c:pt idx="7">
                  <c:v>-0.22</c:v>
                </c:pt>
                <c:pt idx="8">
                  <c:v>-0.5</c:v>
                </c:pt>
                <c:pt idx="9">
                  <c:v>-0.74</c:v>
                </c:pt>
                <c:pt idx="10">
                  <c:v>-0.73</c:v>
                </c:pt>
                <c:pt idx="11">
                  <c:v>-0.81</c:v>
                </c:pt>
                <c:pt idx="12">
                  <c:v>-0.88</c:v>
                </c:pt>
                <c:pt idx="13">
                  <c:v>-0.53</c:v>
                </c:pt>
                <c:pt idx="14">
                  <c:v>-0.44</c:v>
                </c:pt>
                <c:pt idx="15">
                  <c:v>-0.23</c:v>
                </c:pt>
                <c:pt idx="16">
                  <c:v>-0.24</c:v>
                </c:pt>
                <c:pt idx="17">
                  <c:v>-0.25</c:v>
                </c:pt>
                <c:pt idx="18">
                  <c:v>-0.28999999999999998</c:v>
                </c:pt>
                <c:pt idx="19">
                  <c:v>-0.33</c:v>
                </c:pt>
                <c:pt idx="20">
                  <c:v>-0.28999999999999998</c:v>
                </c:pt>
                <c:pt idx="21">
                  <c:v>0.12</c:v>
                </c:pt>
                <c:pt idx="22">
                  <c:v>0.31</c:v>
                </c:pt>
                <c:pt idx="23">
                  <c:v>0.19</c:v>
                </c:pt>
                <c:pt idx="24">
                  <c:v>0.46</c:v>
                </c:pt>
                <c:pt idx="25">
                  <c:v>0.55000000000000004</c:v>
                </c:pt>
                <c:pt idx="26">
                  <c:v>0.62</c:v>
                </c:pt>
                <c:pt idx="27">
                  <c:v>0.6</c:v>
                </c:pt>
                <c:pt idx="28">
                  <c:v>0.7</c:v>
                </c:pt>
                <c:pt idx="29">
                  <c:v>0.89</c:v>
                </c:pt>
                <c:pt idx="30">
                  <c:v>1.0900000000000001</c:v>
                </c:pt>
                <c:pt idx="31">
                  <c:v>1.26</c:v>
                </c:pt>
                <c:pt idx="32">
                  <c:v>1.34</c:v>
                </c:pt>
                <c:pt idx="33">
                  <c:v>1.44</c:v>
                </c:pt>
                <c:pt idx="34">
                  <c:v>1.49</c:v>
                </c:pt>
                <c:pt idx="35">
                  <c:v>1.52</c:v>
                </c:pt>
                <c:pt idx="36">
                  <c:v>1.66</c:v>
                </c:pt>
                <c:pt idx="37">
                  <c:v>1.74</c:v>
                </c:pt>
                <c:pt idx="38">
                  <c:v>1.71</c:v>
                </c:pt>
                <c:pt idx="39">
                  <c:v>1.63</c:v>
                </c:pt>
                <c:pt idx="40">
                  <c:v>1.62</c:v>
                </c:pt>
                <c:pt idx="41">
                  <c:v>1.52</c:v>
                </c:pt>
                <c:pt idx="42">
                  <c:v>1.35</c:v>
                </c:pt>
                <c:pt idx="43">
                  <c:v>0.85</c:v>
                </c:pt>
                <c:pt idx="44">
                  <c:v>1.07</c:v>
                </c:pt>
                <c:pt idx="45">
                  <c:v>1.17</c:v>
                </c:pt>
                <c:pt idx="46">
                  <c:v>1.33</c:v>
                </c:pt>
                <c:pt idx="47">
                  <c:v>1.36</c:v>
                </c:pt>
                <c:pt idx="48">
                  <c:v>1.55</c:v>
                </c:pt>
                <c:pt idx="49">
                  <c:v>1.57</c:v>
                </c:pt>
                <c:pt idx="50">
                  <c:v>1.27</c:v>
                </c:pt>
                <c:pt idx="51">
                  <c:v>0.71</c:v>
                </c:pt>
                <c:pt idx="52">
                  <c:v>0.13</c:v>
                </c:pt>
                <c:pt idx="53">
                  <c:v>0.08</c:v>
                </c:pt>
                <c:pt idx="54">
                  <c:v>0.02</c:v>
                </c:pt>
                <c:pt idx="55">
                  <c:v>0.04</c:v>
                </c:pt>
                <c:pt idx="56">
                  <c:v>0.05</c:v>
                </c:pt>
                <c:pt idx="57">
                  <c:v>0</c:v>
                </c:pt>
                <c:pt idx="58">
                  <c:v>0.06</c:v>
                </c:pt>
                <c:pt idx="59">
                  <c:v>0.16</c:v>
                </c:pt>
                <c:pt idx="60">
                  <c:v>0.26</c:v>
                </c:pt>
                <c:pt idx="61">
                  <c:v>0.45</c:v>
                </c:pt>
                <c:pt idx="62">
                  <c:v>0.75</c:v>
                </c:pt>
                <c:pt idx="63">
                  <c:v>0.76</c:v>
                </c:pt>
                <c:pt idx="64">
                  <c:v>0.76</c:v>
                </c:pt>
                <c:pt idx="65">
                  <c:v>0.69</c:v>
                </c:pt>
                <c:pt idx="66">
                  <c:v>0.84</c:v>
                </c:pt>
                <c:pt idx="67">
                  <c:v>1.24</c:v>
                </c:pt>
                <c:pt idx="68">
                  <c:v>1.6</c:v>
                </c:pt>
                <c:pt idx="69">
                  <c:v>2.29</c:v>
                </c:pt>
                <c:pt idx="70">
                  <c:v>3</c:v>
                </c:pt>
                <c:pt idx="71">
                  <c:v>3.07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06D-44C9-9CA3-057242698866}"/>
            </c:ext>
          </c:extLst>
        </c:ser>
        <c:ser>
          <c:idx val="1"/>
          <c:order val="2"/>
          <c:tx>
            <c:strRef>
              <c:f>'Měnové podmínky 1'!$D$5</c:f>
              <c:strCache>
                <c:ptCount val="1"/>
                <c:pt idx="0">
                  <c:v>PRIBOR (3M)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'Měnové podmínky 1'!$A$54:$B$125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  <c:pt idx="60">
                    <c:v>2021</c:v>
                  </c:pt>
                </c:lvl>
              </c:multiLvlStrCache>
            </c:multiLvlStrRef>
          </c:cat>
          <c:val>
            <c:numRef>
              <c:f>'Měnové podmínky 1'!$D$54:$D$125</c:f>
              <c:numCache>
                <c:formatCode>General</c:formatCode>
                <c:ptCount val="72"/>
                <c:pt idx="0">
                  <c:v>0.28999999999999998</c:v>
                </c:pt>
                <c:pt idx="1">
                  <c:v>0.28000000000000003</c:v>
                </c:pt>
                <c:pt idx="2">
                  <c:v>0.28999999999999998</c:v>
                </c:pt>
                <c:pt idx="3">
                  <c:v>0.28999999999999998</c:v>
                </c:pt>
                <c:pt idx="4">
                  <c:v>0.28999999999999998</c:v>
                </c:pt>
                <c:pt idx="5">
                  <c:v>0.28999999999999998</c:v>
                </c:pt>
                <c:pt idx="6">
                  <c:v>0.28999999999999998</c:v>
                </c:pt>
                <c:pt idx="7">
                  <c:v>0.28999999999999998</c:v>
                </c:pt>
                <c:pt idx="8">
                  <c:v>0.28999999999999998</c:v>
                </c:pt>
                <c:pt idx="9">
                  <c:v>0.28999999999999998</c:v>
                </c:pt>
                <c:pt idx="10">
                  <c:v>0.28999999999999998</c:v>
                </c:pt>
                <c:pt idx="11">
                  <c:v>0.28999999999999998</c:v>
                </c:pt>
                <c:pt idx="12">
                  <c:v>0.28000000000000003</c:v>
                </c:pt>
                <c:pt idx="13">
                  <c:v>0.28000000000000003</c:v>
                </c:pt>
                <c:pt idx="14">
                  <c:v>0.28000000000000003</c:v>
                </c:pt>
                <c:pt idx="15">
                  <c:v>0.28999999999999998</c:v>
                </c:pt>
                <c:pt idx="16">
                  <c:v>0.3</c:v>
                </c:pt>
                <c:pt idx="17">
                  <c:v>0.3</c:v>
                </c:pt>
                <c:pt idx="18">
                  <c:v>0.3</c:v>
                </c:pt>
                <c:pt idx="19">
                  <c:v>0.43</c:v>
                </c:pt>
                <c:pt idx="20">
                  <c:v>0.46</c:v>
                </c:pt>
                <c:pt idx="21">
                  <c:v>0.51</c:v>
                </c:pt>
                <c:pt idx="22">
                  <c:v>0.71</c:v>
                </c:pt>
                <c:pt idx="23">
                  <c:v>0.75</c:v>
                </c:pt>
                <c:pt idx="24">
                  <c:v>0.77</c:v>
                </c:pt>
                <c:pt idx="25">
                  <c:v>0.9</c:v>
                </c:pt>
                <c:pt idx="26">
                  <c:v>0.9</c:v>
                </c:pt>
                <c:pt idx="27">
                  <c:v>0.9</c:v>
                </c:pt>
                <c:pt idx="28">
                  <c:v>0.9</c:v>
                </c:pt>
                <c:pt idx="29">
                  <c:v>0.93</c:v>
                </c:pt>
                <c:pt idx="30">
                  <c:v>1.18</c:v>
                </c:pt>
                <c:pt idx="31">
                  <c:v>1.45</c:v>
                </c:pt>
                <c:pt idx="32">
                  <c:v>1.54</c:v>
                </c:pt>
                <c:pt idx="33">
                  <c:v>1.76</c:v>
                </c:pt>
                <c:pt idx="34">
                  <c:v>1.99</c:v>
                </c:pt>
                <c:pt idx="35">
                  <c:v>2.0099999999999998</c:v>
                </c:pt>
                <c:pt idx="36">
                  <c:v>2.0099999999999998</c:v>
                </c:pt>
                <c:pt idx="37">
                  <c:v>2.0099999999999998</c:v>
                </c:pt>
                <c:pt idx="38">
                  <c:v>2.0299999999999998</c:v>
                </c:pt>
                <c:pt idx="39">
                  <c:v>2.02</c:v>
                </c:pt>
                <c:pt idx="40">
                  <c:v>2.19</c:v>
                </c:pt>
                <c:pt idx="41">
                  <c:v>2.17</c:v>
                </c:pt>
                <c:pt idx="42">
                  <c:v>2.16</c:v>
                </c:pt>
                <c:pt idx="43">
                  <c:v>2.14</c:v>
                </c:pt>
                <c:pt idx="44">
                  <c:v>2.14</c:v>
                </c:pt>
                <c:pt idx="45">
                  <c:v>2.17</c:v>
                </c:pt>
                <c:pt idx="46">
                  <c:v>2.1800000000000002</c:v>
                </c:pt>
                <c:pt idx="47">
                  <c:v>2.1800000000000002</c:v>
                </c:pt>
                <c:pt idx="48">
                  <c:v>2.17</c:v>
                </c:pt>
                <c:pt idx="49">
                  <c:v>2.34</c:v>
                </c:pt>
                <c:pt idx="50">
                  <c:v>2</c:v>
                </c:pt>
                <c:pt idx="51">
                  <c:v>0.97</c:v>
                </c:pt>
                <c:pt idx="52">
                  <c:v>0.46</c:v>
                </c:pt>
                <c:pt idx="53">
                  <c:v>0.34</c:v>
                </c:pt>
                <c:pt idx="54">
                  <c:v>0.34</c:v>
                </c:pt>
                <c:pt idx="55">
                  <c:v>0.34</c:v>
                </c:pt>
                <c:pt idx="56">
                  <c:v>0.34</c:v>
                </c:pt>
                <c:pt idx="57">
                  <c:v>0.35</c:v>
                </c:pt>
                <c:pt idx="58">
                  <c:v>0.35</c:v>
                </c:pt>
                <c:pt idx="59">
                  <c:v>0.35</c:v>
                </c:pt>
                <c:pt idx="60">
                  <c:v>0.36</c:v>
                </c:pt>
                <c:pt idx="61">
                  <c:v>0.36</c:v>
                </c:pt>
                <c:pt idx="62">
                  <c:v>0.36</c:v>
                </c:pt>
                <c:pt idx="63">
                  <c:v>0.36</c:v>
                </c:pt>
                <c:pt idx="64">
                  <c:v>0.37</c:v>
                </c:pt>
                <c:pt idx="65">
                  <c:v>0.48</c:v>
                </c:pt>
                <c:pt idx="66">
                  <c:v>0.69</c:v>
                </c:pt>
                <c:pt idx="67">
                  <c:v>0.94</c:v>
                </c:pt>
                <c:pt idx="68">
                  <c:v>1.1100000000000001</c:v>
                </c:pt>
                <c:pt idx="69">
                  <c:v>2.02</c:v>
                </c:pt>
                <c:pt idx="70">
                  <c:v>2.97</c:v>
                </c:pt>
                <c:pt idx="71">
                  <c:v>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06D-44C9-9CA3-057242698866}"/>
            </c:ext>
          </c:extLst>
        </c:ser>
        <c:ser>
          <c:idx val="4"/>
          <c:order val="3"/>
          <c:tx>
            <c:strRef>
              <c:f>'Měnové podmínky 1'!$G$5</c:f>
              <c:strCache>
                <c:ptCount val="1"/>
                <c:pt idx="0">
                  <c:v>Průměrný výnos státních dluhopisů (5Y)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'Měnové podmínky 1'!$A$54:$B$125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  <c:pt idx="60">
                    <c:v>2021</c:v>
                  </c:pt>
                </c:lvl>
              </c:multiLvlStrCache>
            </c:multiLvlStrRef>
          </c:cat>
          <c:val>
            <c:numRef>
              <c:f>'Měnové podmínky 1'!$G$54:$G$125</c:f>
              <c:numCache>
                <c:formatCode>General</c:formatCode>
                <c:ptCount val="72"/>
                <c:pt idx="0">
                  <c:v>0.04</c:v>
                </c:pt>
                <c:pt idx="1">
                  <c:v>-0.08</c:v>
                </c:pt>
                <c:pt idx="2">
                  <c:v>-0.1</c:v>
                </c:pt>
                <c:pt idx="3">
                  <c:v>0.04</c:v>
                </c:pt>
                <c:pt idx="4">
                  <c:v>7.0000000000000007E-2</c:v>
                </c:pt>
                <c:pt idx="5">
                  <c:v>0.05</c:v>
                </c:pt>
                <c:pt idx="6">
                  <c:v>-0.02</c:v>
                </c:pt>
                <c:pt idx="7">
                  <c:v>-0.09</c:v>
                </c:pt>
                <c:pt idx="8">
                  <c:v>-0.19</c:v>
                </c:pt>
                <c:pt idx="9">
                  <c:v>-0.17</c:v>
                </c:pt>
                <c:pt idx="10">
                  <c:v>-0.17</c:v>
                </c:pt>
                <c:pt idx="11">
                  <c:v>-0.21</c:v>
                </c:pt>
                <c:pt idx="12">
                  <c:v>-0.22</c:v>
                </c:pt>
                <c:pt idx="13">
                  <c:v>0.09</c:v>
                </c:pt>
                <c:pt idx="14">
                  <c:v>0.1</c:v>
                </c:pt>
                <c:pt idx="15">
                  <c:v>0.16</c:v>
                </c:pt>
                <c:pt idx="16">
                  <c:v>0.04</c:v>
                </c:pt>
                <c:pt idx="17">
                  <c:v>-0.03</c:v>
                </c:pt>
                <c:pt idx="18">
                  <c:v>0.14000000000000001</c:v>
                </c:pt>
                <c:pt idx="19">
                  <c:v>0.09</c:v>
                </c:pt>
                <c:pt idx="20">
                  <c:v>0.1</c:v>
                </c:pt>
                <c:pt idx="21">
                  <c:v>0.63</c:v>
                </c:pt>
                <c:pt idx="22">
                  <c:v>0.87</c:v>
                </c:pt>
                <c:pt idx="23">
                  <c:v>0.68</c:v>
                </c:pt>
                <c:pt idx="24">
                  <c:v>0.99</c:v>
                </c:pt>
                <c:pt idx="25">
                  <c:v>1.07</c:v>
                </c:pt>
                <c:pt idx="26">
                  <c:v>1.0900000000000001</c:v>
                </c:pt>
                <c:pt idx="27">
                  <c:v>1.05</c:v>
                </c:pt>
                <c:pt idx="28">
                  <c:v>1.21</c:v>
                </c:pt>
                <c:pt idx="29">
                  <c:v>1.41</c:v>
                </c:pt>
                <c:pt idx="30">
                  <c:v>1.44</c:v>
                </c:pt>
                <c:pt idx="31">
                  <c:v>1.55</c:v>
                </c:pt>
                <c:pt idx="32">
                  <c:v>1.7</c:v>
                </c:pt>
                <c:pt idx="33">
                  <c:v>1.81</c:v>
                </c:pt>
                <c:pt idx="34">
                  <c:v>1.79</c:v>
                </c:pt>
                <c:pt idx="35">
                  <c:v>1.71</c:v>
                </c:pt>
                <c:pt idx="36">
                  <c:v>1.6</c:v>
                </c:pt>
                <c:pt idx="37">
                  <c:v>1.61</c:v>
                </c:pt>
                <c:pt idx="38">
                  <c:v>1.7</c:v>
                </c:pt>
                <c:pt idx="39">
                  <c:v>1.63</c:v>
                </c:pt>
                <c:pt idx="40">
                  <c:v>1.57</c:v>
                </c:pt>
                <c:pt idx="41">
                  <c:v>1.43</c:v>
                </c:pt>
                <c:pt idx="42">
                  <c:v>1.31</c:v>
                </c:pt>
                <c:pt idx="43">
                  <c:v>0.89</c:v>
                </c:pt>
                <c:pt idx="44">
                  <c:v>1.1299999999999999</c:v>
                </c:pt>
                <c:pt idx="45">
                  <c:v>1.23</c:v>
                </c:pt>
                <c:pt idx="46">
                  <c:v>1.32</c:v>
                </c:pt>
                <c:pt idx="47">
                  <c:v>1.31</c:v>
                </c:pt>
                <c:pt idx="48">
                  <c:v>1.51</c:v>
                </c:pt>
                <c:pt idx="49">
                  <c:v>1.52</c:v>
                </c:pt>
                <c:pt idx="50">
                  <c:v>1.23</c:v>
                </c:pt>
                <c:pt idx="51">
                  <c:v>1.06</c:v>
                </c:pt>
                <c:pt idx="52">
                  <c:v>0.56999999999999995</c:v>
                </c:pt>
                <c:pt idx="53">
                  <c:v>0.52</c:v>
                </c:pt>
                <c:pt idx="54">
                  <c:v>0.52</c:v>
                </c:pt>
                <c:pt idx="55">
                  <c:v>0.57999999999999996</c:v>
                </c:pt>
                <c:pt idx="56">
                  <c:v>0.57999999999999996</c:v>
                </c:pt>
                <c:pt idx="57">
                  <c:v>0.54</c:v>
                </c:pt>
                <c:pt idx="58">
                  <c:v>0.66</c:v>
                </c:pt>
                <c:pt idx="59">
                  <c:v>0.8</c:v>
                </c:pt>
                <c:pt idx="60">
                  <c:v>0.82</c:v>
                </c:pt>
                <c:pt idx="61">
                  <c:v>1.06</c:v>
                </c:pt>
                <c:pt idx="62">
                  <c:v>1.4</c:v>
                </c:pt>
                <c:pt idx="63">
                  <c:v>1.43</c:v>
                </c:pt>
                <c:pt idx="64">
                  <c:v>1.47</c:v>
                </c:pt>
                <c:pt idx="65">
                  <c:v>1.55</c:v>
                </c:pt>
                <c:pt idx="66">
                  <c:v>1.63</c:v>
                </c:pt>
                <c:pt idx="67">
                  <c:v>1.68</c:v>
                </c:pt>
                <c:pt idx="68">
                  <c:v>1.87</c:v>
                </c:pt>
                <c:pt idx="69">
                  <c:v>2.37</c:v>
                </c:pt>
                <c:pt idx="70">
                  <c:v>2.84</c:v>
                </c:pt>
                <c:pt idx="71">
                  <c:v>2.84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06D-44C9-9CA3-057242698866}"/>
            </c:ext>
          </c:extLst>
        </c:ser>
        <c:ser>
          <c:idx val="2"/>
          <c:order val="4"/>
          <c:tx>
            <c:strRef>
              <c:f>'Měnové podmínky 1'!$E$5</c:f>
              <c:strCache>
                <c:ptCount val="1"/>
                <c:pt idx="0">
                  <c:v>PRIBOR (1Y)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'Měnové podmínky 1'!$A$54:$B$125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  <c:pt idx="60">
                    <c:v>2021</c:v>
                  </c:pt>
                </c:lvl>
              </c:multiLvlStrCache>
            </c:multiLvlStrRef>
          </c:cat>
          <c:val>
            <c:numRef>
              <c:f>'Měnové podmínky 1'!$E$54:$E$125</c:f>
              <c:numCache>
                <c:formatCode>General</c:formatCode>
                <c:ptCount val="72"/>
                <c:pt idx="0">
                  <c:v>0.45</c:v>
                </c:pt>
                <c:pt idx="1">
                  <c:v>0.45</c:v>
                </c:pt>
                <c:pt idx="2">
                  <c:v>0.45</c:v>
                </c:pt>
                <c:pt idx="3">
                  <c:v>0.45</c:v>
                </c:pt>
                <c:pt idx="4">
                  <c:v>0.45</c:v>
                </c:pt>
                <c:pt idx="5">
                  <c:v>0.45</c:v>
                </c:pt>
                <c:pt idx="6">
                  <c:v>0.45</c:v>
                </c:pt>
                <c:pt idx="7">
                  <c:v>0.45</c:v>
                </c:pt>
                <c:pt idx="8">
                  <c:v>0.45</c:v>
                </c:pt>
                <c:pt idx="9">
                  <c:v>0.45</c:v>
                </c:pt>
                <c:pt idx="10">
                  <c:v>0.45</c:v>
                </c:pt>
                <c:pt idx="11">
                  <c:v>0.45</c:v>
                </c:pt>
                <c:pt idx="12">
                  <c:v>0.44</c:v>
                </c:pt>
                <c:pt idx="13">
                  <c:v>0.44</c:v>
                </c:pt>
                <c:pt idx="14">
                  <c:v>0.44</c:v>
                </c:pt>
                <c:pt idx="15">
                  <c:v>0.45</c:v>
                </c:pt>
                <c:pt idx="16">
                  <c:v>0.46</c:v>
                </c:pt>
                <c:pt idx="17">
                  <c:v>0.46</c:v>
                </c:pt>
                <c:pt idx="18">
                  <c:v>0.47</c:v>
                </c:pt>
                <c:pt idx="19">
                  <c:v>0.6</c:v>
                </c:pt>
                <c:pt idx="20">
                  <c:v>0.64</c:v>
                </c:pt>
                <c:pt idx="21">
                  <c:v>0.69</c:v>
                </c:pt>
                <c:pt idx="22">
                  <c:v>0.91</c:v>
                </c:pt>
                <c:pt idx="23">
                  <c:v>0.96</c:v>
                </c:pt>
                <c:pt idx="24">
                  <c:v>0.98</c:v>
                </c:pt>
                <c:pt idx="25">
                  <c:v>1.1100000000000001</c:v>
                </c:pt>
                <c:pt idx="26">
                  <c:v>1.1200000000000001</c:v>
                </c:pt>
                <c:pt idx="27">
                  <c:v>1.1200000000000001</c:v>
                </c:pt>
                <c:pt idx="28">
                  <c:v>1.1200000000000001</c:v>
                </c:pt>
                <c:pt idx="29">
                  <c:v>1.1499999999999999</c:v>
                </c:pt>
                <c:pt idx="30">
                  <c:v>1.39</c:v>
                </c:pt>
                <c:pt idx="31">
                  <c:v>1.67</c:v>
                </c:pt>
                <c:pt idx="32">
                  <c:v>1.79</c:v>
                </c:pt>
                <c:pt idx="33">
                  <c:v>1.95</c:v>
                </c:pt>
                <c:pt idx="34">
                  <c:v>2.1800000000000002</c:v>
                </c:pt>
                <c:pt idx="35">
                  <c:v>2.21</c:v>
                </c:pt>
                <c:pt idx="36">
                  <c:v>2.21</c:v>
                </c:pt>
                <c:pt idx="37">
                  <c:v>2.2000000000000002</c:v>
                </c:pt>
                <c:pt idx="38">
                  <c:v>2.2000000000000002</c:v>
                </c:pt>
                <c:pt idx="39">
                  <c:v>2.21</c:v>
                </c:pt>
                <c:pt idx="40">
                  <c:v>2.3199999999999998</c:v>
                </c:pt>
                <c:pt idx="41">
                  <c:v>2.29</c:v>
                </c:pt>
                <c:pt idx="42">
                  <c:v>2.2799999999999998</c:v>
                </c:pt>
                <c:pt idx="43">
                  <c:v>2.2200000000000002</c:v>
                </c:pt>
                <c:pt idx="44">
                  <c:v>2.2000000000000002</c:v>
                </c:pt>
                <c:pt idx="45">
                  <c:v>2.2799999999999998</c:v>
                </c:pt>
                <c:pt idx="46">
                  <c:v>2.2799999999999998</c:v>
                </c:pt>
                <c:pt idx="47">
                  <c:v>2.27</c:v>
                </c:pt>
                <c:pt idx="48">
                  <c:v>2.27</c:v>
                </c:pt>
                <c:pt idx="49">
                  <c:v>2.42</c:v>
                </c:pt>
                <c:pt idx="50">
                  <c:v>2.0099999999999998</c:v>
                </c:pt>
                <c:pt idx="51">
                  <c:v>0.92</c:v>
                </c:pt>
                <c:pt idx="52">
                  <c:v>0.51</c:v>
                </c:pt>
                <c:pt idx="53">
                  <c:v>0.43</c:v>
                </c:pt>
                <c:pt idx="54">
                  <c:v>0.43</c:v>
                </c:pt>
                <c:pt idx="55">
                  <c:v>0.43</c:v>
                </c:pt>
                <c:pt idx="56">
                  <c:v>0.44</c:v>
                </c:pt>
                <c:pt idx="57">
                  <c:v>0.43</c:v>
                </c:pt>
                <c:pt idx="58">
                  <c:v>0.44</c:v>
                </c:pt>
                <c:pt idx="59">
                  <c:v>0.49</c:v>
                </c:pt>
                <c:pt idx="60">
                  <c:v>0.49</c:v>
                </c:pt>
                <c:pt idx="61">
                  <c:v>0.54</c:v>
                </c:pt>
                <c:pt idx="62">
                  <c:v>0.56000000000000005</c:v>
                </c:pt>
                <c:pt idx="63">
                  <c:v>0.56000000000000005</c:v>
                </c:pt>
                <c:pt idx="64">
                  <c:v>0.67</c:v>
                </c:pt>
                <c:pt idx="65">
                  <c:v>0.78</c:v>
                </c:pt>
                <c:pt idx="66">
                  <c:v>1</c:v>
                </c:pt>
                <c:pt idx="67">
                  <c:v>1.3</c:v>
                </c:pt>
                <c:pt idx="68">
                  <c:v>1.52</c:v>
                </c:pt>
                <c:pt idx="69">
                  <c:v>2.44</c:v>
                </c:pt>
                <c:pt idx="70">
                  <c:v>3.5</c:v>
                </c:pt>
                <c:pt idx="71">
                  <c:v>3.96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06D-44C9-9CA3-057242698866}"/>
            </c:ext>
          </c:extLst>
        </c:ser>
        <c:ser>
          <c:idx val="5"/>
          <c:order val="5"/>
          <c:tx>
            <c:strRef>
              <c:f>'Měnové podmínky 1'!$H$5</c:f>
              <c:strCache>
                <c:ptCount val="1"/>
                <c:pt idx="0">
                  <c:v>Průměrný výnos státních dluhopisů (10Y)</c:v>
                </c:pt>
              </c:strCache>
            </c:strRef>
          </c:tx>
          <c:spPr>
            <a:ln w="19050">
              <a:solidFill>
                <a:srgbClr val="48AEE7"/>
              </a:solidFill>
            </a:ln>
          </c:spPr>
          <c:marker>
            <c:symbol val="none"/>
          </c:marker>
          <c:cat>
            <c:multiLvlStrRef>
              <c:f>'Měnové podmínky 1'!$A$54:$B$125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  <c:pt idx="60">
                    <c:v>2021</c:v>
                  </c:pt>
                </c:lvl>
              </c:multiLvlStrCache>
            </c:multiLvlStrRef>
          </c:cat>
          <c:val>
            <c:numRef>
              <c:f>'Měnové podmínky 1'!$H$54:$H$125</c:f>
              <c:numCache>
                <c:formatCode>General</c:formatCode>
                <c:ptCount val="72"/>
                <c:pt idx="0">
                  <c:v>0.62</c:v>
                </c:pt>
                <c:pt idx="1">
                  <c:v>0.46</c:v>
                </c:pt>
                <c:pt idx="2">
                  <c:v>0.35</c:v>
                </c:pt>
                <c:pt idx="3">
                  <c:v>0.43</c:v>
                </c:pt>
                <c:pt idx="4">
                  <c:v>0.46</c:v>
                </c:pt>
                <c:pt idx="5">
                  <c:v>0.45</c:v>
                </c:pt>
                <c:pt idx="6">
                  <c:v>0.37</c:v>
                </c:pt>
                <c:pt idx="7">
                  <c:v>0.28999999999999998</c:v>
                </c:pt>
                <c:pt idx="8">
                  <c:v>0.25</c:v>
                </c:pt>
                <c:pt idx="9">
                  <c:v>0.37</c:v>
                </c:pt>
                <c:pt idx="10">
                  <c:v>0.55000000000000004</c:v>
                </c:pt>
                <c:pt idx="11">
                  <c:v>0.53</c:v>
                </c:pt>
                <c:pt idx="12">
                  <c:v>0.47</c:v>
                </c:pt>
                <c:pt idx="13">
                  <c:v>0.63</c:v>
                </c:pt>
                <c:pt idx="14">
                  <c:v>0.87</c:v>
                </c:pt>
                <c:pt idx="15">
                  <c:v>0.96</c:v>
                </c:pt>
                <c:pt idx="16">
                  <c:v>0.74</c:v>
                </c:pt>
                <c:pt idx="17">
                  <c:v>0.77</c:v>
                </c:pt>
                <c:pt idx="18">
                  <c:v>0.9</c:v>
                </c:pt>
                <c:pt idx="19">
                  <c:v>0.83</c:v>
                </c:pt>
                <c:pt idx="20">
                  <c:v>0.97</c:v>
                </c:pt>
                <c:pt idx="21">
                  <c:v>1.45</c:v>
                </c:pt>
                <c:pt idx="22">
                  <c:v>1.68</c:v>
                </c:pt>
                <c:pt idx="23">
                  <c:v>1.5</c:v>
                </c:pt>
                <c:pt idx="24">
                  <c:v>1.77</c:v>
                </c:pt>
                <c:pt idx="25">
                  <c:v>1.82</c:v>
                </c:pt>
                <c:pt idx="26">
                  <c:v>1.81</c:v>
                </c:pt>
                <c:pt idx="27">
                  <c:v>1.74</c:v>
                </c:pt>
                <c:pt idx="28">
                  <c:v>1.89</c:v>
                </c:pt>
                <c:pt idx="29">
                  <c:v>2.14</c:v>
                </c:pt>
                <c:pt idx="30">
                  <c:v>2.11</c:v>
                </c:pt>
                <c:pt idx="31">
                  <c:v>2.14</c:v>
                </c:pt>
                <c:pt idx="32">
                  <c:v>2.14</c:v>
                </c:pt>
                <c:pt idx="33">
                  <c:v>2.14</c:v>
                </c:pt>
                <c:pt idx="34">
                  <c:v>2.0699999999999998</c:v>
                </c:pt>
                <c:pt idx="35">
                  <c:v>2.0099999999999998</c:v>
                </c:pt>
                <c:pt idx="36">
                  <c:v>1.85</c:v>
                </c:pt>
                <c:pt idx="37">
                  <c:v>1.76</c:v>
                </c:pt>
                <c:pt idx="38">
                  <c:v>1.82</c:v>
                </c:pt>
                <c:pt idx="39">
                  <c:v>1.82</c:v>
                </c:pt>
                <c:pt idx="40">
                  <c:v>1.86</c:v>
                </c:pt>
                <c:pt idx="41">
                  <c:v>1.58</c:v>
                </c:pt>
                <c:pt idx="42">
                  <c:v>1.36</c:v>
                </c:pt>
                <c:pt idx="43">
                  <c:v>0.99</c:v>
                </c:pt>
                <c:pt idx="44">
                  <c:v>1.24</c:v>
                </c:pt>
                <c:pt idx="45">
                  <c:v>1.32</c:v>
                </c:pt>
                <c:pt idx="46">
                  <c:v>1.47</c:v>
                </c:pt>
                <c:pt idx="47">
                  <c:v>1.51</c:v>
                </c:pt>
                <c:pt idx="48">
                  <c:v>1.62</c:v>
                </c:pt>
                <c:pt idx="49">
                  <c:v>1.47</c:v>
                </c:pt>
                <c:pt idx="50">
                  <c:v>1.28</c:v>
                </c:pt>
                <c:pt idx="51">
                  <c:v>1.28</c:v>
                </c:pt>
                <c:pt idx="52">
                  <c:v>0.92</c:v>
                </c:pt>
                <c:pt idx="53">
                  <c:v>0.86</c:v>
                </c:pt>
                <c:pt idx="54">
                  <c:v>0.86</c:v>
                </c:pt>
                <c:pt idx="55">
                  <c:v>0.95</c:v>
                </c:pt>
                <c:pt idx="56">
                  <c:v>0.98</c:v>
                </c:pt>
                <c:pt idx="57">
                  <c:v>0.94</c:v>
                </c:pt>
                <c:pt idx="58">
                  <c:v>1.1200000000000001</c:v>
                </c:pt>
                <c:pt idx="59">
                  <c:v>1.26</c:v>
                </c:pt>
                <c:pt idx="60">
                  <c:v>1.28</c:v>
                </c:pt>
                <c:pt idx="61">
                  <c:v>1.49</c:v>
                </c:pt>
                <c:pt idx="62">
                  <c:v>1.87</c:v>
                </c:pt>
                <c:pt idx="63">
                  <c:v>1.86</c:v>
                </c:pt>
                <c:pt idx="64">
                  <c:v>1.74</c:v>
                </c:pt>
                <c:pt idx="65">
                  <c:v>1.67</c:v>
                </c:pt>
                <c:pt idx="66">
                  <c:v>1.72</c:v>
                </c:pt>
                <c:pt idx="67">
                  <c:v>1.74</c:v>
                </c:pt>
                <c:pt idx="68">
                  <c:v>1.9</c:v>
                </c:pt>
                <c:pt idx="69">
                  <c:v>2.34</c:v>
                </c:pt>
                <c:pt idx="70">
                  <c:v>2.62</c:v>
                </c:pt>
                <c:pt idx="71">
                  <c:v>2.62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06D-44C9-9CA3-0572426988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1742464"/>
        <c:axId val="271744000"/>
      </c:lineChart>
      <c:catAx>
        <c:axId val="271742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271744000"/>
        <c:crosses val="autoZero"/>
        <c:auto val="1"/>
        <c:lblAlgn val="ctr"/>
        <c:lblOffset val="100"/>
        <c:noMultiLvlLbl val="0"/>
      </c:catAx>
      <c:valAx>
        <c:axId val="271744000"/>
        <c:scaling>
          <c:orientation val="minMax"/>
          <c:max val="4"/>
          <c:min val="-1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71742464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501055386693677E-2"/>
          <c:y val="0.87558269120103249"/>
          <c:w val="0.93350515028706516"/>
          <c:h val="0.11015705924459968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EB75-344C-491B-8177-F1421B83C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6BCF6-BADA-4413-8029-25D07015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2</TotalTime>
  <Pages>2</Pages>
  <Words>857</Words>
  <Characters>5059</Characters>
  <Application>Microsoft Office Word</Application>
  <DocSecurity>0</DocSecurity>
  <Lines>42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5905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Mgr. Karolína Zábojníková</cp:lastModifiedBy>
  <cp:revision>3</cp:revision>
  <cp:lastPrinted>2019-04-08T10:52:00Z</cp:lastPrinted>
  <dcterms:created xsi:type="dcterms:W3CDTF">2022-03-21T10:52:00Z</dcterms:created>
  <dcterms:modified xsi:type="dcterms:W3CDTF">2022-03-21T11:04:00Z</dcterms:modified>
</cp:coreProperties>
</file>