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20D" w14:textId="77777777" w:rsidR="00DA443E" w:rsidRPr="00C1001D" w:rsidRDefault="00DA443E">
      <w:pPr>
        <w:pStyle w:val="Nadpis4"/>
        <w:rPr>
          <w:color w:val="auto"/>
        </w:rPr>
      </w:pPr>
      <w:r w:rsidRPr="00C1001D">
        <w:rPr>
          <w:color w:val="auto"/>
        </w:rPr>
        <w:t>METODICKÉ POZNÁMKY</w:t>
      </w:r>
    </w:p>
    <w:p w14:paraId="23A73ACB" w14:textId="77777777" w:rsidR="00DA443E" w:rsidRPr="00C1001D" w:rsidRDefault="00DA443E">
      <w:pPr>
        <w:jc w:val="both"/>
        <w:rPr>
          <w:rFonts w:cs="Arial"/>
          <w:b/>
          <w:bCs/>
          <w:sz w:val="20"/>
        </w:rPr>
      </w:pPr>
    </w:p>
    <w:p w14:paraId="61875111" w14:textId="77777777" w:rsidR="00E767C6" w:rsidRPr="00C1001D" w:rsidRDefault="00E767C6" w:rsidP="00E767C6">
      <w:pPr>
        <w:jc w:val="both"/>
        <w:rPr>
          <w:rFonts w:cs="Arial"/>
          <w:sz w:val="20"/>
        </w:rPr>
      </w:pPr>
      <w:r w:rsidRPr="00C1001D">
        <w:rPr>
          <w:rFonts w:cs="Arial"/>
          <w:b/>
          <w:bCs/>
          <w:sz w:val="20"/>
        </w:rPr>
        <w:t>Hrubý domácí produkt</w:t>
      </w:r>
      <w:r w:rsidRPr="00C1001D">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C1001D">
        <w:rPr>
          <w:rFonts w:cs="Arial"/>
          <w:sz w:val="20"/>
        </w:rPr>
        <w:t>2020</w:t>
      </w:r>
      <w:r w:rsidRPr="00C1001D">
        <w:rPr>
          <w:rFonts w:cs="Arial"/>
          <w:sz w:val="20"/>
        </w:rPr>
        <w:t>. Údaje jsou uváděny bez očištění o nestejný počet pracovních dní.</w:t>
      </w:r>
    </w:p>
    <w:p w14:paraId="1F3DD26B" w14:textId="77777777" w:rsidR="00DA443E" w:rsidRPr="00C1001D" w:rsidRDefault="00DA443E">
      <w:pPr>
        <w:jc w:val="both"/>
        <w:rPr>
          <w:rFonts w:cs="Arial"/>
          <w:sz w:val="20"/>
        </w:rPr>
      </w:pPr>
    </w:p>
    <w:p w14:paraId="21BE1329" w14:textId="3E1BAF49" w:rsidR="00145A69" w:rsidRPr="00C1001D" w:rsidRDefault="00145A69" w:rsidP="00145A69">
      <w:pPr>
        <w:jc w:val="both"/>
        <w:rPr>
          <w:rFonts w:cs="Arial"/>
          <w:sz w:val="20"/>
        </w:rPr>
      </w:pPr>
      <w:r w:rsidRPr="00C1001D">
        <w:rPr>
          <w:rFonts w:cs="Arial"/>
          <w:sz w:val="20"/>
        </w:rPr>
        <w:t xml:space="preserve">Hodnoty ukazatelů za rok 2023 vycházejí ze </w:t>
      </w:r>
      <w:proofErr w:type="spellStart"/>
      <w:r w:rsidRPr="00C1001D">
        <w:rPr>
          <w:rFonts w:cs="Arial"/>
          <w:sz w:val="20"/>
        </w:rPr>
        <w:t>semidefinitivních</w:t>
      </w:r>
      <w:proofErr w:type="spellEnd"/>
      <w:r w:rsidRPr="00C1001D">
        <w:rPr>
          <w:rFonts w:cs="Arial"/>
          <w:sz w:val="20"/>
        </w:rPr>
        <w:t xml:space="preserve"> národních účtů, rok 2024 vychází </w:t>
      </w:r>
      <w:r w:rsidR="007F23B3" w:rsidRPr="00C1001D">
        <w:rPr>
          <w:rFonts w:cs="Arial"/>
          <w:sz w:val="20"/>
        </w:rPr>
        <w:t>z notifikačních národních účtů.</w:t>
      </w:r>
    </w:p>
    <w:p w14:paraId="13F1DFE4" w14:textId="77777777" w:rsidR="00F830A9" w:rsidRPr="00C1001D" w:rsidRDefault="00F830A9" w:rsidP="00CD7EF5">
      <w:pPr>
        <w:jc w:val="both"/>
        <w:rPr>
          <w:rFonts w:cs="Arial"/>
          <w:sz w:val="20"/>
        </w:rPr>
      </w:pPr>
    </w:p>
    <w:p w14:paraId="4126F90E" w14:textId="77777777" w:rsidR="001134DB" w:rsidRPr="00C1001D" w:rsidRDefault="001134DB" w:rsidP="00CD7EF5">
      <w:pPr>
        <w:jc w:val="both"/>
        <w:rPr>
          <w:rFonts w:cs="Arial"/>
          <w:sz w:val="20"/>
        </w:rPr>
      </w:pPr>
      <w:r w:rsidRPr="00C1001D">
        <w:rPr>
          <w:rFonts w:cs="Arial"/>
          <w:sz w:val="20"/>
        </w:rPr>
        <w:t xml:space="preserve">Hodnoty hrubého domácího produktu a dalších makroekonomických ukazatelů ve stálých cenách vycházejí v souladu s požadavkem </w:t>
      </w:r>
      <w:proofErr w:type="spellStart"/>
      <w:r w:rsidRPr="00C1001D">
        <w:rPr>
          <w:rFonts w:cs="Arial"/>
          <w:sz w:val="20"/>
        </w:rPr>
        <w:t>Eurostatu</w:t>
      </w:r>
      <w:proofErr w:type="spellEnd"/>
      <w:r w:rsidRPr="00C1001D">
        <w:rPr>
          <w:rFonts w:cs="Arial"/>
          <w:sz w:val="20"/>
        </w:rPr>
        <w:t xml:space="preserve"> z c</w:t>
      </w:r>
      <w:r w:rsidR="00AA10ED" w:rsidRPr="00C1001D">
        <w:rPr>
          <w:rFonts w:cs="Arial"/>
          <w:sz w:val="20"/>
        </w:rPr>
        <w:t xml:space="preserve">enové úrovně bazického roku </w:t>
      </w:r>
      <w:r w:rsidR="00F830A9" w:rsidRPr="00C1001D">
        <w:rPr>
          <w:rFonts w:cs="Arial"/>
          <w:sz w:val="20"/>
        </w:rPr>
        <w:t>2020</w:t>
      </w:r>
      <w:r w:rsidRPr="00C1001D">
        <w:rPr>
          <w:rFonts w:cs="Arial"/>
          <w:sz w:val="20"/>
        </w:rPr>
        <w:t xml:space="preserve"> a byly vypočteny pomocí meziročně </w:t>
      </w:r>
      <w:r w:rsidR="00F42CDD" w:rsidRPr="00C1001D">
        <w:rPr>
          <w:rFonts w:cs="Arial"/>
          <w:sz w:val="20"/>
        </w:rPr>
        <w:t xml:space="preserve">zřetězených </w:t>
      </w:r>
      <w:r w:rsidRPr="00C1001D">
        <w:rPr>
          <w:rFonts w:cs="Arial"/>
          <w:sz w:val="20"/>
        </w:rPr>
        <w:t>indexů údajů vyjádřených v cenách předchozího roku.</w:t>
      </w:r>
    </w:p>
    <w:p w14:paraId="0F2D7604" w14:textId="77777777" w:rsidR="001134DB" w:rsidRPr="00C1001D" w:rsidRDefault="001134DB" w:rsidP="001134DB">
      <w:pPr>
        <w:jc w:val="both"/>
        <w:rPr>
          <w:rFonts w:cs="Arial"/>
          <w:sz w:val="20"/>
        </w:rPr>
      </w:pPr>
    </w:p>
    <w:p w14:paraId="5E152874" w14:textId="77777777" w:rsidR="002D7F8F" w:rsidRPr="00C1001D" w:rsidRDefault="001134DB" w:rsidP="001134DB">
      <w:pPr>
        <w:jc w:val="both"/>
        <w:rPr>
          <w:rFonts w:cs="Arial"/>
          <w:sz w:val="20"/>
        </w:rPr>
      </w:pPr>
      <w:r w:rsidRPr="00C1001D">
        <w:rPr>
          <w:rFonts w:cs="Arial"/>
          <w:b/>
          <w:bCs/>
          <w:sz w:val="20"/>
        </w:rPr>
        <w:t xml:space="preserve">HDP na 1 obyvatele v Kč = </w:t>
      </w:r>
      <w:r w:rsidRPr="00C1001D">
        <w:rPr>
          <w:rFonts w:cs="Arial"/>
          <w:sz w:val="20"/>
        </w:rPr>
        <w:t>podíl HDP v běžných cenách a středního stavu obyvatel v příslušném roce</w:t>
      </w:r>
      <w:r w:rsidR="00C52655" w:rsidRPr="00C1001D">
        <w:rPr>
          <w:rFonts w:cs="Arial"/>
          <w:sz w:val="20"/>
        </w:rPr>
        <w:t>.</w:t>
      </w:r>
    </w:p>
    <w:p w14:paraId="6CBDE266" w14:textId="77777777" w:rsidR="00F830A9" w:rsidRPr="00C1001D" w:rsidRDefault="00F830A9" w:rsidP="00F830A9">
      <w:pPr>
        <w:jc w:val="both"/>
        <w:rPr>
          <w:rFonts w:cs="Arial"/>
          <w:sz w:val="20"/>
        </w:rPr>
      </w:pPr>
      <w:r w:rsidRPr="00C1001D">
        <w:rPr>
          <w:rFonts w:cs="Arial"/>
          <w:sz w:val="20"/>
        </w:rPr>
        <w:t>Roky 2012 – 2020 se v národních účtech použily upravené hodnoty o stavu obyvatel, neboť z metodických důvodů nelze využít výsledky ze  SLDB11.</w:t>
      </w:r>
    </w:p>
    <w:p w14:paraId="4BA35159" w14:textId="77777777" w:rsidR="001134DB" w:rsidRPr="00C1001D" w:rsidRDefault="00A17EB4" w:rsidP="00F830A9">
      <w:pPr>
        <w:jc w:val="both"/>
        <w:rPr>
          <w:rFonts w:cs="Arial"/>
          <w:sz w:val="20"/>
        </w:rPr>
      </w:pPr>
      <w:r w:rsidRPr="00C1001D">
        <w:rPr>
          <w:rFonts w:cs="Arial"/>
          <w:sz w:val="20"/>
        </w:rPr>
        <w:t>2021 – 2024</w:t>
      </w:r>
      <w:r w:rsidR="00F830A9" w:rsidRPr="00C1001D">
        <w:rPr>
          <w:rFonts w:cs="Arial"/>
          <w:sz w:val="20"/>
        </w:rPr>
        <w:t xml:space="preserve"> se používají data podle hodnoty středního stavu obyvatel získané na základě SLDB21.</w:t>
      </w:r>
    </w:p>
    <w:p w14:paraId="5374AB8E" w14:textId="77777777" w:rsidR="00F830A9" w:rsidRPr="00C1001D" w:rsidRDefault="00F830A9" w:rsidP="00F830A9">
      <w:pPr>
        <w:jc w:val="both"/>
        <w:rPr>
          <w:rFonts w:cs="Arial"/>
          <w:sz w:val="20"/>
        </w:rPr>
      </w:pPr>
    </w:p>
    <w:p w14:paraId="3DE659D3" w14:textId="77777777" w:rsidR="001134DB" w:rsidRPr="00C1001D" w:rsidRDefault="001134DB" w:rsidP="001134DB">
      <w:pPr>
        <w:jc w:val="both"/>
        <w:rPr>
          <w:rFonts w:cs="Arial"/>
          <w:b/>
          <w:bCs/>
          <w:sz w:val="20"/>
        </w:rPr>
      </w:pPr>
      <w:r w:rsidRPr="00C1001D">
        <w:rPr>
          <w:rFonts w:cs="Arial"/>
          <w:b/>
          <w:bCs/>
          <w:sz w:val="20"/>
        </w:rPr>
        <w:t xml:space="preserve">HDP na 1 obyvatele v PPS </w:t>
      </w:r>
      <w:r w:rsidRPr="00C1001D">
        <w:rPr>
          <w:rFonts w:cs="Arial"/>
          <w:bCs/>
          <w:sz w:val="20"/>
        </w:rPr>
        <w:t>= podíl HDP na 1 obyvatele v Kč a parity kupní síly vyjádřené v Kč na PPS.</w:t>
      </w:r>
    </w:p>
    <w:p w14:paraId="4910DB6E" w14:textId="77777777" w:rsidR="001134DB" w:rsidRPr="00C1001D" w:rsidRDefault="001134DB" w:rsidP="001134DB">
      <w:pPr>
        <w:jc w:val="both"/>
        <w:rPr>
          <w:rFonts w:cs="Arial"/>
          <w:sz w:val="20"/>
        </w:rPr>
      </w:pPr>
    </w:p>
    <w:p w14:paraId="26BED464" w14:textId="322B36D9" w:rsidR="00472A87" w:rsidRPr="00C1001D" w:rsidRDefault="00F86015" w:rsidP="001134DB">
      <w:pPr>
        <w:jc w:val="both"/>
        <w:rPr>
          <w:rFonts w:cs="Arial"/>
          <w:sz w:val="20"/>
        </w:rPr>
      </w:pPr>
      <w:r w:rsidRPr="00C1001D">
        <w:rPr>
          <w:rFonts w:cs="Arial"/>
          <w:b/>
          <w:sz w:val="20"/>
        </w:rPr>
        <w:t>PPS (</w:t>
      </w:r>
      <w:proofErr w:type="spellStart"/>
      <w:r w:rsidRPr="00C1001D">
        <w:rPr>
          <w:rFonts w:cs="Arial"/>
          <w:b/>
          <w:sz w:val="20"/>
        </w:rPr>
        <w:t>Purchasing</w:t>
      </w:r>
      <w:proofErr w:type="spellEnd"/>
      <w:r w:rsidRPr="00C1001D">
        <w:rPr>
          <w:rFonts w:cs="Arial"/>
          <w:b/>
          <w:sz w:val="20"/>
        </w:rPr>
        <w:t xml:space="preserve"> </w:t>
      </w:r>
      <w:proofErr w:type="spellStart"/>
      <w:r w:rsidRPr="00C1001D">
        <w:rPr>
          <w:rFonts w:cs="Arial"/>
          <w:b/>
          <w:sz w:val="20"/>
        </w:rPr>
        <w:t>Power</w:t>
      </w:r>
      <w:proofErr w:type="spellEnd"/>
      <w:r w:rsidRPr="00C1001D">
        <w:rPr>
          <w:rFonts w:cs="Arial"/>
          <w:b/>
          <w:sz w:val="20"/>
        </w:rPr>
        <w:t xml:space="preserve"> Standard) </w:t>
      </w:r>
      <w:r w:rsidR="00677162" w:rsidRPr="00C1001D">
        <w:rPr>
          <w:rFonts w:cs="Arial"/>
          <w:sz w:val="20"/>
        </w:rPr>
        <w:t xml:space="preserve">standard kupní síly </w:t>
      </w:r>
      <w:r w:rsidR="00C25A9B" w:rsidRPr="00C1001D">
        <w:rPr>
          <w:rFonts w:cs="Arial"/>
          <w:sz w:val="20"/>
        </w:rPr>
        <w:t>je umělá jednotka, v níž se navzájem vyrovnávají rozdíly mezi kupní silou jednotek národních měn členských zemí EU podle stavu po jejím zúžení k 31. 1. 2020 na EU 27</w:t>
      </w:r>
      <w:r w:rsidR="00D91A0C" w:rsidRPr="00C1001D">
        <w:rPr>
          <w:rFonts w:cs="Arial"/>
          <w:sz w:val="20"/>
        </w:rPr>
        <w:t>. Úhrn údajů o HDP za všech 27</w:t>
      </w:r>
      <w:r w:rsidR="001134DB" w:rsidRPr="00C1001D">
        <w:rPr>
          <w:rFonts w:cs="Arial"/>
          <w:sz w:val="20"/>
        </w:rPr>
        <w:t xml:space="preserve"> zemí přepočtených do eur (dříve do ECU) se rovná stejné částce vyjádřené v PPS. Údaje o hodnotě PPS za jednotlivé členské státy jsou převzaty z obecné databáze </w:t>
      </w:r>
      <w:proofErr w:type="spellStart"/>
      <w:r w:rsidR="001134DB" w:rsidRPr="00C1001D">
        <w:rPr>
          <w:rFonts w:cs="Arial"/>
          <w:sz w:val="20"/>
        </w:rPr>
        <w:t>Eurostatu</w:t>
      </w:r>
      <w:proofErr w:type="spellEnd"/>
      <w:r w:rsidR="001134DB" w:rsidRPr="00C1001D">
        <w:rPr>
          <w:rFonts w:cs="Arial"/>
          <w:sz w:val="20"/>
        </w:rPr>
        <w:t xml:space="preserve"> </w:t>
      </w:r>
      <w:r w:rsidR="003245D9" w:rsidRPr="00C1001D">
        <w:rPr>
          <w:rFonts w:cs="Arial"/>
          <w:sz w:val="20"/>
        </w:rPr>
        <w:t xml:space="preserve">dne </w:t>
      </w:r>
      <w:r w:rsidR="000F1E08" w:rsidRPr="00C1001D">
        <w:rPr>
          <w:rFonts w:cs="Arial"/>
          <w:sz w:val="20"/>
        </w:rPr>
        <w:t>1</w:t>
      </w:r>
      <w:r w:rsidR="007F23B3" w:rsidRPr="00C1001D">
        <w:rPr>
          <w:rFonts w:cs="Arial"/>
          <w:sz w:val="20"/>
        </w:rPr>
        <w:t>7</w:t>
      </w:r>
      <w:r w:rsidR="000F1E08" w:rsidRPr="00C1001D">
        <w:rPr>
          <w:rFonts w:cs="Arial"/>
          <w:sz w:val="20"/>
        </w:rPr>
        <w:t>.</w:t>
      </w:r>
      <w:r w:rsidR="007F23B3" w:rsidRPr="00C1001D">
        <w:rPr>
          <w:rFonts w:cs="Arial"/>
          <w:sz w:val="20"/>
        </w:rPr>
        <w:t xml:space="preserve"> 12.</w:t>
      </w:r>
      <w:r w:rsidR="000F1E08" w:rsidRPr="00C1001D">
        <w:rPr>
          <w:rFonts w:cs="Arial"/>
          <w:sz w:val="20"/>
        </w:rPr>
        <w:t xml:space="preserve"> 2025. </w:t>
      </w:r>
    </w:p>
    <w:p w14:paraId="01E6DA79" w14:textId="77777777" w:rsidR="001134DB" w:rsidRPr="00C1001D" w:rsidRDefault="001134DB" w:rsidP="001134DB">
      <w:pPr>
        <w:jc w:val="both"/>
        <w:rPr>
          <w:rFonts w:cs="Arial"/>
          <w:b/>
          <w:sz w:val="20"/>
        </w:rPr>
      </w:pPr>
    </w:p>
    <w:p w14:paraId="1057F4C7" w14:textId="77777777" w:rsidR="00DA443E" w:rsidRPr="00C1001D" w:rsidRDefault="00DA443E">
      <w:pPr>
        <w:jc w:val="both"/>
        <w:rPr>
          <w:rFonts w:cs="Arial"/>
          <w:sz w:val="20"/>
        </w:rPr>
      </w:pPr>
    </w:p>
    <w:p w14:paraId="19563F34" w14:textId="77777777" w:rsidR="00DA443E" w:rsidRPr="00C1001D" w:rsidRDefault="00DA443E">
      <w:pPr>
        <w:jc w:val="both"/>
        <w:rPr>
          <w:rFonts w:cs="Arial"/>
          <w:sz w:val="20"/>
        </w:rPr>
      </w:pPr>
      <w:r w:rsidRPr="00C1001D">
        <w:rPr>
          <w:rFonts w:cs="Arial"/>
          <w:b/>
          <w:bCs/>
          <w:sz w:val="20"/>
        </w:rPr>
        <w:t xml:space="preserve">Výdaje na konečnou spotřebu </w:t>
      </w:r>
      <w:r w:rsidRPr="00C1001D">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14:paraId="1CC36E42" w14:textId="77777777" w:rsidR="00DA443E" w:rsidRPr="00C1001D" w:rsidRDefault="00DA443E">
      <w:pPr>
        <w:jc w:val="both"/>
        <w:rPr>
          <w:rFonts w:cs="Arial"/>
          <w:sz w:val="20"/>
        </w:rPr>
      </w:pPr>
    </w:p>
    <w:p w14:paraId="10698E94" w14:textId="77777777" w:rsidR="00DA443E" w:rsidRPr="00C1001D" w:rsidRDefault="00DA443E">
      <w:pPr>
        <w:jc w:val="both"/>
        <w:rPr>
          <w:rFonts w:cs="Arial"/>
          <w:sz w:val="20"/>
        </w:rPr>
      </w:pPr>
      <w:r w:rsidRPr="00C1001D">
        <w:rPr>
          <w:rFonts w:cs="Arial"/>
          <w:b/>
          <w:bCs/>
          <w:sz w:val="20"/>
        </w:rPr>
        <w:t>Výdaje na konečnou spotřebu domácností</w:t>
      </w:r>
      <w:r w:rsidRPr="00C1001D">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14:paraId="3C8F8AE0" w14:textId="77777777" w:rsidR="00DA443E" w:rsidRPr="00C1001D" w:rsidRDefault="00DA443E">
      <w:pPr>
        <w:jc w:val="both"/>
        <w:rPr>
          <w:rFonts w:cs="Arial"/>
          <w:sz w:val="20"/>
        </w:rPr>
      </w:pPr>
    </w:p>
    <w:p w14:paraId="69CF754F" w14:textId="77777777" w:rsidR="00DA443E" w:rsidRPr="00C1001D" w:rsidRDefault="00DA443E">
      <w:pPr>
        <w:pStyle w:val="Nadpis4"/>
        <w:rPr>
          <w:b w:val="0"/>
          <w:bCs w:val="0"/>
          <w:color w:val="auto"/>
        </w:rPr>
      </w:pPr>
      <w:r w:rsidRPr="00C1001D">
        <w:rPr>
          <w:color w:val="auto"/>
        </w:rPr>
        <w:t xml:space="preserve">Tvorba hrubého kapitálu </w:t>
      </w:r>
      <w:r w:rsidRPr="00C1001D">
        <w:rPr>
          <w:b w:val="0"/>
          <w:bCs w:val="0"/>
          <w:color w:val="auto"/>
        </w:rPr>
        <w:t>zahrnuje tvorbu hrubého fixního kapitálu, změny stavu zásob a pořízení minus úbytky cenností</w:t>
      </w:r>
    </w:p>
    <w:p w14:paraId="56D451E8" w14:textId="77777777" w:rsidR="00DA443E" w:rsidRPr="00C1001D" w:rsidRDefault="00DA443E">
      <w:pPr>
        <w:jc w:val="both"/>
        <w:rPr>
          <w:rFonts w:cs="Arial"/>
          <w:sz w:val="20"/>
        </w:rPr>
      </w:pPr>
    </w:p>
    <w:p w14:paraId="2A5714F0"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b/>
          <w:bCs/>
          <w:color w:val="auto"/>
          <w:sz w:val="20"/>
          <w:szCs w:val="20"/>
        </w:rPr>
        <w:t>Tvorba hrubého fixního kapitálu</w:t>
      </w:r>
      <w:r w:rsidRPr="00C1001D">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14:paraId="69CB04FD" w14:textId="77777777" w:rsidR="00DA443E" w:rsidRPr="00C1001D" w:rsidRDefault="00DA443E">
      <w:pPr>
        <w:jc w:val="both"/>
        <w:rPr>
          <w:rFonts w:cs="Arial"/>
          <w:sz w:val="20"/>
        </w:rPr>
      </w:pPr>
    </w:p>
    <w:p w14:paraId="2C8B5AE4" w14:textId="77777777" w:rsidR="00DA443E" w:rsidRPr="00C1001D" w:rsidRDefault="00DA443E">
      <w:pPr>
        <w:jc w:val="both"/>
        <w:rPr>
          <w:rFonts w:cs="Arial"/>
          <w:sz w:val="20"/>
        </w:rPr>
      </w:pPr>
      <w:r w:rsidRPr="00C1001D">
        <w:rPr>
          <w:rFonts w:cs="Arial"/>
          <w:b/>
          <w:bCs/>
          <w:sz w:val="20"/>
        </w:rPr>
        <w:t>Vývoz zboží a služeb</w:t>
      </w:r>
      <w:r w:rsidRPr="00C1001D">
        <w:rPr>
          <w:rFonts w:cs="Arial"/>
          <w:sz w:val="20"/>
        </w:rPr>
        <w:t xml:space="preserve"> vychází z údajů obchodní bilance (zboží) a platební bilance (služby). Jeho součástí je i spotřeba cizinců v ČR (odhadnutá zejména podle výše nákupu valut). Zahrnuje i </w:t>
      </w:r>
      <w:r w:rsidR="00F86015" w:rsidRPr="00C1001D">
        <w:rPr>
          <w:rFonts w:cs="Arial"/>
          <w:sz w:val="20"/>
        </w:rPr>
        <w:t>vývoz realizovaný</w:t>
      </w:r>
      <w:r w:rsidRPr="00C1001D">
        <w:rPr>
          <w:rFonts w:cs="Arial"/>
          <w:sz w:val="20"/>
        </w:rPr>
        <w:t xml:space="preserve"> prostřednictvím domácností cizích zemí, který se uskutečnil za české koruny.</w:t>
      </w:r>
    </w:p>
    <w:p w14:paraId="792AB5C4" w14:textId="77777777" w:rsidR="00DA443E" w:rsidRPr="00C1001D" w:rsidRDefault="00DA443E">
      <w:pPr>
        <w:jc w:val="both"/>
        <w:rPr>
          <w:rFonts w:cs="Arial"/>
          <w:sz w:val="20"/>
        </w:rPr>
      </w:pPr>
    </w:p>
    <w:p w14:paraId="768C1158" w14:textId="77777777" w:rsidR="00DA443E" w:rsidRPr="00C1001D" w:rsidRDefault="00DA443E">
      <w:pPr>
        <w:jc w:val="both"/>
        <w:rPr>
          <w:rFonts w:cs="Arial"/>
          <w:sz w:val="20"/>
        </w:rPr>
      </w:pPr>
      <w:r w:rsidRPr="00C1001D">
        <w:rPr>
          <w:rFonts w:cs="Arial"/>
          <w:b/>
          <w:bCs/>
          <w:sz w:val="20"/>
        </w:rPr>
        <w:t>Dovoz zboží a služeb</w:t>
      </w:r>
      <w:r w:rsidRPr="00C1001D">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14:paraId="76824198" w14:textId="77777777" w:rsidR="00DA443E" w:rsidRPr="00C1001D" w:rsidRDefault="00DA443E">
      <w:pPr>
        <w:jc w:val="both"/>
        <w:rPr>
          <w:rFonts w:cs="Arial"/>
          <w:sz w:val="20"/>
        </w:rPr>
      </w:pPr>
    </w:p>
    <w:p w14:paraId="7E1B6252" w14:textId="77777777" w:rsidR="00DA443E" w:rsidRPr="00C1001D" w:rsidRDefault="00DA443E">
      <w:pPr>
        <w:pStyle w:val="Nadpis1"/>
        <w:jc w:val="both"/>
        <w:rPr>
          <w:rFonts w:cs="Arial"/>
          <w:b w:val="0"/>
          <w:bCs w:val="0"/>
          <w:sz w:val="20"/>
        </w:rPr>
      </w:pPr>
      <w:r w:rsidRPr="00C1001D">
        <w:rPr>
          <w:rFonts w:cs="Arial"/>
          <w:sz w:val="20"/>
        </w:rPr>
        <w:lastRenderedPageBreak/>
        <w:t>Domácí realizovaná poptávka</w:t>
      </w:r>
      <w:r w:rsidRPr="00C1001D">
        <w:rPr>
          <w:rFonts w:cs="Arial"/>
          <w:b w:val="0"/>
          <w:bCs w:val="0"/>
          <w:sz w:val="20"/>
        </w:rPr>
        <w:t xml:space="preserve"> zahrnuje</w:t>
      </w:r>
      <w:r w:rsidRPr="00C1001D">
        <w:rPr>
          <w:rFonts w:cs="Arial"/>
          <w:sz w:val="20"/>
        </w:rPr>
        <w:t xml:space="preserve"> </w:t>
      </w:r>
      <w:r w:rsidRPr="00C1001D">
        <w:rPr>
          <w:rFonts w:cs="Arial"/>
          <w:b w:val="0"/>
          <w:bCs w:val="0"/>
          <w:sz w:val="20"/>
        </w:rPr>
        <w:t>výdaje na konečnou spotřebu, tvorbu fixního kapitálu a na čisté pořízení cenností.</w:t>
      </w:r>
    </w:p>
    <w:p w14:paraId="7B97D899" w14:textId="77777777" w:rsidR="00DA443E" w:rsidRPr="00C1001D" w:rsidRDefault="00DA443E">
      <w:pPr>
        <w:jc w:val="both"/>
        <w:rPr>
          <w:rFonts w:cs="Arial"/>
          <w:sz w:val="20"/>
        </w:rPr>
      </w:pPr>
    </w:p>
    <w:p w14:paraId="0B5D6CAE" w14:textId="77777777" w:rsidR="00DA443E" w:rsidRPr="00C1001D" w:rsidRDefault="00DA443E">
      <w:pPr>
        <w:pStyle w:val="Nadpis1"/>
        <w:jc w:val="both"/>
        <w:rPr>
          <w:rFonts w:cs="Arial"/>
          <w:b w:val="0"/>
          <w:bCs w:val="0"/>
          <w:sz w:val="20"/>
        </w:rPr>
      </w:pPr>
      <w:r w:rsidRPr="00C1001D">
        <w:rPr>
          <w:rFonts w:cs="Arial"/>
          <w:sz w:val="20"/>
        </w:rPr>
        <w:t xml:space="preserve">Deflátor HDP </w:t>
      </w:r>
      <w:r w:rsidRPr="00C1001D">
        <w:rPr>
          <w:rFonts w:cs="Arial"/>
          <w:b w:val="0"/>
          <w:bCs w:val="0"/>
          <w:sz w:val="20"/>
        </w:rPr>
        <w:t>představuje poměr HDP v běžných cenách k HDP ve stálých cenách.</w:t>
      </w:r>
    </w:p>
    <w:p w14:paraId="1A1F15DF" w14:textId="77777777" w:rsidR="00DA443E" w:rsidRPr="00C1001D" w:rsidRDefault="00DA443E">
      <w:pPr>
        <w:jc w:val="both"/>
        <w:rPr>
          <w:rFonts w:cs="Arial"/>
          <w:sz w:val="20"/>
        </w:rPr>
      </w:pPr>
    </w:p>
    <w:p w14:paraId="3596CA81" w14:textId="77777777" w:rsidR="00DA443E" w:rsidRPr="00C1001D" w:rsidRDefault="00DA443E">
      <w:pPr>
        <w:jc w:val="both"/>
        <w:rPr>
          <w:rFonts w:cs="Arial"/>
          <w:sz w:val="20"/>
        </w:rPr>
      </w:pPr>
      <w:r w:rsidRPr="00C1001D">
        <w:rPr>
          <w:rFonts w:cs="Arial"/>
          <w:b/>
          <w:bCs/>
          <w:sz w:val="20"/>
        </w:rPr>
        <w:t xml:space="preserve">Hrubý disponibilní důchod </w:t>
      </w:r>
      <w:r w:rsidRPr="00C1001D">
        <w:rPr>
          <w:rFonts w:cs="Arial"/>
          <w:sz w:val="20"/>
        </w:rPr>
        <w:t>= hrubý domácí produkt + čisté prvotní důchody a čisté běžné transfery od nerezidentů - čisté prvotní důchody a čisté běžné transfery nerezidentům</w:t>
      </w:r>
    </w:p>
    <w:p w14:paraId="74E37D11" w14:textId="77777777" w:rsidR="00DA443E" w:rsidRPr="00C1001D" w:rsidRDefault="00DA443E">
      <w:pPr>
        <w:jc w:val="both"/>
        <w:rPr>
          <w:rFonts w:cs="Arial"/>
          <w:sz w:val="20"/>
        </w:rPr>
      </w:pPr>
    </w:p>
    <w:p w14:paraId="5641FCF2" w14:textId="77777777" w:rsidR="00DA443E" w:rsidRPr="00C1001D" w:rsidRDefault="00DA443E">
      <w:pPr>
        <w:jc w:val="both"/>
        <w:rPr>
          <w:rFonts w:cs="Arial"/>
          <w:sz w:val="20"/>
        </w:rPr>
      </w:pPr>
      <w:r w:rsidRPr="00C1001D">
        <w:rPr>
          <w:rFonts w:cs="Arial"/>
          <w:b/>
          <w:bCs/>
          <w:sz w:val="20"/>
        </w:rPr>
        <w:t>Hrubé národní úspory</w:t>
      </w:r>
      <w:r w:rsidRPr="00C1001D">
        <w:rPr>
          <w:rFonts w:cs="Arial"/>
          <w:sz w:val="20"/>
        </w:rPr>
        <w:t xml:space="preserve"> = hrubý disponibilní důchod + úprava o změny čistého podílu domácností na rezervách penzijních fondů – výdaje na konečnou spotřebu</w:t>
      </w:r>
    </w:p>
    <w:p w14:paraId="3C91AED9" w14:textId="77777777" w:rsidR="00DA443E" w:rsidRPr="00C1001D" w:rsidRDefault="00DA443E">
      <w:pPr>
        <w:jc w:val="both"/>
        <w:rPr>
          <w:rFonts w:cs="Arial"/>
          <w:sz w:val="20"/>
        </w:rPr>
      </w:pPr>
    </w:p>
    <w:p w14:paraId="3BED99FE" w14:textId="77777777" w:rsidR="00DA443E" w:rsidRPr="00C1001D" w:rsidRDefault="00DA443E">
      <w:pPr>
        <w:jc w:val="both"/>
        <w:rPr>
          <w:rFonts w:cs="Arial"/>
          <w:sz w:val="20"/>
        </w:rPr>
      </w:pPr>
      <w:r w:rsidRPr="00C1001D">
        <w:rPr>
          <w:rFonts w:cs="Arial"/>
          <w:b/>
          <w:bCs/>
          <w:sz w:val="20"/>
        </w:rPr>
        <w:t>Míra hrubých národních úspor</w:t>
      </w:r>
      <w:r w:rsidRPr="00C1001D">
        <w:rPr>
          <w:rFonts w:cs="Arial"/>
          <w:sz w:val="20"/>
        </w:rPr>
        <w:t xml:space="preserve"> = hrubé národní úspory / hrubý disponibilní důchod</w:t>
      </w:r>
    </w:p>
    <w:p w14:paraId="253972FA" w14:textId="77777777" w:rsidR="00DA443E" w:rsidRPr="00C1001D" w:rsidRDefault="00DA443E">
      <w:pPr>
        <w:jc w:val="both"/>
        <w:rPr>
          <w:rFonts w:cs="Arial"/>
          <w:sz w:val="20"/>
        </w:rPr>
      </w:pPr>
    </w:p>
    <w:p w14:paraId="27FCA229" w14:textId="77777777" w:rsidR="00DA443E" w:rsidRPr="00C1001D" w:rsidRDefault="00DA443E">
      <w:pPr>
        <w:pStyle w:val="Nadpis1"/>
        <w:jc w:val="both"/>
        <w:rPr>
          <w:rFonts w:cs="Arial"/>
          <w:b w:val="0"/>
          <w:bCs w:val="0"/>
          <w:sz w:val="20"/>
        </w:rPr>
      </w:pPr>
      <w:r w:rsidRPr="00C1001D">
        <w:rPr>
          <w:rFonts w:cs="Arial"/>
          <w:sz w:val="20"/>
        </w:rPr>
        <w:t>Míra hrubých úspor domácností</w:t>
      </w:r>
      <w:r w:rsidRPr="00C1001D">
        <w:rPr>
          <w:rFonts w:cs="Arial"/>
          <w:b w:val="0"/>
          <w:bCs w:val="0"/>
          <w:sz w:val="20"/>
        </w:rPr>
        <w:t xml:space="preserve"> je poměr hrubých úspor domácností k hrubému disponibilnímu důchodu domácností. Vyjadřuje průměrný sklon domácností k úsporám.</w:t>
      </w:r>
    </w:p>
    <w:p w14:paraId="21E5C15C" w14:textId="77777777" w:rsidR="00DA443E" w:rsidRPr="00C1001D" w:rsidRDefault="00DA443E">
      <w:pPr>
        <w:jc w:val="both"/>
        <w:rPr>
          <w:rFonts w:cs="Arial"/>
          <w:sz w:val="20"/>
        </w:rPr>
      </w:pPr>
    </w:p>
    <w:p w14:paraId="06379E52" w14:textId="77777777" w:rsidR="00DA443E" w:rsidRPr="00C1001D" w:rsidRDefault="00DA443E">
      <w:pPr>
        <w:jc w:val="both"/>
        <w:rPr>
          <w:rFonts w:cs="Arial"/>
          <w:sz w:val="20"/>
        </w:rPr>
      </w:pPr>
      <w:r w:rsidRPr="00C1001D">
        <w:rPr>
          <w:rFonts w:cs="Arial"/>
          <w:b/>
          <w:bCs/>
          <w:sz w:val="20"/>
        </w:rPr>
        <w:t>Souhrnná produktivita práce</w:t>
      </w:r>
      <w:r w:rsidRPr="00C1001D">
        <w:rPr>
          <w:rFonts w:cs="Arial"/>
          <w:sz w:val="20"/>
        </w:rPr>
        <w:t xml:space="preserve"> je počítána jako podíl hrubého domác</w:t>
      </w:r>
      <w:r w:rsidR="00E8634B" w:rsidRPr="00C1001D">
        <w:rPr>
          <w:rFonts w:cs="Arial"/>
          <w:sz w:val="20"/>
        </w:rPr>
        <w:t>ího produktu (v cenách roku 201</w:t>
      </w:r>
      <w:r w:rsidR="00AA10ED" w:rsidRPr="00C1001D">
        <w:rPr>
          <w:rFonts w:cs="Arial"/>
          <w:sz w:val="20"/>
        </w:rPr>
        <w:t>5</w:t>
      </w:r>
      <w:r w:rsidRPr="00C1001D">
        <w:rPr>
          <w:rFonts w:cs="Arial"/>
          <w:sz w:val="20"/>
        </w:rPr>
        <w:t xml:space="preserve">) a celkové zaměstnanosti podle národních účtů. </w:t>
      </w:r>
    </w:p>
    <w:p w14:paraId="1EC17699" w14:textId="77777777" w:rsidR="00DA443E" w:rsidRPr="00C1001D" w:rsidRDefault="00DA443E">
      <w:pPr>
        <w:jc w:val="both"/>
        <w:rPr>
          <w:rFonts w:cs="Arial"/>
          <w:b/>
          <w:bCs/>
          <w:sz w:val="20"/>
        </w:rPr>
      </w:pPr>
    </w:p>
    <w:p w14:paraId="7EEF9801" w14:textId="77777777" w:rsidR="00DA443E" w:rsidRPr="00C1001D" w:rsidRDefault="00DA443E">
      <w:pPr>
        <w:jc w:val="both"/>
        <w:rPr>
          <w:rFonts w:cs="Arial"/>
          <w:sz w:val="20"/>
        </w:rPr>
      </w:pPr>
      <w:r w:rsidRPr="00C1001D">
        <w:rPr>
          <w:rFonts w:cs="Arial"/>
          <w:b/>
          <w:bCs/>
          <w:sz w:val="20"/>
        </w:rPr>
        <w:t>Jednotkové pracovní náklady</w:t>
      </w:r>
      <w:r w:rsidRPr="00C1001D">
        <w:rPr>
          <w:rFonts w:cs="Arial"/>
          <w:sz w:val="20"/>
        </w:rPr>
        <w:t xml:space="preserve"> představují poměr čistých prvotních pracovních důchodů pracovníků (náhrady zaměstnancům a čistý smíšený důchod z národních účtů) a hrubého domácího produktu ve stálých cenách.</w:t>
      </w:r>
    </w:p>
    <w:p w14:paraId="48A7690E" w14:textId="77777777" w:rsidR="00DA443E" w:rsidRPr="00C1001D" w:rsidRDefault="00DA443E">
      <w:pPr>
        <w:jc w:val="both"/>
        <w:rPr>
          <w:rFonts w:cs="Arial"/>
          <w:sz w:val="20"/>
        </w:rPr>
      </w:pPr>
    </w:p>
    <w:p w14:paraId="59762051" w14:textId="77777777" w:rsidR="00DA443E" w:rsidRPr="00C1001D" w:rsidRDefault="00DA443E">
      <w:pPr>
        <w:jc w:val="both"/>
        <w:rPr>
          <w:rFonts w:cs="Arial"/>
          <w:sz w:val="20"/>
        </w:rPr>
      </w:pPr>
      <w:r w:rsidRPr="00C1001D">
        <w:rPr>
          <w:rFonts w:cs="Arial"/>
          <w:b/>
          <w:bCs/>
          <w:sz w:val="20"/>
        </w:rPr>
        <w:t xml:space="preserve">Energetická náročnost </w:t>
      </w:r>
      <w:r w:rsidRPr="00C1001D">
        <w:rPr>
          <w:rFonts w:cs="Arial"/>
          <w:sz w:val="20"/>
        </w:rPr>
        <w:t>je vyjádřena podílem spotřeby primárních energetických zdrojů a hrubého domácího prod</w:t>
      </w:r>
      <w:r w:rsidR="004D6590" w:rsidRPr="00C1001D">
        <w:rPr>
          <w:rFonts w:cs="Arial"/>
          <w:sz w:val="20"/>
        </w:rPr>
        <w:t xml:space="preserve">uktu ve stálých cenách roku </w:t>
      </w:r>
      <w:r w:rsidR="007E3DBE" w:rsidRPr="00C1001D">
        <w:rPr>
          <w:rFonts w:cs="Arial"/>
          <w:sz w:val="20"/>
        </w:rPr>
        <w:t>2020</w:t>
      </w:r>
      <w:r w:rsidRPr="00C1001D">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C1001D">
        <w:rPr>
          <w:rFonts w:cs="Arial"/>
          <w:sz w:val="20"/>
        </w:rPr>
        <w:t>2020</w:t>
      </w:r>
      <w:r w:rsidRPr="00C1001D">
        <w:rPr>
          <w:rFonts w:cs="Arial"/>
          <w:sz w:val="20"/>
        </w:rPr>
        <w:t>.</w:t>
      </w:r>
    </w:p>
    <w:p w14:paraId="23C2A249" w14:textId="77777777" w:rsidR="00DA443E" w:rsidRPr="00C1001D" w:rsidRDefault="00DA443E">
      <w:pPr>
        <w:pStyle w:val="Normlnweb"/>
        <w:spacing w:before="0" w:beforeAutospacing="0" w:after="0" w:afterAutospacing="0"/>
        <w:jc w:val="both"/>
        <w:rPr>
          <w:rFonts w:ascii="Arial" w:hAnsi="Arial" w:cs="Arial"/>
          <w:b/>
          <w:bCs/>
          <w:color w:val="auto"/>
          <w:sz w:val="20"/>
          <w:szCs w:val="20"/>
        </w:rPr>
      </w:pPr>
    </w:p>
    <w:p w14:paraId="7CD8A2B5" w14:textId="77777777" w:rsidR="00B31969" w:rsidRPr="00C1001D" w:rsidRDefault="00B31969" w:rsidP="00B31969">
      <w:pPr>
        <w:autoSpaceDE w:val="0"/>
        <w:autoSpaceDN w:val="0"/>
        <w:adjustRightInd w:val="0"/>
        <w:rPr>
          <w:rFonts w:cs="Arial"/>
          <w:sz w:val="20"/>
        </w:rPr>
      </w:pPr>
      <w:r w:rsidRPr="00C1001D">
        <w:rPr>
          <w:rFonts w:cs="Arial"/>
          <w:b/>
          <w:sz w:val="20"/>
        </w:rPr>
        <w:t>Celkové antropogenní emise a propady CO2</w:t>
      </w:r>
      <w:r w:rsidRPr="00C1001D">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w:t>
      </w:r>
      <w:proofErr w:type="spellStart"/>
      <w:r w:rsidRPr="00C1001D">
        <w:rPr>
          <w:rFonts w:cs="Arial"/>
          <w:sz w:val="20"/>
        </w:rPr>
        <w:t>Gudelines</w:t>
      </w:r>
      <w:proofErr w:type="spellEnd"/>
      <w:r w:rsidRPr="00C1001D">
        <w:rPr>
          <w:rFonts w:cs="Arial"/>
          <w:sz w:val="20"/>
        </w:rPr>
        <w:t xml:space="preserve">, IPCC 2000 </w:t>
      </w:r>
      <w:proofErr w:type="spellStart"/>
      <w:r w:rsidRPr="00C1001D">
        <w:rPr>
          <w:rFonts w:cs="Arial"/>
          <w:sz w:val="20"/>
        </w:rPr>
        <w:t>Good</w:t>
      </w:r>
      <w:proofErr w:type="spellEnd"/>
      <w:r w:rsidRPr="00C1001D">
        <w:rPr>
          <w:rFonts w:cs="Arial"/>
          <w:sz w:val="20"/>
        </w:rPr>
        <w:t xml:space="preserve"> </w:t>
      </w:r>
      <w:proofErr w:type="spellStart"/>
      <w:r w:rsidRPr="00C1001D">
        <w:rPr>
          <w:rFonts w:cs="Arial"/>
          <w:sz w:val="20"/>
        </w:rPr>
        <w:t>Practice</w:t>
      </w:r>
      <w:proofErr w:type="spellEnd"/>
      <w:r w:rsidRPr="00C1001D">
        <w:rPr>
          <w:rFonts w:cs="Arial"/>
          <w:sz w:val="20"/>
        </w:rPr>
        <w:t xml:space="preserve"> </w:t>
      </w:r>
      <w:proofErr w:type="spellStart"/>
      <w:r w:rsidRPr="00C1001D">
        <w:rPr>
          <w:rFonts w:cs="Arial"/>
          <w:sz w:val="20"/>
        </w:rPr>
        <w:t>Guidance</w:t>
      </w:r>
      <w:proofErr w:type="spellEnd"/>
      <w:r w:rsidRPr="00C1001D">
        <w:rPr>
          <w:rFonts w:cs="Arial"/>
          <w:sz w:val="20"/>
        </w:rPr>
        <w:t>)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14:paraId="1DE6F1F1"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3FDC6B84" w14:textId="77777777" w:rsidR="00DA443E" w:rsidRPr="00C1001D" w:rsidRDefault="00DA443E">
      <w:pPr>
        <w:jc w:val="both"/>
        <w:rPr>
          <w:b/>
          <w:sz w:val="20"/>
        </w:rPr>
      </w:pPr>
      <w:r w:rsidRPr="00C1001D">
        <w:rPr>
          <w:rFonts w:cs="Arial"/>
          <w:b/>
          <w:bCs/>
          <w:sz w:val="20"/>
        </w:rPr>
        <w:t>Tržby za prodej výrobků a služeb průmyslové povahy</w:t>
      </w:r>
      <w:r w:rsidRPr="00C1001D">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C1001D">
        <w:rPr>
          <w:rFonts w:cs="Arial"/>
          <w:sz w:val="20"/>
        </w:rPr>
        <w:t xml:space="preserve"> Počínaje daty za rok 2021 jsou prezentovány indexy ve formě očištěné o vliv počtu pracovních dnů. Celá časová řada byla přepočtena.</w:t>
      </w:r>
    </w:p>
    <w:p w14:paraId="06156CF1"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7F00FFB0" w14:textId="77777777" w:rsidR="00DA443E" w:rsidRPr="00C1001D" w:rsidRDefault="00DA443E">
      <w:pPr>
        <w:jc w:val="both"/>
        <w:rPr>
          <w:sz w:val="20"/>
        </w:rPr>
      </w:pPr>
      <w:r w:rsidRPr="00C1001D">
        <w:rPr>
          <w:rStyle w:val="Siln"/>
          <w:rFonts w:cs="Arial"/>
          <w:sz w:val="20"/>
        </w:rPr>
        <w:t>Index stavební produkce</w:t>
      </w:r>
      <w:r w:rsidRPr="00C1001D">
        <w:rPr>
          <w:rStyle w:val="Siln"/>
          <w:sz w:val="20"/>
        </w:rPr>
        <w:t xml:space="preserve"> (ISP) je</w:t>
      </w:r>
      <w:r w:rsidRPr="00C1001D">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C1001D">
        <w:rPr>
          <w:sz w:val="20"/>
        </w:rPr>
        <w:t>2021</w:t>
      </w:r>
      <w:r w:rsidRPr="00C1001D">
        <w:rPr>
          <w:sz w:val="20"/>
        </w:rPr>
        <w:t>. Od bazických indexů jsou dále odvozeny indexy meziroční a případné kumulace v čase (čtvrtletní, pololetní, roční kumulace).</w:t>
      </w:r>
    </w:p>
    <w:p w14:paraId="645DEE3C" w14:textId="77777777" w:rsidR="00DA443E" w:rsidRPr="00C1001D" w:rsidRDefault="00DA443E">
      <w:pPr>
        <w:jc w:val="both"/>
        <w:rPr>
          <w:rFonts w:cs="Arial"/>
          <w:sz w:val="20"/>
        </w:rPr>
      </w:pPr>
    </w:p>
    <w:p w14:paraId="028951D6" w14:textId="77777777" w:rsidR="00DA443E" w:rsidRPr="00C1001D" w:rsidRDefault="00DA443E">
      <w:pPr>
        <w:pStyle w:val="Nadpis1"/>
        <w:jc w:val="both"/>
        <w:rPr>
          <w:b w:val="0"/>
          <w:bCs w:val="0"/>
          <w:sz w:val="20"/>
        </w:rPr>
      </w:pPr>
      <w:r w:rsidRPr="00C1001D">
        <w:rPr>
          <w:sz w:val="20"/>
        </w:rPr>
        <w:t>Tržby ve službách</w:t>
      </w:r>
      <w:r w:rsidRPr="00C1001D">
        <w:rPr>
          <w:b w:val="0"/>
          <w:bCs w:val="0"/>
          <w:sz w:val="20"/>
        </w:rPr>
        <w:t xml:space="preserve"> zahrnují celkové tržby bez DPH za zboží, vlastní výrobky a služby, zjišťované na konstantním poli podniků. Ukazatel zahrnuje: </w:t>
      </w:r>
    </w:p>
    <w:p w14:paraId="691530A4" w14:textId="77777777" w:rsidR="00DA443E" w:rsidRPr="00C1001D" w:rsidRDefault="00DA443E">
      <w:pPr>
        <w:rPr>
          <w:sz w:val="20"/>
        </w:rPr>
      </w:pPr>
      <w:r w:rsidRPr="00C1001D">
        <w:rPr>
          <w:sz w:val="20"/>
        </w:rPr>
        <w:t>- tržby za Dopravu a skladování (CZ</w:t>
      </w:r>
      <w:r w:rsidRPr="00C1001D">
        <w:rPr>
          <w:sz w:val="20"/>
        </w:rPr>
        <w:noBreakHyphen/>
        <w:t>NACE 49 až 53)</w:t>
      </w:r>
    </w:p>
    <w:p w14:paraId="6CF802BB" w14:textId="77777777" w:rsidR="00DA443E" w:rsidRPr="00C1001D" w:rsidRDefault="00DA443E">
      <w:pPr>
        <w:rPr>
          <w:sz w:val="20"/>
        </w:rPr>
      </w:pPr>
      <w:r w:rsidRPr="00C1001D">
        <w:rPr>
          <w:sz w:val="20"/>
        </w:rPr>
        <w:t>- tržby za Ubytování, stravování a pohostinství (CZ</w:t>
      </w:r>
      <w:r w:rsidRPr="00C1001D">
        <w:rPr>
          <w:sz w:val="20"/>
        </w:rPr>
        <w:noBreakHyphen/>
        <w:t>NACE 55 až 56)</w:t>
      </w:r>
    </w:p>
    <w:p w14:paraId="018DBA25" w14:textId="77777777" w:rsidR="00DA443E" w:rsidRPr="00C1001D" w:rsidRDefault="00DA443E">
      <w:pPr>
        <w:rPr>
          <w:sz w:val="20"/>
        </w:rPr>
      </w:pPr>
      <w:r w:rsidRPr="00C1001D">
        <w:rPr>
          <w:sz w:val="20"/>
        </w:rPr>
        <w:t>- tržby za Informační a komunikační činnosti (CZ</w:t>
      </w:r>
      <w:r w:rsidRPr="00C1001D">
        <w:rPr>
          <w:sz w:val="20"/>
        </w:rPr>
        <w:noBreakHyphen/>
        <w:t>NACE 58 až 63)</w:t>
      </w:r>
    </w:p>
    <w:p w14:paraId="352ADACF" w14:textId="77777777" w:rsidR="00DA443E" w:rsidRPr="00C1001D" w:rsidRDefault="00DA443E">
      <w:pPr>
        <w:rPr>
          <w:sz w:val="20"/>
        </w:rPr>
      </w:pPr>
      <w:r w:rsidRPr="00C1001D">
        <w:rPr>
          <w:sz w:val="20"/>
        </w:rPr>
        <w:t>- tržby za Činnosti v oblasti nemovitostí (CZ</w:t>
      </w:r>
      <w:r w:rsidRPr="00C1001D">
        <w:rPr>
          <w:sz w:val="20"/>
        </w:rPr>
        <w:noBreakHyphen/>
        <w:t>NACE 68)</w:t>
      </w:r>
    </w:p>
    <w:p w14:paraId="481907F9" w14:textId="77777777" w:rsidR="00DA443E" w:rsidRPr="00C1001D" w:rsidRDefault="00DA443E">
      <w:pPr>
        <w:rPr>
          <w:sz w:val="20"/>
        </w:rPr>
      </w:pPr>
      <w:r w:rsidRPr="00C1001D">
        <w:rPr>
          <w:sz w:val="20"/>
        </w:rPr>
        <w:t>- tržby za Profesní, vědecké a technické činnosti bez činností Výzkum a vývoj a Veterinární činnosti (CZ</w:t>
      </w:r>
      <w:r w:rsidRPr="00C1001D">
        <w:rPr>
          <w:sz w:val="20"/>
        </w:rPr>
        <w:noBreakHyphen/>
        <w:t>NACE 69 až 71 a 73 a 74, nezahrnuje CZ</w:t>
      </w:r>
      <w:r w:rsidRPr="00C1001D">
        <w:rPr>
          <w:sz w:val="20"/>
        </w:rPr>
        <w:noBreakHyphen/>
        <w:t>NACE 72 a 75)</w:t>
      </w:r>
    </w:p>
    <w:p w14:paraId="0353B975" w14:textId="77777777" w:rsidR="00DA443E" w:rsidRPr="00C1001D" w:rsidRDefault="00DA443E">
      <w:pPr>
        <w:rPr>
          <w:sz w:val="20"/>
        </w:rPr>
      </w:pPr>
      <w:r w:rsidRPr="00C1001D">
        <w:rPr>
          <w:sz w:val="20"/>
        </w:rPr>
        <w:t>- tržby za Administrativní a podpůrné činnosti bez Činností souvisejících s úprav</w:t>
      </w:r>
      <w:r w:rsidR="00AF1FC4" w:rsidRPr="00C1001D">
        <w:rPr>
          <w:sz w:val="20"/>
        </w:rPr>
        <w:t>ou krajiny (CZ</w:t>
      </w:r>
      <w:r w:rsidR="00AF1FC4" w:rsidRPr="00C1001D">
        <w:rPr>
          <w:sz w:val="20"/>
        </w:rPr>
        <w:noBreakHyphen/>
        <w:t>NACE 77 až 82</w:t>
      </w:r>
      <w:r w:rsidRPr="00C1001D">
        <w:rPr>
          <w:sz w:val="20"/>
        </w:rPr>
        <w:t>).</w:t>
      </w:r>
    </w:p>
    <w:p w14:paraId="3DFE7F24" w14:textId="77777777" w:rsidR="009E271A" w:rsidRPr="00C1001D" w:rsidRDefault="009F2B27">
      <w:pPr>
        <w:rPr>
          <w:sz w:val="20"/>
        </w:rPr>
      </w:pPr>
      <w:r w:rsidRPr="00C1001D">
        <w:rPr>
          <w:sz w:val="20"/>
        </w:rPr>
        <w:t xml:space="preserve">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w:t>
      </w:r>
      <w:proofErr w:type="spellStart"/>
      <w:r w:rsidRPr="00C1001D">
        <w:rPr>
          <w:sz w:val="20"/>
        </w:rPr>
        <w:t>annual</w:t>
      </w:r>
      <w:proofErr w:type="spellEnd"/>
      <w:r w:rsidRPr="00C1001D">
        <w:rPr>
          <w:sz w:val="20"/>
        </w:rPr>
        <w:t xml:space="preserve"> </w:t>
      </w:r>
      <w:proofErr w:type="spellStart"/>
      <w:r w:rsidRPr="00C1001D">
        <w:rPr>
          <w:sz w:val="20"/>
        </w:rPr>
        <w:t>overlap</w:t>
      </w:r>
      <w:proofErr w:type="spellEnd"/>
      <w:r w:rsidRPr="00C1001D">
        <w:rPr>
          <w:sz w:val="20"/>
        </w:rPr>
        <w:t>. Vlastností této metody je, že meziroční indexy 2019/2018 za celoroční kumulace zůstávají po propojení stejné jako u původních dat a také se nemění průběh řad za roky 2006-2018.</w:t>
      </w:r>
    </w:p>
    <w:p w14:paraId="6760666A" w14:textId="77777777" w:rsidR="00DA443E" w:rsidRPr="00C1001D" w:rsidRDefault="00DA443E">
      <w:pPr>
        <w:jc w:val="both"/>
        <w:rPr>
          <w:rFonts w:cs="Arial"/>
          <w:sz w:val="20"/>
        </w:rPr>
      </w:pPr>
    </w:p>
    <w:p w14:paraId="7845D549" w14:textId="77777777" w:rsidR="00DA443E" w:rsidRPr="00C1001D" w:rsidRDefault="00DA443E">
      <w:pPr>
        <w:pStyle w:val="Nadpis5"/>
        <w:rPr>
          <w:b w:val="0"/>
          <w:bCs w:val="0"/>
        </w:rPr>
      </w:pPr>
      <w:r w:rsidRPr="00C1001D">
        <w:lastRenderedPageBreak/>
        <w:t xml:space="preserve">Tržby v zemědělství </w:t>
      </w:r>
      <w:r w:rsidRPr="00C1001D">
        <w:rPr>
          <w:rFonts w:cs="Arial"/>
          <w:b w:val="0"/>
          <w:bCs w:val="0"/>
          <w:szCs w:val="17"/>
        </w:rPr>
        <w:t>zahrnují tržby za vlastní výrobky a služby bez DPH za zemědělství a rybářství (CZ-NACE 01+03).</w:t>
      </w:r>
      <w:r w:rsidRPr="00C1001D">
        <w:rPr>
          <w:b w:val="0"/>
          <w:bCs w:val="0"/>
        </w:rPr>
        <w:t xml:space="preserve"> </w:t>
      </w:r>
    </w:p>
    <w:p w14:paraId="2A143720" w14:textId="77777777" w:rsidR="00DA443E" w:rsidRPr="00C1001D" w:rsidRDefault="00DA443E">
      <w:pPr>
        <w:jc w:val="both"/>
        <w:rPr>
          <w:rFonts w:cs="Arial"/>
          <w:sz w:val="20"/>
        </w:rPr>
      </w:pPr>
    </w:p>
    <w:p w14:paraId="649385CA" w14:textId="77777777" w:rsidR="00DA443E" w:rsidRPr="00C1001D" w:rsidRDefault="00DA443E">
      <w:pPr>
        <w:jc w:val="both"/>
        <w:rPr>
          <w:sz w:val="20"/>
        </w:rPr>
      </w:pPr>
      <w:r w:rsidRPr="00C1001D">
        <w:rPr>
          <w:sz w:val="20"/>
        </w:rPr>
        <w:t xml:space="preserve">Za </w:t>
      </w:r>
      <w:r w:rsidRPr="00C1001D">
        <w:rPr>
          <w:b/>
          <w:bCs/>
          <w:sz w:val="20"/>
        </w:rPr>
        <w:t>zaměstnané</w:t>
      </w:r>
      <w:r w:rsidRPr="00C1001D">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C1001D">
        <w:rPr>
          <w:sz w:val="20"/>
        </w:rPr>
        <w:t>kritériem</w:t>
      </w:r>
      <w:r w:rsidRPr="00C1001D">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14:paraId="0A8074F2" w14:textId="77777777" w:rsidR="00DA443E" w:rsidRPr="00C1001D" w:rsidRDefault="00DA443E">
      <w:pPr>
        <w:jc w:val="both"/>
        <w:rPr>
          <w:sz w:val="20"/>
        </w:rPr>
      </w:pPr>
      <w:bookmarkStart w:id="0" w:name="OLE_LINK1"/>
      <w:r w:rsidRPr="00C1001D">
        <w:rPr>
          <w:sz w:val="20"/>
        </w:rPr>
        <w:t>Podle mezinárodní metodiky jsou mezi zaměstnané zahrnovány:</w:t>
      </w:r>
    </w:p>
    <w:p w14:paraId="7D13243A" w14:textId="77777777" w:rsidR="00DA443E" w:rsidRPr="00C1001D" w:rsidRDefault="00DA443E">
      <w:pPr>
        <w:jc w:val="both"/>
        <w:rPr>
          <w:sz w:val="20"/>
        </w:rPr>
      </w:pPr>
      <w:r w:rsidRPr="00C1001D">
        <w:rPr>
          <w:sz w:val="20"/>
        </w:rPr>
        <w:t>- osoby pracující ve vlastní či rodinné firmě,</w:t>
      </w:r>
    </w:p>
    <w:p w14:paraId="6261CDBD" w14:textId="77777777" w:rsidR="00DA443E" w:rsidRPr="00C1001D" w:rsidRDefault="00DA443E">
      <w:pPr>
        <w:jc w:val="both"/>
        <w:rPr>
          <w:sz w:val="20"/>
        </w:rPr>
      </w:pPr>
      <w:r w:rsidRPr="00C1001D">
        <w:rPr>
          <w:sz w:val="20"/>
        </w:rPr>
        <w:t>- profesionální příslušníci armády</w:t>
      </w:r>
    </w:p>
    <w:p w14:paraId="5D1EB17C" w14:textId="77777777" w:rsidR="00DA443E" w:rsidRPr="00C1001D" w:rsidRDefault="00DA443E">
      <w:pPr>
        <w:jc w:val="both"/>
        <w:rPr>
          <w:sz w:val="20"/>
        </w:rPr>
      </w:pPr>
      <w:r w:rsidRPr="00C1001D">
        <w:rPr>
          <w:sz w:val="20"/>
        </w:rPr>
        <w:t>- osoby ve výkonu základní vojenské a civilní služby (do r. 2004 vč.)</w:t>
      </w:r>
    </w:p>
    <w:p w14:paraId="7D8BDC7A" w14:textId="77777777" w:rsidR="00DA443E" w:rsidRPr="00C1001D" w:rsidRDefault="00DA443E">
      <w:pPr>
        <w:jc w:val="both"/>
        <w:rPr>
          <w:sz w:val="20"/>
        </w:rPr>
      </w:pPr>
      <w:r w:rsidRPr="00C1001D">
        <w:rPr>
          <w:sz w:val="20"/>
        </w:rPr>
        <w:t>- osoby na mateřské dovolené, které před nástupem pracovaly</w:t>
      </w:r>
      <w:bookmarkEnd w:id="0"/>
    </w:p>
    <w:p w14:paraId="79962CE0" w14:textId="77777777" w:rsidR="00DA443E" w:rsidRPr="00C1001D" w:rsidRDefault="00DA443E">
      <w:pPr>
        <w:jc w:val="both"/>
        <w:rPr>
          <w:sz w:val="20"/>
        </w:rPr>
      </w:pPr>
      <w:r w:rsidRPr="00C1001D">
        <w:rPr>
          <w:sz w:val="20"/>
        </w:rPr>
        <w:t>Podle mezinárodní metodiky nejsou mezi zaměstnané zahrnovány:</w:t>
      </w:r>
    </w:p>
    <w:p w14:paraId="1144979F" w14:textId="77777777" w:rsidR="00DA443E" w:rsidRPr="00C1001D" w:rsidRDefault="00DA443E">
      <w:pPr>
        <w:jc w:val="both"/>
        <w:rPr>
          <w:rFonts w:cs="Arial"/>
          <w:sz w:val="20"/>
        </w:rPr>
      </w:pPr>
      <w:r w:rsidRPr="00C1001D">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14:paraId="0F796730" w14:textId="77777777" w:rsidR="00DA443E" w:rsidRPr="00C1001D" w:rsidRDefault="00DA443E">
      <w:pPr>
        <w:jc w:val="both"/>
        <w:rPr>
          <w:rFonts w:cs="Arial"/>
          <w:sz w:val="20"/>
        </w:rPr>
      </w:pPr>
    </w:p>
    <w:p w14:paraId="3F78474C" w14:textId="77777777" w:rsidR="00DA443E" w:rsidRPr="00C1001D" w:rsidRDefault="00DA443E">
      <w:pPr>
        <w:jc w:val="both"/>
        <w:rPr>
          <w:sz w:val="20"/>
        </w:rPr>
      </w:pPr>
      <w:r w:rsidRPr="00C1001D">
        <w:rPr>
          <w:sz w:val="20"/>
        </w:rPr>
        <w:t xml:space="preserve">Za </w:t>
      </w:r>
      <w:r w:rsidRPr="00C1001D">
        <w:rPr>
          <w:b/>
          <w:bCs/>
          <w:sz w:val="20"/>
        </w:rPr>
        <w:t>nezaměstnané</w:t>
      </w:r>
      <w:r w:rsidRPr="00C1001D">
        <w:rPr>
          <w:sz w:val="20"/>
        </w:rPr>
        <w:t xml:space="preserve"> se podle mezinárodně srovnatelné metodiky považují všechny osoby patnáctileté a starší, obvykle bydlící na sledovaném území, které v průběhu referenčního týdne souběžně splňovaly tyto podmínky ILO:</w:t>
      </w:r>
    </w:p>
    <w:p w14:paraId="0454048E" w14:textId="77777777" w:rsidR="00DA443E" w:rsidRPr="00C1001D" w:rsidRDefault="00DA443E">
      <w:pPr>
        <w:jc w:val="both"/>
        <w:rPr>
          <w:sz w:val="20"/>
        </w:rPr>
      </w:pPr>
      <w:r w:rsidRPr="00C1001D">
        <w:rPr>
          <w:sz w:val="20"/>
        </w:rPr>
        <w:t xml:space="preserve">- byly bez práce, tj. nebyly ani v placeném zaměstnání ani nebyly </w:t>
      </w:r>
      <w:proofErr w:type="spellStart"/>
      <w:r w:rsidRPr="00C1001D">
        <w:rPr>
          <w:sz w:val="20"/>
        </w:rPr>
        <w:t>sebezaměstnané</w:t>
      </w:r>
      <w:proofErr w:type="spellEnd"/>
      <w:r w:rsidRPr="00C1001D">
        <w:rPr>
          <w:sz w:val="20"/>
        </w:rPr>
        <w:t>,</w:t>
      </w:r>
    </w:p>
    <w:p w14:paraId="263F7C2D" w14:textId="77777777" w:rsidR="00DA443E" w:rsidRPr="00C1001D" w:rsidRDefault="00DA443E">
      <w:pPr>
        <w:jc w:val="both"/>
        <w:rPr>
          <w:sz w:val="20"/>
        </w:rPr>
      </w:pPr>
      <w:r w:rsidRPr="00C1001D">
        <w:rPr>
          <w:sz w:val="20"/>
        </w:rPr>
        <w:t xml:space="preserve">- byly připraveny k nástupu do práce, tj., během referenčního období byly k disposici okamžitě nebo nejpozději do 14 dnů pro výkon placeného zaměstnání nebo </w:t>
      </w:r>
      <w:proofErr w:type="spellStart"/>
      <w:r w:rsidRPr="00C1001D">
        <w:rPr>
          <w:sz w:val="20"/>
        </w:rPr>
        <w:t>sebezaměstnání</w:t>
      </w:r>
      <w:proofErr w:type="spellEnd"/>
      <w:r w:rsidRPr="00C1001D">
        <w:rPr>
          <w:sz w:val="20"/>
        </w:rPr>
        <w:t>,</w:t>
      </w:r>
    </w:p>
    <w:p w14:paraId="6C8B93DA" w14:textId="77777777" w:rsidR="0062519C" w:rsidRPr="00C1001D" w:rsidRDefault="0062519C" w:rsidP="0062519C">
      <w:pPr>
        <w:jc w:val="both"/>
        <w:rPr>
          <w:sz w:val="20"/>
        </w:rPr>
      </w:pPr>
      <w:r w:rsidRPr="00C1001D">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14:paraId="41B3F34D" w14:textId="77777777" w:rsidR="00DA443E" w:rsidRPr="00C1001D" w:rsidRDefault="00DA443E">
      <w:pPr>
        <w:jc w:val="both"/>
        <w:rPr>
          <w:rFonts w:cs="Arial"/>
          <w:b/>
          <w:bCs/>
          <w:sz w:val="20"/>
        </w:rPr>
      </w:pPr>
    </w:p>
    <w:p w14:paraId="2F89BA66" w14:textId="77777777" w:rsidR="00DA443E" w:rsidRPr="00C1001D" w:rsidRDefault="00DA443E">
      <w:pPr>
        <w:jc w:val="both"/>
        <w:rPr>
          <w:rFonts w:cs="Arial"/>
          <w:sz w:val="20"/>
        </w:rPr>
      </w:pPr>
      <w:r w:rsidRPr="00C1001D">
        <w:rPr>
          <w:rFonts w:cs="Arial"/>
          <w:b/>
          <w:bCs/>
          <w:sz w:val="20"/>
        </w:rPr>
        <w:t>Pracovní sílu</w:t>
      </w:r>
      <w:r w:rsidRPr="00C1001D">
        <w:rPr>
          <w:rFonts w:cs="Arial"/>
          <w:sz w:val="20"/>
        </w:rPr>
        <w:t xml:space="preserve"> tvoří zaměstnaní a nezaměstnaní.</w:t>
      </w:r>
    </w:p>
    <w:p w14:paraId="51C0A455" w14:textId="77777777" w:rsidR="00DA443E" w:rsidRPr="00C1001D" w:rsidRDefault="00DA443E">
      <w:pPr>
        <w:jc w:val="both"/>
        <w:rPr>
          <w:rFonts w:cs="Arial"/>
          <w:b/>
          <w:bCs/>
          <w:sz w:val="20"/>
        </w:rPr>
      </w:pPr>
    </w:p>
    <w:p w14:paraId="666D4371" w14:textId="77777777" w:rsidR="00AE7996" w:rsidRPr="00C1001D" w:rsidRDefault="00AE7996" w:rsidP="00AE7996">
      <w:pPr>
        <w:jc w:val="both"/>
        <w:rPr>
          <w:rFonts w:cs="Arial"/>
          <w:sz w:val="20"/>
        </w:rPr>
      </w:pPr>
      <w:r w:rsidRPr="00C1001D">
        <w:rPr>
          <w:rFonts w:cs="Arial"/>
          <w:b/>
          <w:bCs/>
          <w:sz w:val="20"/>
        </w:rPr>
        <w:t>Obecná míra nezaměstnanosti</w:t>
      </w:r>
      <w:r w:rsidRPr="00C1001D">
        <w:rPr>
          <w:rFonts w:cs="Arial"/>
          <w:sz w:val="20"/>
        </w:rPr>
        <w:t xml:space="preserve"> (ILO) je počítána jako </w:t>
      </w:r>
      <w:r w:rsidRPr="00C1001D">
        <w:rPr>
          <w:sz w:val="20"/>
        </w:rPr>
        <w:t>podíl počtu nezaměstnaných na celkové pracovní síle (v procentech), kde čitatel i jmenovatel jsou ukazatele konstruované podle mezinárodních definic a doporučení (</w:t>
      </w:r>
      <w:proofErr w:type="spellStart"/>
      <w:r w:rsidRPr="00C1001D">
        <w:rPr>
          <w:sz w:val="20"/>
        </w:rPr>
        <w:t>Eurostatu</w:t>
      </w:r>
      <w:proofErr w:type="spellEnd"/>
      <w:r w:rsidRPr="00C1001D">
        <w:rPr>
          <w:sz w:val="20"/>
        </w:rPr>
        <w:t xml:space="preserve"> a Mezinárodní organizace práce ILO).</w:t>
      </w:r>
      <w:r w:rsidRPr="00C1001D">
        <w:rPr>
          <w:rFonts w:cs="Arial"/>
          <w:sz w:val="20"/>
        </w:rPr>
        <w:t xml:space="preserve"> </w:t>
      </w:r>
      <w:r w:rsidRPr="00C1001D">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14:paraId="08C13BD7" w14:textId="77777777" w:rsidR="00DA443E" w:rsidRPr="00C1001D" w:rsidRDefault="00DA443E">
      <w:pPr>
        <w:jc w:val="both"/>
        <w:rPr>
          <w:rFonts w:cs="Arial"/>
          <w:b/>
          <w:bCs/>
          <w:sz w:val="20"/>
        </w:rPr>
      </w:pPr>
    </w:p>
    <w:p w14:paraId="78216F42" w14:textId="77777777" w:rsidR="00DA443E" w:rsidRPr="00C1001D" w:rsidRDefault="00DA443E">
      <w:pPr>
        <w:jc w:val="both"/>
        <w:rPr>
          <w:rFonts w:cs="Arial"/>
          <w:sz w:val="20"/>
        </w:rPr>
      </w:pPr>
      <w:r w:rsidRPr="00C1001D">
        <w:rPr>
          <w:rFonts w:cs="Arial"/>
          <w:b/>
          <w:bCs/>
          <w:sz w:val="20"/>
        </w:rPr>
        <w:t>Míra dlouhodobé nezaměstnanosti</w:t>
      </w:r>
      <w:r w:rsidRPr="00C1001D">
        <w:rPr>
          <w:rFonts w:cs="Arial"/>
          <w:sz w:val="20"/>
        </w:rPr>
        <w:t xml:space="preserve"> - do roku 2005 byla míra založena na počtu nezaměstnaných, kteří si hledali zaměstnání déle než 1 rok. Od roku 2006 je podle </w:t>
      </w:r>
      <w:proofErr w:type="spellStart"/>
      <w:r w:rsidRPr="00C1001D">
        <w:rPr>
          <w:rFonts w:cs="Arial"/>
          <w:sz w:val="20"/>
        </w:rPr>
        <w:t>Eurostatu</w:t>
      </w:r>
      <w:proofErr w:type="spellEnd"/>
      <w:r w:rsidRPr="00C1001D">
        <w:rPr>
          <w:rFonts w:cs="Arial"/>
          <w:sz w:val="20"/>
        </w:rPr>
        <w:t xml:space="preserve"> tato míra konstruována na základě kratší doby z doby hledání zaměstnání a doby od ukončení posledního zaměstnání respondenta. Tato kratší doba musí překročit délku 1 roku.</w:t>
      </w:r>
    </w:p>
    <w:p w14:paraId="35B6341C" w14:textId="77777777" w:rsidR="00DA443E" w:rsidRPr="00C1001D" w:rsidRDefault="00DA443E">
      <w:pPr>
        <w:jc w:val="both"/>
        <w:rPr>
          <w:rFonts w:cs="Arial"/>
          <w:sz w:val="20"/>
        </w:rPr>
      </w:pPr>
    </w:p>
    <w:p w14:paraId="29F9D6D6" w14:textId="77777777" w:rsidR="00AE7996" w:rsidRPr="00C1001D" w:rsidRDefault="00AE7996" w:rsidP="00AE7996">
      <w:pPr>
        <w:jc w:val="both"/>
        <w:rPr>
          <w:rFonts w:cs="Arial"/>
          <w:sz w:val="20"/>
        </w:rPr>
      </w:pPr>
      <w:r w:rsidRPr="00C1001D">
        <w:rPr>
          <w:rFonts w:cs="Arial"/>
          <w:sz w:val="20"/>
        </w:rPr>
        <w:t xml:space="preserve">Veškeré údaje o zaměstnanosti a nezaměstnanosti z Výběrového šetření pracovních sil (VŠPS) jsou v časové řadě přepočítány v metodice odpovídající platným definicím </w:t>
      </w:r>
      <w:proofErr w:type="spellStart"/>
      <w:r w:rsidRPr="00C1001D">
        <w:rPr>
          <w:rFonts w:cs="Arial"/>
          <w:sz w:val="20"/>
        </w:rPr>
        <w:t>Eurostatu</w:t>
      </w:r>
      <w:proofErr w:type="spellEnd"/>
      <w:r w:rsidRPr="00C1001D">
        <w:rPr>
          <w:rFonts w:cs="Arial"/>
          <w:sz w:val="20"/>
        </w:rPr>
        <w:t xml:space="preserve"> a doporučením ILO. Roční průměry jsou počítány z průměrů kalendářních čtvrtletí.</w:t>
      </w:r>
    </w:p>
    <w:p w14:paraId="70B3A036" w14:textId="77777777" w:rsidR="00DA443E" w:rsidRPr="00C1001D" w:rsidRDefault="00DA443E">
      <w:pPr>
        <w:jc w:val="both"/>
        <w:rPr>
          <w:rFonts w:cs="Arial"/>
          <w:sz w:val="20"/>
        </w:rPr>
      </w:pPr>
    </w:p>
    <w:p w14:paraId="36163AF8" w14:textId="77777777" w:rsidR="00DA443E" w:rsidRPr="00C1001D" w:rsidRDefault="00DA443E">
      <w:pPr>
        <w:jc w:val="both"/>
        <w:rPr>
          <w:sz w:val="20"/>
        </w:rPr>
      </w:pPr>
      <w:r w:rsidRPr="00C1001D">
        <w:rPr>
          <w:b/>
          <w:bCs/>
          <w:sz w:val="20"/>
        </w:rPr>
        <w:t>Míra registrované nezaměstnanosti</w:t>
      </w:r>
      <w:r w:rsidRPr="00C1001D">
        <w:rPr>
          <w:sz w:val="20"/>
        </w:rPr>
        <w:t xml:space="preserve"> podle původní metodiky je počítána jako </w:t>
      </w:r>
      <w:r w:rsidRPr="00C1001D">
        <w:rPr>
          <w:b/>
          <w:bCs/>
          <w:sz w:val="20"/>
        </w:rPr>
        <w:t>podíl</w:t>
      </w:r>
      <w:r w:rsidRPr="00C1001D">
        <w:rPr>
          <w:sz w:val="20"/>
        </w:rPr>
        <w:t xml:space="preserve">, kde je </w:t>
      </w:r>
      <w:r w:rsidRPr="00C1001D">
        <w:rPr>
          <w:b/>
          <w:bCs/>
          <w:sz w:val="20"/>
        </w:rPr>
        <w:t>v čitateli</w:t>
      </w:r>
      <w:r w:rsidRPr="00C1001D">
        <w:rPr>
          <w:sz w:val="20"/>
        </w:rPr>
        <w:t xml:space="preserve"> </w:t>
      </w:r>
      <w:r w:rsidRPr="00C1001D">
        <w:rPr>
          <w:b/>
          <w:bCs/>
          <w:sz w:val="20"/>
        </w:rPr>
        <w:t>počet neumístěných uchazečů o zaměstnání</w:t>
      </w:r>
      <w:r w:rsidRPr="00C1001D">
        <w:rPr>
          <w:sz w:val="20"/>
        </w:rPr>
        <w:t xml:space="preserve"> registrovaných na úřadech práce k poslednímu dni sledovaného období </w:t>
      </w:r>
      <w:r w:rsidRPr="00C1001D">
        <w:rPr>
          <w:rFonts w:cs="Arial"/>
          <w:sz w:val="20"/>
        </w:rPr>
        <w:t xml:space="preserve">(zdrojem dat je Ministerstvo práce a sociálních věcí ČR) </w:t>
      </w:r>
      <w:r w:rsidRPr="00C1001D">
        <w:rPr>
          <w:sz w:val="20"/>
        </w:rPr>
        <w:t xml:space="preserve">a </w:t>
      </w:r>
      <w:r w:rsidRPr="00C1001D">
        <w:rPr>
          <w:b/>
          <w:bCs/>
          <w:sz w:val="20"/>
        </w:rPr>
        <w:t>ve jmenovateli</w:t>
      </w:r>
      <w:r w:rsidRPr="00C1001D">
        <w:rPr>
          <w:sz w:val="20"/>
        </w:rPr>
        <w:t xml:space="preserve"> </w:t>
      </w:r>
      <w:r w:rsidRPr="00C1001D">
        <w:rPr>
          <w:b/>
          <w:bCs/>
          <w:sz w:val="20"/>
        </w:rPr>
        <w:t>pracovní síla</w:t>
      </w:r>
      <w:r w:rsidRPr="00C1001D">
        <w:rPr>
          <w:sz w:val="20"/>
        </w:rPr>
        <w:t>, tj.</w:t>
      </w:r>
    </w:p>
    <w:p w14:paraId="0DE0FF9C" w14:textId="77777777" w:rsidR="00DA443E" w:rsidRPr="00C1001D" w:rsidRDefault="00DA443E">
      <w:pPr>
        <w:jc w:val="both"/>
        <w:rPr>
          <w:sz w:val="20"/>
        </w:rPr>
      </w:pPr>
    </w:p>
    <w:p w14:paraId="0BBAAA0A"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14:paraId="1319F51D"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65DD04D7"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C1001D">
        <w:rPr>
          <w:rFonts w:ascii="Arial" w:hAnsi="Arial" w:cs="Arial"/>
          <w:color w:val="auto"/>
          <w:sz w:val="20"/>
        </w:rPr>
        <w:t xml:space="preserve"> </w:t>
      </w:r>
    </w:p>
    <w:p w14:paraId="6B0FABDB"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5340E525"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14:paraId="7BA3AE8E" w14:textId="77777777" w:rsidR="00DA443E" w:rsidRPr="00C1001D" w:rsidRDefault="00DA443E">
      <w:pPr>
        <w:jc w:val="both"/>
        <w:rPr>
          <w:rFonts w:cs="Arial"/>
          <w:sz w:val="20"/>
        </w:rPr>
      </w:pPr>
    </w:p>
    <w:p w14:paraId="516C6FED" w14:textId="77777777" w:rsidR="00DA443E" w:rsidRPr="00C1001D" w:rsidRDefault="00DA443E">
      <w:pPr>
        <w:jc w:val="both"/>
        <w:rPr>
          <w:sz w:val="20"/>
        </w:rPr>
      </w:pPr>
      <w:r w:rsidRPr="00C1001D">
        <w:rPr>
          <w:b/>
          <w:bCs/>
          <w:sz w:val="20"/>
        </w:rPr>
        <w:t>Od 3. čtvrtletí 2004</w:t>
      </w:r>
      <w:r w:rsidRPr="00C1001D">
        <w:rPr>
          <w:sz w:val="20"/>
        </w:rPr>
        <w:t xml:space="preserve"> přistoupilo Ministerstvo práce a sociálních věcí k metodické změně spočívající v odlišném zahrnování některých skupin osob jak do čitatele, tak do jmenovatele. </w:t>
      </w:r>
      <w:r w:rsidRPr="00C1001D">
        <w:rPr>
          <w:b/>
          <w:bCs/>
          <w:sz w:val="20"/>
        </w:rPr>
        <w:t>V čitateli</w:t>
      </w:r>
      <w:r w:rsidRPr="00C1001D">
        <w:rPr>
          <w:sz w:val="20"/>
        </w:rPr>
        <w:t xml:space="preserve"> je </w:t>
      </w:r>
      <w:r w:rsidRPr="00C1001D">
        <w:rPr>
          <w:b/>
          <w:bCs/>
          <w:sz w:val="20"/>
        </w:rPr>
        <w:t>počet</w:t>
      </w:r>
      <w:r w:rsidRPr="00C1001D">
        <w:rPr>
          <w:sz w:val="20"/>
        </w:rPr>
        <w:t xml:space="preserve"> tzv. </w:t>
      </w:r>
      <w:r w:rsidRPr="00C1001D">
        <w:rPr>
          <w:b/>
          <w:bCs/>
          <w:sz w:val="20"/>
        </w:rPr>
        <w:t>dosažitelných neumístěných uchazečů o zaměstnání</w:t>
      </w:r>
      <w:r w:rsidRPr="00C1001D">
        <w:rPr>
          <w:sz w:val="20"/>
        </w:rPr>
        <w:t xml:space="preserve"> (vč. občanů ČR a občanů EU (EHP), jsou to evidovaní nezaměstnaní ke konci období, kteří mohou ihned nastoupit do zaměstnání a </w:t>
      </w:r>
      <w:r w:rsidRPr="00C1001D">
        <w:rPr>
          <w:b/>
          <w:bCs/>
          <w:sz w:val="20"/>
        </w:rPr>
        <w:t>ve jmenovateli</w:t>
      </w:r>
      <w:r w:rsidRPr="00C1001D">
        <w:rPr>
          <w:sz w:val="20"/>
        </w:rPr>
        <w:t xml:space="preserve"> </w:t>
      </w:r>
      <w:r w:rsidRPr="00C1001D">
        <w:rPr>
          <w:b/>
          <w:bCs/>
          <w:sz w:val="20"/>
        </w:rPr>
        <w:t>pracovní síla,</w:t>
      </w:r>
      <w:r w:rsidRPr="00C1001D">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14:paraId="480EB821"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77BAAC71" w14:textId="77777777" w:rsidR="002176B0" w:rsidRPr="00C1001D" w:rsidRDefault="002176B0" w:rsidP="009216CE">
      <w:pPr>
        <w:jc w:val="both"/>
        <w:rPr>
          <w:b/>
          <w:bCs/>
          <w:sz w:val="20"/>
        </w:rPr>
      </w:pPr>
    </w:p>
    <w:p w14:paraId="4F765ED0" w14:textId="77777777" w:rsidR="003844E9" w:rsidRPr="00C1001D" w:rsidRDefault="003844E9" w:rsidP="003844E9">
      <w:pPr>
        <w:jc w:val="both"/>
        <w:rPr>
          <w:bCs/>
          <w:sz w:val="20"/>
        </w:rPr>
      </w:pPr>
      <w:r w:rsidRPr="00C1001D">
        <w:rPr>
          <w:b/>
          <w:bCs/>
          <w:sz w:val="20"/>
        </w:rPr>
        <w:t>Podíl nezaměstnaných osob</w:t>
      </w:r>
      <w:r w:rsidRPr="00C1001D">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14:paraId="0B2043D5" w14:textId="77777777" w:rsidR="002176B0" w:rsidRPr="00C1001D" w:rsidRDefault="002176B0" w:rsidP="009216CE">
      <w:pPr>
        <w:jc w:val="both"/>
        <w:rPr>
          <w:b/>
          <w:bCs/>
          <w:sz w:val="20"/>
        </w:rPr>
      </w:pPr>
    </w:p>
    <w:p w14:paraId="6FD6F5ED" w14:textId="77777777" w:rsidR="009216CE" w:rsidRPr="00C1001D" w:rsidRDefault="009216CE" w:rsidP="009216CE">
      <w:pPr>
        <w:jc w:val="both"/>
        <w:rPr>
          <w:sz w:val="20"/>
          <w:szCs w:val="18"/>
        </w:rPr>
      </w:pPr>
      <w:r w:rsidRPr="00C1001D">
        <w:rPr>
          <w:b/>
          <w:bCs/>
          <w:sz w:val="20"/>
        </w:rPr>
        <w:t>Průměrná hrubá měsíční mzda</w:t>
      </w:r>
      <w:r w:rsidRPr="00C1001D">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C1001D">
        <w:rPr>
          <w:sz w:val="20"/>
          <w:szCs w:val="18"/>
        </w:rPr>
        <w:t>náhrady mzdy nebo platu za dobu trvání dočasné pracovní neschopnosti nebo karantény placené zaměstnavatelem.</w:t>
      </w:r>
    </w:p>
    <w:p w14:paraId="24A5841A" w14:textId="77777777" w:rsidR="00DA443E" w:rsidRPr="00C1001D" w:rsidRDefault="00DA443E">
      <w:pPr>
        <w:jc w:val="both"/>
        <w:rPr>
          <w:sz w:val="20"/>
        </w:rPr>
      </w:pPr>
      <w:r w:rsidRPr="00C1001D">
        <w:rPr>
          <w:sz w:val="20"/>
        </w:rPr>
        <w:t xml:space="preserve">Jedná se o hrubé mzdy, tj. před snížením o pojistné na </w:t>
      </w:r>
      <w:r w:rsidR="003C0EE8" w:rsidRPr="00C1001D">
        <w:rPr>
          <w:sz w:val="20"/>
        </w:rPr>
        <w:t>veřejné</w:t>
      </w:r>
      <w:r w:rsidRPr="00C1001D">
        <w:rPr>
          <w:sz w:val="20"/>
        </w:rPr>
        <w:t xml:space="preserve"> zdravotní pojištění a sociální zabezpečení, zálohové splátky daně z příjmů fyzických osob a další zákonné nebo se zaměstnancem dohodnuté srážky.</w:t>
      </w:r>
      <w:r w:rsidRPr="00C1001D">
        <w:rPr>
          <w:b/>
          <w:bCs/>
          <w:sz w:val="20"/>
        </w:rPr>
        <w:t xml:space="preserve"> </w:t>
      </w:r>
    </w:p>
    <w:p w14:paraId="7CC9AEC9" w14:textId="77777777" w:rsidR="00DA443E" w:rsidRPr="00C1001D" w:rsidRDefault="00DA443E">
      <w:pPr>
        <w:jc w:val="both"/>
        <w:rPr>
          <w:sz w:val="20"/>
        </w:rPr>
      </w:pPr>
    </w:p>
    <w:p w14:paraId="604350F3" w14:textId="77777777" w:rsidR="00DA443E" w:rsidRPr="00C1001D" w:rsidRDefault="00DA443E">
      <w:pPr>
        <w:jc w:val="both"/>
        <w:rPr>
          <w:sz w:val="20"/>
        </w:rPr>
      </w:pPr>
      <w:r w:rsidRPr="00C1001D">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118564E7" w14:textId="77777777" w:rsidR="00DA443E" w:rsidRPr="00C1001D" w:rsidRDefault="00DA443E">
      <w:pPr>
        <w:jc w:val="both"/>
        <w:rPr>
          <w:b/>
          <w:bCs/>
          <w:sz w:val="20"/>
        </w:rPr>
      </w:pPr>
    </w:p>
    <w:p w14:paraId="457CB79A" w14:textId="77777777" w:rsidR="00DA443E" w:rsidRPr="00C1001D" w:rsidRDefault="00DA443E">
      <w:pPr>
        <w:jc w:val="both"/>
        <w:rPr>
          <w:sz w:val="20"/>
        </w:rPr>
      </w:pPr>
      <w:r w:rsidRPr="00C1001D">
        <w:rPr>
          <w:b/>
          <w:bCs/>
          <w:sz w:val="20"/>
        </w:rPr>
        <w:t>Od 1. čtvrtletí 2009</w:t>
      </w:r>
      <w:r w:rsidRPr="00C1001D">
        <w:rPr>
          <w:sz w:val="20"/>
        </w:rPr>
        <w:t xml:space="preserve"> došlo ve statistice práce a mezd ke změnám v metodice zjišťování a prezentaci výsledků. </w:t>
      </w:r>
    </w:p>
    <w:p w14:paraId="5C9C65F0" w14:textId="77777777" w:rsidR="00DA443E" w:rsidRPr="00C1001D" w:rsidRDefault="00DA443E">
      <w:pPr>
        <w:jc w:val="both"/>
        <w:rPr>
          <w:sz w:val="20"/>
        </w:rPr>
      </w:pPr>
    </w:p>
    <w:p w14:paraId="76FF7D9A" w14:textId="77777777" w:rsidR="00270B2E" w:rsidRPr="00C1001D" w:rsidRDefault="00270B2E" w:rsidP="00270B2E">
      <w:pPr>
        <w:jc w:val="both"/>
        <w:rPr>
          <w:sz w:val="20"/>
        </w:rPr>
      </w:pPr>
      <w:r w:rsidRPr="00C1001D">
        <w:rPr>
          <w:sz w:val="20"/>
        </w:rPr>
        <w:t>Mezi nejdůležitější změny v metodice patří:</w:t>
      </w:r>
    </w:p>
    <w:p w14:paraId="42827FD8" w14:textId="77777777" w:rsidR="00270B2E" w:rsidRPr="00C1001D" w:rsidRDefault="00270B2E" w:rsidP="00270B2E">
      <w:pPr>
        <w:jc w:val="both"/>
        <w:rPr>
          <w:sz w:val="20"/>
        </w:rPr>
      </w:pPr>
      <w:r w:rsidRPr="00C1001D">
        <w:rPr>
          <w:sz w:val="20"/>
        </w:rPr>
        <w:t xml:space="preserve">- údaje jsou zpracovávány a publikovány podle nové Klasifikace ekonomických činností </w:t>
      </w:r>
      <w:hyperlink r:id="rId7" w:history="1">
        <w:r w:rsidRPr="00C1001D">
          <w:rPr>
            <w:rStyle w:val="Hypertextovodkaz"/>
            <w:b/>
            <w:bCs/>
            <w:color w:val="auto"/>
            <w:sz w:val="20"/>
          </w:rPr>
          <w:t>CZ-NACE</w:t>
        </w:r>
      </w:hyperlink>
      <w:r w:rsidRPr="00C1001D">
        <w:rPr>
          <w:b/>
          <w:bCs/>
          <w:sz w:val="20"/>
        </w:rPr>
        <w:t xml:space="preserve"> </w:t>
      </w:r>
      <w:r w:rsidRPr="00C1001D">
        <w:rPr>
          <w:sz w:val="20"/>
        </w:rPr>
        <w:t>(národní verze NACE Rev.2), která nahradila dříve používanou klasifikaci OKEČ (národní verze NACE Rev.1.1).</w:t>
      </w:r>
    </w:p>
    <w:p w14:paraId="236F67E6" w14:textId="77777777" w:rsidR="00270B2E" w:rsidRPr="00C1001D" w:rsidRDefault="00270B2E" w:rsidP="00270B2E">
      <w:pPr>
        <w:jc w:val="both"/>
        <w:rPr>
          <w:sz w:val="20"/>
        </w:rPr>
      </w:pPr>
      <w:r w:rsidRPr="00C1001D">
        <w:rPr>
          <w:sz w:val="20"/>
        </w:rPr>
        <w:t xml:space="preserve">- byly uplatněny nové metody odhadů </w:t>
      </w:r>
      <w:proofErr w:type="spellStart"/>
      <w:r w:rsidRPr="00C1001D">
        <w:rPr>
          <w:sz w:val="20"/>
        </w:rPr>
        <w:t>nonresponse</w:t>
      </w:r>
      <w:proofErr w:type="spellEnd"/>
      <w:r w:rsidRPr="00C1001D">
        <w:rPr>
          <w:sz w:val="20"/>
        </w:rPr>
        <w:t xml:space="preserve"> a nově zavedeny odhady za nešetřenou část populace, které vycházejí z administrativních zdrojů dat,  </w:t>
      </w:r>
    </w:p>
    <w:p w14:paraId="03F1A1A6" w14:textId="77777777" w:rsidR="00270B2E" w:rsidRPr="00C1001D" w:rsidRDefault="00270B2E" w:rsidP="00270B2E">
      <w:pPr>
        <w:jc w:val="both"/>
        <w:rPr>
          <w:sz w:val="20"/>
        </w:rPr>
      </w:pPr>
      <w:r w:rsidRPr="00C1001D">
        <w:rPr>
          <w:sz w:val="20"/>
        </w:rPr>
        <w:t>- údaje o počtu zaměstnanců a průměrných mzdách jsou uvedeny v přepočtu na plně zaměstnané (dříve na fyzické osoby), za celé národní hospodářství.</w:t>
      </w:r>
    </w:p>
    <w:p w14:paraId="67D30E88" w14:textId="77777777" w:rsidR="007161BB" w:rsidRPr="00C1001D" w:rsidRDefault="007161BB" w:rsidP="007161BB">
      <w:pPr>
        <w:jc w:val="both"/>
        <w:rPr>
          <w:sz w:val="20"/>
        </w:rPr>
      </w:pPr>
      <w:r w:rsidRPr="00C1001D">
        <w:rPr>
          <w:sz w:val="20"/>
        </w:rPr>
        <w:t xml:space="preserve">Časová řada údajů ze zpracování čtvrtletních statistických výkazů byla </w:t>
      </w:r>
      <w:r w:rsidRPr="00C1001D">
        <w:rPr>
          <w:b/>
          <w:sz w:val="20"/>
        </w:rPr>
        <w:t>přepočtena od roku 2000</w:t>
      </w:r>
      <w:r w:rsidRPr="00C1001D">
        <w:rPr>
          <w:sz w:val="20"/>
        </w:rPr>
        <w:t>.</w:t>
      </w:r>
    </w:p>
    <w:p w14:paraId="26E15E36" w14:textId="77777777" w:rsidR="007161BB" w:rsidRPr="00C1001D" w:rsidRDefault="007161BB" w:rsidP="00270B2E">
      <w:pPr>
        <w:jc w:val="both"/>
        <w:rPr>
          <w:sz w:val="20"/>
        </w:rPr>
      </w:pPr>
    </w:p>
    <w:p w14:paraId="2EE7F930" w14:textId="77777777" w:rsidR="00DA443E" w:rsidRPr="00C1001D" w:rsidRDefault="00DA443E">
      <w:pPr>
        <w:jc w:val="both"/>
        <w:rPr>
          <w:sz w:val="20"/>
        </w:rPr>
      </w:pPr>
      <w:r w:rsidRPr="00C1001D">
        <w:rPr>
          <w:b/>
          <w:bCs/>
          <w:sz w:val="20"/>
        </w:rPr>
        <w:t>Průměrná hrubá měsíční mzda za celé národní hospodářství</w:t>
      </w:r>
      <w:r w:rsidRPr="00C1001D">
        <w:rPr>
          <w:sz w:val="20"/>
        </w:rPr>
        <w:t xml:space="preserve"> zahrnuje údaje za všechny zaměstnance. Je uvedena </w:t>
      </w:r>
      <w:r w:rsidRPr="00C1001D">
        <w:rPr>
          <w:b/>
          <w:bCs/>
          <w:sz w:val="20"/>
        </w:rPr>
        <w:t>na přepočtené počty zaměstnanců</w:t>
      </w:r>
      <w:r w:rsidRPr="00C1001D">
        <w:rPr>
          <w:sz w:val="20"/>
        </w:rPr>
        <w:t>, zohledňuje tak délku pracovních úvazků zaměstnanců.</w:t>
      </w:r>
    </w:p>
    <w:p w14:paraId="144F696D" w14:textId="77777777" w:rsidR="00DA443E" w:rsidRPr="00C1001D" w:rsidRDefault="00DA443E">
      <w:pPr>
        <w:jc w:val="both"/>
        <w:rPr>
          <w:sz w:val="20"/>
        </w:rPr>
      </w:pPr>
    </w:p>
    <w:p w14:paraId="458C3CE9" w14:textId="77777777" w:rsidR="00270B2E" w:rsidRPr="00C1001D" w:rsidRDefault="00270B2E" w:rsidP="00270B2E">
      <w:pPr>
        <w:jc w:val="both"/>
        <w:rPr>
          <w:rFonts w:cs="Arial"/>
          <w:bCs/>
          <w:sz w:val="20"/>
        </w:rPr>
      </w:pPr>
      <w:r w:rsidRPr="00C1001D">
        <w:rPr>
          <w:rFonts w:cs="Arial"/>
          <w:b/>
          <w:bCs/>
          <w:sz w:val="20"/>
        </w:rPr>
        <w:t xml:space="preserve">Index reálné mzdy </w:t>
      </w:r>
      <w:r w:rsidRPr="00C1001D">
        <w:rPr>
          <w:rFonts w:cs="Arial"/>
          <w:bCs/>
          <w:sz w:val="20"/>
        </w:rPr>
        <w:t>je podíl indexu průměrné hrubé měsíční nominální mzdy a indexu spotřebitelských cen za shodné období.</w:t>
      </w:r>
    </w:p>
    <w:p w14:paraId="300986F8" w14:textId="77777777" w:rsidR="00DA443E" w:rsidRPr="00C1001D" w:rsidRDefault="00DA443E">
      <w:pPr>
        <w:jc w:val="both"/>
        <w:rPr>
          <w:sz w:val="20"/>
        </w:rPr>
      </w:pPr>
    </w:p>
    <w:p w14:paraId="788BA724" w14:textId="77777777" w:rsidR="00DA443E" w:rsidRPr="00C1001D" w:rsidRDefault="00DA443E">
      <w:pPr>
        <w:pStyle w:val="Nadpis1"/>
        <w:jc w:val="both"/>
        <w:rPr>
          <w:rFonts w:cs="Arial"/>
          <w:sz w:val="20"/>
        </w:rPr>
      </w:pPr>
      <w:r w:rsidRPr="00C1001D">
        <w:rPr>
          <w:rFonts w:cs="Arial"/>
          <w:sz w:val="20"/>
        </w:rPr>
        <w:t>Průměrný starobní důchod/průměrná mzda</w:t>
      </w:r>
    </w:p>
    <w:p w14:paraId="2098021F" w14:textId="77777777" w:rsidR="00DA443E" w:rsidRPr="00C1001D" w:rsidRDefault="00DA443E">
      <w:pPr>
        <w:jc w:val="both"/>
        <w:rPr>
          <w:sz w:val="20"/>
        </w:rPr>
      </w:pPr>
      <w:r w:rsidRPr="00C1001D">
        <w:rPr>
          <w:b/>
          <w:bCs/>
          <w:sz w:val="20"/>
        </w:rPr>
        <w:t>Průměrný starobní důchod</w:t>
      </w:r>
      <w:r w:rsidRPr="00C1001D">
        <w:rPr>
          <w:sz w:val="20"/>
        </w:rPr>
        <w:t xml:space="preserve"> za rok vychází z průměrů starobních důchodů vyplácených samostatně (bez pozůstalostních) za jednotlivé měsíce příslušného roku. (Pramen – MPSV)</w:t>
      </w:r>
    </w:p>
    <w:p w14:paraId="0296246D" w14:textId="77777777" w:rsidR="00DA443E" w:rsidRPr="00C1001D" w:rsidRDefault="00DA443E">
      <w:pPr>
        <w:jc w:val="both"/>
        <w:rPr>
          <w:rFonts w:cs="Arial"/>
          <w:sz w:val="20"/>
        </w:rPr>
      </w:pPr>
      <w:r w:rsidRPr="00C1001D">
        <w:rPr>
          <w:rFonts w:cs="Arial"/>
          <w:sz w:val="20"/>
        </w:rPr>
        <w:t xml:space="preserve">Jako </w:t>
      </w:r>
      <w:r w:rsidRPr="00C1001D">
        <w:rPr>
          <w:rFonts w:cs="Arial"/>
          <w:b/>
          <w:bCs/>
          <w:sz w:val="20"/>
        </w:rPr>
        <w:t>průměrná hrubá mzda</w:t>
      </w:r>
      <w:r w:rsidRPr="00C1001D">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14:paraId="55000FCF" w14:textId="77777777" w:rsidR="00DA443E" w:rsidRPr="00C1001D" w:rsidRDefault="00DA443E">
      <w:pPr>
        <w:jc w:val="both"/>
        <w:rPr>
          <w:rFonts w:cs="Arial"/>
          <w:sz w:val="20"/>
        </w:rPr>
      </w:pPr>
    </w:p>
    <w:p w14:paraId="7E6B6A77" w14:textId="77777777" w:rsidR="00645864" w:rsidRPr="00C1001D" w:rsidRDefault="00645864" w:rsidP="00645864">
      <w:pPr>
        <w:rPr>
          <w:rFonts w:cs="Arial"/>
          <w:sz w:val="20"/>
        </w:rPr>
      </w:pPr>
      <w:r w:rsidRPr="00C1001D">
        <w:rPr>
          <w:rFonts w:cs="Arial"/>
          <w:b/>
          <w:bCs/>
          <w:sz w:val="20"/>
        </w:rPr>
        <w:t>Inflace</w:t>
      </w:r>
      <w:r w:rsidRPr="00C1001D">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14:paraId="79E04825" w14:textId="77777777" w:rsidR="00645864" w:rsidRPr="00C1001D" w:rsidRDefault="00645864" w:rsidP="00645864">
      <w:pPr>
        <w:rPr>
          <w:rFonts w:cs="Arial"/>
          <w:sz w:val="20"/>
        </w:rPr>
      </w:pPr>
    </w:p>
    <w:p w14:paraId="2C3CA974" w14:textId="77777777" w:rsidR="00645864" w:rsidRPr="00C1001D" w:rsidRDefault="00645864" w:rsidP="00645864">
      <w:pPr>
        <w:rPr>
          <w:rFonts w:cs="Arial"/>
          <w:bCs/>
          <w:sz w:val="20"/>
        </w:rPr>
      </w:pPr>
      <w:r w:rsidRPr="00C1001D">
        <w:rPr>
          <w:rFonts w:cs="Arial"/>
          <w:b/>
          <w:bCs/>
          <w:sz w:val="20"/>
        </w:rPr>
        <w:lastRenderedPageBreak/>
        <w:t xml:space="preserve">Míra inflace </w:t>
      </w:r>
      <w:r w:rsidRPr="00C1001D">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C1001D">
        <w:rPr>
          <w:rFonts w:cs="Arial"/>
          <w:bCs/>
          <w:sz w:val="20"/>
        </w:rPr>
        <w:t xml:space="preserve">enovým základem je prosinec </w:t>
      </w:r>
      <w:r w:rsidR="00E31D31" w:rsidRPr="00C1001D">
        <w:rPr>
          <w:rFonts w:cs="Arial"/>
          <w:bCs/>
          <w:sz w:val="20"/>
        </w:rPr>
        <w:t>2023.</w:t>
      </w:r>
    </w:p>
    <w:p w14:paraId="2E3DA447" w14:textId="77777777" w:rsidR="00645864" w:rsidRPr="00C1001D" w:rsidRDefault="00645864" w:rsidP="00645864">
      <w:pPr>
        <w:rPr>
          <w:rFonts w:cs="Arial"/>
          <w:sz w:val="20"/>
        </w:rPr>
      </w:pPr>
    </w:p>
    <w:p w14:paraId="0DD4092B" w14:textId="77777777" w:rsidR="00645864" w:rsidRPr="00C1001D" w:rsidRDefault="00645864" w:rsidP="00645864">
      <w:pPr>
        <w:rPr>
          <w:rFonts w:cs="Arial"/>
          <w:sz w:val="20"/>
        </w:rPr>
      </w:pPr>
      <w:r w:rsidRPr="00C1001D">
        <w:rPr>
          <w:rFonts w:cs="Arial"/>
          <w:b/>
          <w:bCs/>
          <w:sz w:val="20"/>
        </w:rPr>
        <w:t xml:space="preserve">Míra inflace </w:t>
      </w:r>
      <w:r w:rsidRPr="00C1001D">
        <w:rPr>
          <w:rFonts w:cs="Arial"/>
          <w:sz w:val="20"/>
        </w:rPr>
        <w:t xml:space="preserve">(r/r prosinec) udává přírůstek indexu spotřebitelských cen v prosinci daného roku proti prosinci předchozího roku. </w:t>
      </w:r>
    </w:p>
    <w:p w14:paraId="1A707424" w14:textId="77777777" w:rsidR="00645864" w:rsidRPr="00C1001D" w:rsidRDefault="00645864" w:rsidP="00645864">
      <w:pPr>
        <w:rPr>
          <w:rFonts w:cs="Arial"/>
          <w:sz w:val="20"/>
        </w:rPr>
      </w:pPr>
    </w:p>
    <w:p w14:paraId="6724416C" w14:textId="77777777" w:rsidR="00645864" w:rsidRPr="00C1001D" w:rsidRDefault="00645864" w:rsidP="00645864">
      <w:pPr>
        <w:rPr>
          <w:noProof/>
          <w:sz w:val="20"/>
        </w:rPr>
      </w:pPr>
      <w:r w:rsidRPr="00C1001D">
        <w:rPr>
          <w:rFonts w:cs="Arial"/>
          <w:sz w:val="20"/>
        </w:rPr>
        <w:t xml:space="preserve">Vývoj </w:t>
      </w:r>
      <w:r w:rsidRPr="00C1001D">
        <w:rPr>
          <w:rFonts w:cs="Arial"/>
          <w:b/>
          <w:bCs/>
          <w:sz w:val="20"/>
        </w:rPr>
        <w:t>spotřebitelských cen (životních nákladů)</w:t>
      </w:r>
      <w:r w:rsidRPr="00C1001D">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C1001D">
        <w:rPr>
          <w:rFonts w:cs="Arial"/>
          <w:sz w:val="20"/>
        </w:rPr>
        <w:t>450</w:t>
      </w:r>
      <w:r w:rsidRPr="00C1001D">
        <w:rPr>
          <w:rFonts w:cs="Arial"/>
          <w:sz w:val="20"/>
        </w:rPr>
        <w:t>. Jejich soubor je postupně agregován až do 12-ti hlavních oddílů spotřebního koše a to formou váženého aritmetického průměru individuálních cenových indexů. Váhy základního období pro výpočet skupinových a úhrnných indexů vycházejí ze struktury výdajů domácností podle výsledků stati</w:t>
      </w:r>
      <w:r w:rsidR="00E31D31" w:rsidRPr="00C1001D">
        <w:rPr>
          <w:rFonts w:cs="Arial"/>
          <w:sz w:val="20"/>
        </w:rPr>
        <w:t xml:space="preserve">stiky národních účtů. Primárně vycházejí z výdajů roku 2022 a jsou modifikovány odhadem výdajů roku 2023. </w:t>
      </w:r>
      <w:r w:rsidR="00B543E2" w:rsidRPr="00C1001D">
        <w:rPr>
          <w:rFonts w:cs="Arial"/>
          <w:sz w:val="20"/>
        </w:rPr>
        <w:t xml:space="preserve"> </w:t>
      </w:r>
      <w:r w:rsidR="00D4789A" w:rsidRPr="00C1001D">
        <w:rPr>
          <w:noProof/>
          <w:sz w:val="20"/>
        </w:rPr>
        <w:t xml:space="preserve">Váhy pro detailní cenové reprezentanty jsou zaktualizovány dle údajů statistiky rodinných účtů doplněných o další dostupné zdroje a šetření.  </w:t>
      </w:r>
    </w:p>
    <w:p w14:paraId="74EEBCD9" w14:textId="77777777" w:rsidR="002D71C6" w:rsidRPr="00C1001D" w:rsidRDefault="002D71C6" w:rsidP="00645864">
      <w:pPr>
        <w:rPr>
          <w:noProof/>
          <w:sz w:val="20"/>
        </w:rPr>
      </w:pPr>
    </w:p>
    <w:p w14:paraId="05CFD143" w14:textId="77777777" w:rsidR="002D71C6" w:rsidRPr="00C1001D" w:rsidRDefault="002D71C6" w:rsidP="002D71C6">
      <w:pPr>
        <w:rPr>
          <w:noProof/>
          <w:sz w:val="20"/>
        </w:rPr>
      </w:pPr>
      <w:r w:rsidRPr="00C1001D">
        <w:rPr>
          <w:sz w:val="20"/>
        </w:rPr>
        <w:t>Od roku 2019 dochází k postupné implementaci „</w:t>
      </w:r>
      <w:hyperlink r:id="rId8" w:tgtFrame="_blank" w:history="1">
        <w:r w:rsidRPr="00C1001D">
          <w:rPr>
            <w:rStyle w:val="Hypertextovodkaz"/>
            <w:color w:val="auto"/>
            <w:sz w:val="20"/>
          </w:rPr>
          <w:t>scanner dat</w:t>
        </w:r>
      </w:hyperlink>
      <w:r w:rsidRPr="00C1001D">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14:paraId="109BB7B5" w14:textId="77777777" w:rsidR="002D71C6" w:rsidRPr="00C1001D" w:rsidRDefault="002D71C6" w:rsidP="002D71C6">
      <w:pPr>
        <w:rPr>
          <w:noProof/>
          <w:sz w:val="20"/>
        </w:rPr>
      </w:pPr>
    </w:p>
    <w:p w14:paraId="40E34F5B" w14:textId="77777777" w:rsidR="00645864" w:rsidRPr="00C1001D" w:rsidRDefault="00645864" w:rsidP="00645864">
      <w:pPr>
        <w:jc w:val="both"/>
        <w:rPr>
          <w:rFonts w:cs="Arial"/>
          <w:sz w:val="20"/>
        </w:rPr>
      </w:pPr>
    </w:p>
    <w:p w14:paraId="6B681D2A" w14:textId="77777777" w:rsidR="00645864" w:rsidRPr="00C1001D" w:rsidRDefault="00645864" w:rsidP="00645864">
      <w:pPr>
        <w:jc w:val="both"/>
        <w:rPr>
          <w:rFonts w:cs="Arial"/>
          <w:sz w:val="20"/>
        </w:rPr>
      </w:pPr>
      <w:r w:rsidRPr="00C1001D">
        <w:rPr>
          <w:rFonts w:cs="Arial"/>
          <w:sz w:val="20"/>
        </w:rPr>
        <w:t xml:space="preserve">Výpočet bazických indexů spotřebitelských cen (životních nákladů) je prováděn podle </w:t>
      </w:r>
      <w:proofErr w:type="spellStart"/>
      <w:r w:rsidRPr="00C1001D">
        <w:rPr>
          <w:rFonts w:cs="Arial"/>
          <w:sz w:val="20"/>
        </w:rPr>
        <w:t>Laspeyresova</w:t>
      </w:r>
      <w:proofErr w:type="spellEnd"/>
      <w:r w:rsidRPr="00C1001D">
        <w:rPr>
          <w:rFonts w:cs="Arial"/>
          <w:sz w:val="20"/>
        </w:rPr>
        <w:t xml:space="preserve"> vzorce. Cenami základního období js</w:t>
      </w:r>
      <w:r w:rsidR="00D4789A" w:rsidRPr="00C1001D">
        <w:rPr>
          <w:rFonts w:cs="Arial"/>
          <w:sz w:val="20"/>
        </w:rPr>
        <w:t xml:space="preserve">ou průměrné ceny z prosince </w:t>
      </w:r>
      <w:r w:rsidR="00E31D31" w:rsidRPr="00C1001D">
        <w:rPr>
          <w:rFonts w:cs="Arial"/>
          <w:sz w:val="20"/>
        </w:rPr>
        <w:t>2023</w:t>
      </w:r>
      <w:r w:rsidRPr="00C1001D">
        <w:rPr>
          <w:rFonts w:cs="Arial"/>
          <w:sz w:val="20"/>
        </w:rPr>
        <w:t xml:space="preserve">. Od roku 2017 je indexním základem rok 2015. Z indexů s tímto indexním základem jsou vypočítávány indexy spotřebitelských cen srovnávající dvě libovolná období. </w:t>
      </w:r>
    </w:p>
    <w:p w14:paraId="1433BC90" w14:textId="77777777" w:rsidR="00645864" w:rsidRPr="00C1001D" w:rsidRDefault="00645864" w:rsidP="00645864">
      <w:pPr>
        <w:jc w:val="both"/>
        <w:rPr>
          <w:b/>
          <w:bCs/>
          <w:sz w:val="20"/>
        </w:rPr>
      </w:pPr>
    </w:p>
    <w:p w14:paraId="1FD58DCC" w14:textId="77777777" w:rsidR="00091C26" w:rsidRPr="00C1001D" w:rsidRDefault="00091C26" w:rsidP="00091C26">
      <w:pPr>
        <w:rPr>
          <w:sz w:val="20"/>
          <w:szCs w:val="17"/>
        </w:rPr>
      </w:pPr>
      <w:r w:rsidRPr="00C1001D">
        <w:rPr>
          <w:b/>
          <w:bCs/>
          <w:sz w:val="20"/>
        </w:rPr>
        <w:t xml:space="preserve">Ceny průmyslových výrobců </w:t>
      </w:r>
      <w:r w:rsidRPr="00C1001D">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14:paraId="5EAD8866" w14:textId="77777777" w:rsidR="00091C26" w:rsidRPr="00C1001D" w:rsidRDefault="00091C26" w:rsidP="00091C26">
      <w:pPr>
        <w:rPr>
          <w:sz w:val="20"/>
          <w:szCs w:val="17"/>
        </w:rPr>
      </w:pPr>
    </w:p>
    <w:p w14:paraId="4256A139" w14:textId="77777777" w:rsidR="00091C26" w:rsidRPr="00C1001D" w:rsidRDefault="00091C26" w:rsidP="00091C26">
      <w:pPr>
        <w:rPr>
          <w:sz w:val="20"/>
          <w:szCs w:val="17"/>
        </w:rPr>
      </w:pPr>
      <w:r w:rsidRPr="00C1001D">
        <w:rPr>
          <w:sz w:val="20"/>
        </w:rPr>
        <w:t>Ceny</w:t>
      </w:r>
      <w:r w:rsidRPr="00C1001D">
        <w:rPr>
          <w:b/>
          <w:bCs/>
          <w:sz w:val="20"/>
        </w:rPr>
        <w:t xml:space="preserve"> </w:t>
      </w:r>
      <w:r w:rsidRPr="00C1001D">
        <w:rPr>
          <w:sz w:val="20"/>
        </w:rPr>
        <w:t xml:space="preserve">jsou zjišťovány měsíčně na základě údajů z vybraných organizací (cca 1200) za vybrané reprezentanty (cca </w:t>
      </w:r>
      <w:r w:rsidR="00BE46BC" w:rsidRPr="00C1001D">
        <w:rPr>
          <w:sz w:val="20"/>
        </w:rPr>
        <w:t>5000</w:t>
      </w:r>
      <w:r w:rsidRPr="00C1001D">
        <w:rPr>
          <w:sz w:val="20"/>
        </w:rPr>
        <w:t>). Vykazované ceny jsou ceny sjednané mezi dodavatelem a odběratelem v tuzemsku bez DPH a spotřební daně (bez nákladů na dopravu k zákazníkovi a nákladů s ní spojených) fakturované za významnější obchodní případy</w:t>
      </w:r>
      <w:r w:rsidRPr="00C1001D">
        <w:rPr>
          <w:sz w:val="20"/>
          <w:szCs w:val="17"/>
        </w:rPr>
        <w:t xml:space="preserve"> mezi 1. až 18. kalendářním dnem sledovaného měsíce.</w:t>
      </w:r>
    </w:p>
    <w:p w14:paraId="1073DE54" w14:textId="77777777" w:rsidR="00091C26" w:rsidRPr="00C1001D" w:rsidRDefault="00091C26" w:rsidP="00091C26">
      <w:pPr>
        <w:rPr>
          <w:sz w:val="20"/>
          <w:szCs w:val="17"/>
        </w:rPr>
      </w:pPr>
    </w:p>
    <w:p w14:paraId="4824EF18" w14:textId="77777777" w:rsidR="00091C26" w:rsidRPr="00C1001D" w:rsidRDefault="00091C26" w:rsidP="00091C26">
      <w:pPr>
        <w:rPr>
          <w:sz w:val="20"/>
        </w:rPr>
      </w:pPr>
      <w:r w:rsidRPr="00C1001D">
        <w:rPr>
          <w:sz w:val="20"/>
        </w:rPr>
        <w:t xml:space="preserve">Z vykázaných cen se na stálých vahách počítá </w:t>
      </w:r>
      <w:r w:rsidRPr="00C1001D">
        <w:rPr>
          <w:b/>
          <w:bCs/>
          <w:sz w:val="20"/>
        </w:rPr>
        <w:t>index cen průmyslových výrobců</w:t>
      </w:r>
      <w:r w:rsidRPr="00C1001D">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14:paraId="4BF5367F" w14:textId="77777777" w:rsidR="00091C26" w:rsidRPr="00C1001D" w:rsidRDefault="00091C26" w:rsidP="00091C26">
      <w:pPr>
        <w:rPr>
          <w:sz w:val="20"/>
        </w:rPr>
      </w:pPr>
    </w:p>
    <w:p w14:paraId="19388A9E" w14:textId="77777777" w:rsidR="00091C26" w:rsidRPr="00C1001D" w:rsidRDefault="00091C26" w:rsidP="00091C26">
      <w:pPr>
        <w:rPr>
          <w:rFonts w:cs="Arial"/>
          <w:sz w:val="20"/>
        </w:rPr>
      </w:pPr>
      <w:r w:rsidRPr="00C1001D">
        <w:rPr>
          <w:rFonts w:cs="Arial"/>
          <w:sz w:val="20"/>
        </w:rPr>
        <w:t>Průmyslem celkem se označuje součet sekcí B, C, D a E Klasifikace produkce (CZ-CPA) v aktuálním vydání, platném od 1. ledna 2015, která je vypracovaná na bázi evropského standardu CPA 2015 (</w:t>
      </w:r>
      <w:proofErr w:type="spellStart"/>
      <w:r w:rsidRPr="00C1001D">
        <w:rPr>
          <w:rFonts w:cs="Arial"/>
          <w:sz w:val="20"/>
        </w:rPr>
        <w:t>Classification</w:t>
      </w:r>
      <w:proofErr w:type="spellEnd"/>
      <w:r w:rsidRPr="00C1001D">
        <w:rPr>
          <w:rFonts w:cs="Arial"/>
          <w:sz w:val="20"/>
        </w:rPr>
        <w:t xml:space="preserve"> of </w:t>
      </w:r>
      <w:proofErr w:type="spellStart"/>
      <w:r w:rsidRPr="00C1001D">
        <w:rPr>
          <w:rFonts w:cs="Arial"/>
          <w:sz w:val="20"/>
        </w:rPr>
        <w:t>Products</w:t>
      </w:r>
      <w:proofErr w:type="spellEnd"/>
      <w:r w:rsidRPr="00C1001D">
        <w:rPr>
          <w:rFonts w:cs="Arial"/>
          <w:sz w:val="20"/>
        </w:rPr>
        <w:t xml:space="preserve"> by </w:t>
      </w:r>
      <w:proofErr w:type="spellStart"/>
      <w:r w:rsidRPr="00C1001D">
        <w:rPr>
          <w:rFonts w:cs="Arial"/>
          <w:sz w:val="20"/>
        </w:rPr>
        <w:t>Activity</w:t>
      </w:r>
      <w:proofErr w:type="spellEnd"/>
      <w:r w:rsidRPr="00C1001D">
        <w:rPr>
          <w:rFonts w:cs="Arial"/>
          <w:sz w:val="20"/>
        </w:rPr>
        <w:t>).</w:t>
      </w:r>
    </w:p>
    <w:p w14:paraId="292A9921" w14:textId="77777777" w:rsidR="00893899" w:rsidRPr="00C1001D" w:rsidRDefault="00893899" w:rsidP="00091C26">
      <w:pPr>
        <w:rPr>
          <w:rFonts w:cs="Arial"/>
          <w:sz w:val="20"/>
        </w:rPr>
      </w:pPr>
    </w:p>
    <w:p w14:paraId="624156A3" w14:textId="77777777" w:rsidR="00893899" w:rsidRPr="00C1001D" w:rsidRDefault="00893899" w:rsidP="00893899">
      <w:pPr>
        <w:rPr>
          <w:sz w:val="20"/>
        </w:rPr>
      </w:pPr>
    </w:p>
    <w:p w14:paraId="7FA58846" w14:textId="77777777" w:rsidR="00893899" w:rsidRPr="00C1001D" w:rsidRDefault="00893899" w:rsidP="00893899">
      <w:pPr>
        <w:pStyle w:val="Zkladntext"/>
        <w:jc w:val="left"/>
        <w:rPr>
          <w:strike/>
        </w:rPr>
      </w:pPr>
      <w:r w:rsidRPr="00C1001D">
        <w:t>V průběhu roku 2022 proběhla standardní komplexní revize indexů cen průmyslových výrobců. Na jejím základě jsou cenové indexy od ledna 2023 počítány na no</w:t>
      </w:r>
      <w:r w:rsidRPr="00C1001D">
        <w:rPr>
          <w:szCs w:val="20"/>
        </w:rPr>
        <w:t xml:space="preserve">vých vahách za rok 2021. </w:t>
      </w:r>
      <w:r w:rsidRPr="00C1001D">
        <w:t xml:space="preserve">Váhy byly stanoveny na základě struktury tuzemských tržeb za rok 2021 z výkazu </w:t>
      </w:r>
      <w:proofErr w:type="spellStart"/>
      <w:r w:rsidRPr="00C1001D">
        <w:t>Prům</w:t>
      </w:r>
      <w:proofErr w:type="spellEnd"/>
      <w:r w:rsidRPr="00C1001D">
        <w:t xml:space="preserve"> 2-01, Ceny </w:t>
      </w:r>
      <w:proofErr w:type="spellStart"/>
      <w:r w:rsidRPr="00C1001D">
        <w:t>Prům</w:t>
      </w:r>
      <w:proofErr w:type="spellEnd"/>
      <w:r w:rsidRPr="00C1001D">
        <w:t xml:space="preserve"> 1-12 a administrativních dat výkazu P4-01.</w:t>
      </w:r>
    </w:p>
    <w:p w14:paraId="0C69D633" w14:textId="77777777" w:rsidR="00893899" w:rsidRPr="00C1001D" w:rsidRDefault="00893899" w:rsidP="00893899">
      <w:pPr>
        <w:pStyle w:val="Zkladntext"/>
        <w:jc w:val="left"/>
        <w:rPr>
          <w:szCs w:val="20"/>
        </w:rPr>
      </w:pPr>
      <w:r w:rsidRPr="00C1001D">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534B243D" w14:textId="77777777" w:rsidR="00893899" w:rsidRPr="00C1001D" w:rsidRDefault="00893899" w:rsidP="00893899">
      <w:pPr>
        <w:pStyle w:val="Zkladntext"/>
        <w:jc w:val="left"/>
        <w:rPr>
          <w:szCs w:val="20"/>
        </w:rPr>
      </w:pPr>
    </w:p>
    <w:p w14:paraId="04BA1D78" w14:textId="77777777" w:rsidR="00893899" w:rsidRPr="00C1001D" w:rsidRDefault="00893899" w:rsidP="00893899">
      <w:pPr>
        <w:rPr>
          <w:rFonts w:cs="Arial"/>
          <w:sz w:val="20"/>
        </w:rPr>
      </w:pPr>
      <w:r w:rsidRPr="00C1001D">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100  a průměr roku 2010 = 100 byl v prosinci 2022 ukončen.</w:t>
      </w:r>
    </w:p>
    <w:p w14:paraId="730927E2" w14:textId="77777777" w:rsidR="00893899" w:rsidRPr="00C1001D" w:rsidRDefault="00893899" w:rsidP="00893899">
      <w:pPr>
        <w:rPr>
          <w:rFonts w:cs="Arial"/>
          <w:sz w:val="20"/>
        </w:rPr>
      </w:pPr>
    </w:p>
    <w:p w14:paraId="414BF825" w14:textId="77777777" w:rsidR="00893899" w:rsidRPr="00C1001D" w:rsidRDefault="00893899" w:rsidP="00893899">
      <w:pPr>
        <w:rPr>
          <w:rFonts w:cs="Arial"/>
          <w:sz w:val="20"/>
        </w:rPr>
      </w:pPr>
      <w:r w:rsidRPr="00C1001D">
        <w:rPr>
          <w:rFonts w:cs="Arial"/>
          <w:sz w:val="20"/>
        </w:rPr>
        <w:t>Odvozené indexy (meziměsíční, meziroční, podíl klouzavých průměrů) jsou stále počítány z řady bazických indexů o základu průměr roku 2015 = 100.</w:t>
      </w:r>
    </w:p>
    <w:p w14:paraId="1A7B84C7" w14:textId="77777777" w:rsidR="00893899" w:rsidRPr="00C1001D" w:rsidRDefault="00893899" w:rsidP="00893899">
      <w:pPr>
        <w:rPr>
          <w:rFonts w:cs="Arial"/>
          <w:sz w:val="20"/>
        </w:rPr>
      </w:pPr>
    </w:p>
    <w:p w14:paraId="0FA177E6" w14:textId="77777777" w:rsidR="00893899" w:rsidRPr="00C1001D" w:rsidRDefault="00893899" w:rsidP="00893899">
      <w:pPr>
        <w:rPr>
          <w:rFonts w:cs="Arial"/>
          <w:sz w:val="20"/>
        </w:rPr>
      </w:pPr>
      <w:r w:rsidRPr="00C1001D">
        <w:rPr>
          <w:rFonts w:cs="Arial"/>
          <w:sz w:val="20"/>
        </w:rPr>
        <w:t xml:space="preserve">Ze sledování a z publikování byly </w:t>
      </w:r>
      <w:r w:rsidRPr="00C1001D">
        <w:rPr>
          <w:rFonts w:cs="Arial"/>
          <w:b/>
          <w:sz w:val="20"/>
        </w:rPr>
        <w:t>vyřazeny</w:t>
      </w:r>
      <w:r w:rsidRPr="00C1001D">
        <w:rPr>
          <w:rFonts w:cs="Arial"/>
          <w:sz w:val="20"/>
        </w:rPr>
        <w:t xml:space="preserve"> tyto agregace:</w:t>
      </w:r>
    </w:p>
    <w:p w14:paraId="40816F79" w14:textId="77777777" w:rsidR="00893899" w:rsidRPr="00C1001D" w:rsidRDefault="00893899" w:rsidP="00893899">
      <w:pPr>
        <w:rPr>
          <w:rFonts w:cs="Arial"/>
          <w:sz w:val="20"/>
        </w:rPr>
      </w:pPr>
      <w:r w:rsidRPr="00C1001D">
        <w:rPr>
          <w:rFonts w:cs="Arial"/>
          <w:sz w:val="20"/>
        </w:rPr>
        <w:t>CA 12 – Tabákové výrobky, vč. subdodavatelských prací</w:t>
      </w:r>
    </w:p>
    <w:p w14:paraId="409E4249" w14:textId="77777777" w:rsidR="00893899" w:rsidRPr="00C1001D" w:rsidRDefault="00893899" w:rsidP="00893899">
      <w:pPr>
        <w:rPr>
          <w:rFonts w:cs="Arial"/>
          <w:sz w:val="20"/>
        </w:rPr>
      </w:pPr>
      <w:r w:rsidRPr="00C1001D">
        <w:rPr>
          <w:rFonts w:cs="Arial"/>
          <w:sz w:val="20"/>
        </w:rPr>
        <w:t>CB 151 – Činěné a upravené usně (vyčiněné kůže); vč. subdodavatelských prací</w:t>
      </w:r>
    </w:p>
    <w:p w14:paraId="1261AF62" w14:textId="77777777" w:rsidR="00893899" w:rsidRPr="00C1001D" w:rsidRDefault="00893899" w:rsidP="00893899">
      <w:pPr>
        <w:rPr>
          <w:rFonts w:cs="Arial"/>
          <w:sz w:val="20"/>
        </w:rPr>
      </w:pPr>
      <w:r w:rsidRPr="00C1001D">
        <w:rPr>
          <w:rFonts w:cs="Arial"/>
          <w:sz w:val="20"/>
        </w:rPr>
        <w:t>CH 253 – Parní kotle, kromě kotlů k ústřednímu topení, vč. subdodavatelských prací</w:t>
      </w:r>
    </w:p>
    <w:p w14:paraId="4891F34E" w14:textId="77777777" w:rsidR="00893899" w:rsidRPr="00C1001D" w:rsidRDefault="00893899" w:rsidP="00893899">
      <w:pPr>
        <w:rPr>
          <w:rFonts w:cs="Arial"/>
          <w:sz w:val="20"/>
        </w:rPr>
      </w:pPr>
    </w:p>
    <w:p w14:paraId="222FD3BA" w14:textId="77777777" w:rsidR="00893899" w:rsidRPr="00C1001D" w:rsidRDefault="00893899" w:rsidP="00893899">
      <w:pPr>
        <w:rPr>
          <w:rFonts w:cs="Arial"/>
          <w:sz w:val="20"/>
        </w:rPr>
      </w:pPr>
      <w:r w:rsidRPr="00C1001D">
        <w:rPr>
          <w:rFonts w:cs="Arial"/>
          <w:sz w:val="20"/>
        </w:rPr>
        <w:t xml:space="preserve">Zároveň byly vyřazeny všechny </w:t>
      </w:r>
      <w:proofErr w:type="spellStart"/>
      <w:r w:rsidRPr="00C1001D">
        <w:rPr>
          <w:rFonts w:cs="Arial"/>
          <w:sz w:val="20"/>
        </w:rPr>
        <w:t>subsekce</w:t>
      </w:r>
      <w:proofErr w:type="spellEnd"/>
      <w:r w:rsidRPr="00C1001D">
        <w:rPr>
          <w:rFonts w:cs="Arial"/>
          <w:sz w:val="20"/>
        </w:rPr>
        <w:t xml:space="preserve"> CA až CM, které již nejsou součástí klasifikace.</w:t>
      </w:r>
    </w:p>
    <w:p w14:paraId="1FDA38A0" w14:textId="77777777" w:rsidR="00893899" w:rsidRPr="00C1001D" w:rsidRDefault="00893899" w:rsidP="00091C26">
      <w:pPr>
        <w:rPr>
          <w:rFonts w:cs="Arial"/>
          <w:sz w:val="20"/>
        </w:rPr>
      </w:pPr>
    </w:p>
    <w:p w14:paraId="11BB127E" w14:textId="77777777" w:rsidR="00D740E9" w:rsidRPr="00C1001D" w:rsidRDefault="00D740E9" w:rsidP="00D740E9">
      <w:pPr>
        <w:jc w:val="both"/>
        <w:rPr>
          <w:sz w:val="20"/>
        </w:rPr>
      </w:pPr>
      <w:r w:rsidRPr="00C1001D">
        <w:rPr>
          <w:b/>
          <w:bCs/>
          <w:sz w:val="20"/>
        </w:rPr>
        <w:t>Ceny stavebních prací</w:t>
      </w:r>
      <w:r w:rsidRPr="00C1001D">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14:paraId="50C1205F" w14:textId="77777777" w:rsidR="00D740E9" w:rsidRPr="00C1001D" w:rsidRDefault="00D740E9" w:rsidP="00D740E9">
      <w:pPr>
        <w:jc w:val="both"/>
        <w:rPr>
          <w:rFonts w:cs="Arial"/>
          <w:sz w:val="20"/>
        </w:rPr>
      </w:pPr>
      <w:r w:rsidRPr="00C1001D">
        <w:rPr>
          <w:b/>
          <w:bCs/>
          <w:sz w:val="20"/>
        </w:rPr>
        <w:t>Index cen stavebních prací</w:t>
      </w:r>
      <w:r w:rsidRPr="00C1001D">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14:paraId="1C03C9FC" w14:textId="77777777" w:rsidR="00D740E9" w:rsidRPr="00C1001D" w:rsidRDefault="00D740E9" w:rsidP="00D740E9">
      <w:pPr>
        <w:jc w:val="both"/>
        <w:rPr>
          <w:sz w:val="20"/>
        </w:rPr>
      </w:pPr>
    </w:p>
    <w:p w14:paraId="58688A7C" w14:textId="77777777" w:rsidR="00D740E9" w:rsidRPr="00C1001D" w:rsidRDefault="00D740E9" w:rsidP="00D740E9">
      <w:pPr>
        <w:jc w:val="both"/>
        <w:rPr>
          <w:rFonts w:cs="Arial"/>
          <w:bCs/>
          <w:sz w:val="20"/>
          <w:szCs w:val="24"/>
        </w:rPr>
      </w:pPr>
      <w:r w:rsidRPr="00C1001D">
        <w:rPr>
          <w:rFonts w:cs="Arial"/>
          <w:b/>
          <w:bCs/>
          <w:sz w:val="20"/>
          <w:szCs w:val="24"/>
        </w:rPr>
        <w:t xml:space="preserve">Ceny tržních služeb </w:t>
      </w:r>
      <w:r w:rsidRPr="00C1001D">
        <w:rPr>
          <w:rFonts w:cs="Arial"/>
          <w:bCs/>
          <w:sz w:val="20"/>
          <w:szCs w:val="24"/>
        </w:rPr>
        <w:t>- údaj vyjadřuje procentní změnu průměrné cenové hladiny za dvanáct měsíců roku proti průměrné cenové hladině dvanácti měsíců předchozího roku.</w:t>
      </w:r>
    </w:p>
    <w:p w14:paraId="3D958AE4" w14:textId="77777777" w:rsidR="00D740E9" w:rsidRPr="00C1001D" w:rsidRDefault="00D740E9" w:rsidP="00D740E9">
      <w:pPr>
        <w:jc w:val="both"/>
        <w:rPr>
          <w:rFonts w:cs="Arial"/>
          <w:bCs/>
          <w:sz w:val="20"/>
          <w:szCs w:val="24"/>
        </w:rPr>
      </w:pPr>
    </w:p>
    <w:p w14:paraId="2CFE307C" w14:textId="77777777" w:rsidR="00E31D31" w:rsidRPr="00C1001D" w:rsidRDefault="00E31D31" w:rsidP="00E31D31">
      <w:pPr>
        <w:jc w:val="both"/>
        <w:rPr>
          <w:rFonts w:cs="Arial"/>
          <w:bCs/>
          <w:sz w:val="20"/>
          <w:szCs w:val="24"/>
        </w:rPr>
      </w:pPr>
      <w:r w:rsidRPr="00C1001D">
        <w:rPr>
          <w:rFonts w:cs="Arial"/>
          <w:bCs/>
          <w:sz w:val="20"/>
          <w:szCs w:val="24"/>
        </w:rPr>
        <w:t xml:space="preserve">Úhrnný </w:t>
      </w:r>
      <w:r w:rsidRPr="00C1001D">
        <w:rPr>
          <w:rFonts w:cs="Arial"/>
          <w:b/>
          <w:bCs/>
          <w:sz w:val="20"/>
          <w:szCs w:val="24"/>
        </w:rPr>
        <w:t xml:space="preserve">index cen tržních služeb </w:t>
      </w:r>
      <w:r w:rsidRPr="00C1001D">
        <w:rPr>
          <w:rFonts w:cs="Arial"/>
          <w:bCs/>
          <w:sz w:val="20"/>
          <w:szCs w:val="24"/>
        </w:rPr>
        <w:t xml:space="preserve">zahrnuje následující indexy cen tržních služeb v podnikatelské sféře (tj. mezi podnikatelskými subjekty): </w:t>
      </w:r>
      <w:r w:rsidRPr="00C1001D">
        <w:rPr>
          <w:rFonts w:cs="Arial"/>
          <w:bCs/>
          <w:sz w:val="20"/>
        </w:rPr>
        <w:t xml:space="preserve">pozemní a potrubní doprava, vodní doprava, skladování a podpůrné služby v dopravě, poštovní a kurýrní služby, vydavatelské služby, </w:t>
      </w:r>
      <w:r w:rsidRPr="00C1001D">
        <w:rPr>
          <w:rFonts w:cs="Arial"/>
          <w:sz w:val="20"/>
        </w:rPr>
        <w:t>činnosti v oblasti filmů, videozáznamů a televizních programů, pořizování zvukových nahrávek a hudební vydavatelské činnosti, tvorba programů a vysílání,</w:t>
      </w:r>
      <w:r w:rsidRPr="00C1001D">
        <w:rPr>
          <w:rFonts w:cs="Arial"/>
          <w:bCs/>
          <w:sz w:val="20"/>
        </w:rPr>
        <w:t xml:space="preserve"> telekomunikační služby, programování a poradenství, informační služby, pojištění, služby v oblasti nemovitostí, právní a účetnické služby, </w:t>
      </w:r>
      <w:r w:rsidRPr="00C1001D">
        <w:rPr>
          <w:sz w:val="20"/>
        </w:rPr>
        <w:t xml:space="preserve">vedení podniků, poradenství v oblasti řízení, </w:t>
      </w:r>
      <w:r w:rsidRPr="00C1001D">
        <w:rPr>
          <w:rFonts w:cs="Arial"/>
          <w:bCs/>
          <w:sz w:val="20"/>
        </w:rPr>
        <w:t>architektonické a inženýrské služby, reklamní služby a průzkum trhu, ostatní odborné, vědecké a technické služby, služby v oblasti pronájmu</w:t>
      </w:r>
      <w:r w:rsidRPr="00C1001D">
        <w:rPr>
          <w:rFonts w:cs="Arial"/>
          <w:bCs/>
          <w:sz w:val="20"/>
          <w:szCs w:val="24"/>
        </w:rPr>
        <w:t>, služby v oblasti zaměstnání, bezpečnostní a pátrací služby, služby související se stavbami, úpravou krajiny, administrativní a jiné podpůrné služby.</w:t>
      </w:r>
    </w:p>
    <w:p w14:paraId="2E96CEDA" w14:textId="77777777" w:rsidR="00E31D31" w:rsidRPr="00C1001D" w:rsidRDefault="00E31D31" w:rsidP="00E31D31">
      <w:pPr>
        <w:jc w:val="both"/>
        <w:rPr>
          <w:rFonts w:cs="Arial"/>
          <w:bCs/>
          <w:sz w:val="20"/>
        </w:rPr>
      </w:pPr>
      <w:r w:rsidRPr="00C1001D">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C1001D">
        <w:rPr>
          <w:rFonts w:cs="Arial"/>
          <w:bCs/>
          <w:sz w:val="20"/>
        </w:rPr>
        <w:t>Od ledna 2024 jsou bazické (základní) indexy cen tržních služeb počítány k </w:t>
      </w:r>
      <w:r w:rsidRPr="00C1001D">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C1001D">
        <w:rPr>
          <w:rFonts w:cs="Arial"/>
          <w:bCs/>
          <w:sz w:val="20"/>
        </w:rPr>
        <w:t>k indexnímu základu „průměr roku 2015 = 100“, které jsou následně publikovány. Tím je zachována kontinuita stávajících časových řad. Dosud publikované indexy nebyly revidovány.</w:t>
      </w:r>
    </w:p>
    <w:p w14:paraId="6A8A57CF" w14:textId="77777777" w:rsidR="00D740E9" w:rsidRPr="00C1001D" w:rsidRDefault="00D740E9" w:rsidP="00D740E9">
      <w:pPr>
        <w:jc w:val="both"/>
        <w:rPr>
          <w:rFonts w:cs="Arial"/>
          <w:b/>
          <w:bCs/>
          <w:sz w:val="20"/>
          <w:szCs w:val="24"/>
        </w:rPr>
      </w:pPr>
    </w:p>
    <w:p w14:paraId="58579F80" w14:textId="77777777" w:rsidR="00D740E9" w:rsidRPr="00C1001D" w:rsidRDefault="00D740E9" w:rsidP="00D740E9">
      <w:pPr>
        <w:jc w:val="both"/>
        <w:rPr>
          <w:rFonts w:cs="Arial"/>
          <w:b/>
          <w:bCs/>
          <w:sz w:val="20"/>
          <w:szCs w:val="24"/>
        </w:rPr>
      </w:pPr>
    </w:p>
    <w:p w14:paraId="348EE2A5" w14:textId="77777777" w:rsidR="00D740E9" w:rsidRPr="00C1001D" w:rsidRDefault="00D740E9" w:rsidP="00D740E9">
      <w:pPr>
        <w:jc w:val="both"/>
        <w:rPr>
          <w:rFonts w:cs="Arial"/>
          <w:b/>
          <w:bCs/>
          <w:sz w:val="20"/>
          <w:szCs w:val="24"/>
        </w:rPr>
      </w:pPr>
      <w:r w:rsidRPr="00C1001D">
        <w:rPr>
          <w:rFonts w:cs="Arial"/>
          <w:b/>
          <w:bCs/>
          <w:sz w:val="20"/>
          <w:szCs w:val="24"/>
        </w:rPr>
        <w:t xml:space="preserve">Ceny zemědělských výrobců </w:t>
      </w:r>
      <w:r w:rsidRPr="00C1001D">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C1001D">
        <w:rPr>
          <w:rFonts w:cs="Arial"/>
          <w:bCs/>
          <w:sz w:val="20"/>
          <w:szCs w:val="24"/>
        </w:rPr>
        <w:t>2023</w:t>
      </w:r>
      <w:r w:rsidRPr="00C1001D">
        <w:rPr>
          <w:rFonts w:cs="Arial"/>
          <w:bCs/>
          <w:sz w:val="20"/>
          <w:szCs w:val="24"/>
        </w:rPr>
        <w:t xml:space="preserve"> z cenových bazických indexů s cenovým základem průměr roku </w:t>
      </w:r>
      <w:r w:rsidR="00893899" w:rsidRPr="00C1001D">
        <w:rPr>
          <w:rFonts w:cs="Arial"/>
          <w:bCs/>
          <w:sz w:val="20"/>
          <w:szCs w:val="24"/>
        </w:rPr>
        <w:t>2020</w:t>
      </w:r>
      <w:r w:rsidRPr="00C1001D">
        <w:rPr>
          <w:rFonts w:cs="Arial"/>
          <w:bCs/>
          <w:sz w:val="20"/>
          <w:szCs w:val="24"/>
        </w:rPr>
        <w:t xml:space="preserve">. </w:t>
      </w:r>
    </w:p>
    <w:p w14:paraId="6899920E" w14:textId="77777777" w:rsidR="00D740E9" w:rsidRPr="00C1001D" w:rsidRDefault="00D740E9" w:rsidP="00D740E9">
      <w:pPr>
        <w:jc w:val="both"/>
        <w:rPr>
          <w:rFonts w:cs="Arial"/>
          <w:bCs/>
          <w:sz w:val="20"/>
          <w:szCs w:val="24"/>
        </w:rPr>
      </w:pPr>
      <w:r w:rsidRPr="00C1001D">
        <w:rPr>
          <w:rFonts w:cs="Arial"/>
          <w:b/>
          <w:bCs/>
          <w:sz w:val="20"/>
          <w:szCs w:val="24"/>
        </w:rPr>
        <w:t xml:space="preserve">Index cen zemědělských výrobců </w:t>
      </w:r>
      <w:r w:rsidRPr="00C1001D">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14:paraId="6685132D" w14:textId="77777777" w:rsidR="00D740E9" w:rsidRPr="00C1001D" w:rsidRDefault="00D740E9" w:rsidP="00D740E9">
      <w:pPr>
        <w:jc w:val="both"/>
        <w:rPr>
          <w:rFonts w:cs="Arial"/>
          <w:b/>
          <w:bCs/>
          <w:sz w:val="20"/>
          <w:szCs w:val="24"/>
        </w:rPr>
      </w:pPr>
    </w:p>
    <w:p w14:paraId="1A3D9B5D" w14:textId="77777777" w:rsidR="00D740E9" w:rsidRPr="00C1001D" w:rsidRDefault="00D740E9" w:rsidP="00D740E9">
      <w:pPr>
        <w:jc w:val="both"/>
        <w:rPr>
          <w:rFonts w:cs="Arial"/>
          <w:bCs/>
          <w:sz w:val="20"/>
          <w:szCs w:val="24"/>
        </w:rPr>
      </w:pPr>
      <w:r w:rsidRPr="00C1001D">
        <w:rPr>
          <w:rFonts w:cs="Arial"/>
          <w:b/>
          <w:bCs/>
          <w:sz w:val="20"/>
          <w:szCs w:val="24"/>
        </w:rPr>
        <w:t xml:space="preserve">Měsíční indexy </w:t>
      </w:r>
      <w:r w:rsidRPr="00C1001D">
        <w:rPr>
          <w:rFonts w:cs="Arial"/>
          <w:bCs/>
          <w:sz w:val="20"/>
          <w:szCs w:val="24"/>
        </w:rPr>
        <w:t xml:space="preserve">cen jednotlivých reprezentantů se spočítají podílem jejich průměrné ceny za příslušný měsíc a průměrné roční ceny roku </w:t>
      </w:r>
      <w:r w:rsidR="00893899" w:rsidRPr="00C1001D">
        <w:rPr>
          <w:rFonts w:cs="Arial"/>
          <w:bCs/>
          <w:sz w:val="20"/>
          <w:szCs w:val="24"/>
        </w:rPr>
        <w:t>2020</w:t>
      </w:r>
      <w:r w:rsidRPr="00C1001D">
        <w:rPr>
          <w:rFonts w:cs="Arial"/>
          <w:bCs/>
          <w:sz w:val="20"/>
          <w:szCs w:val="24"/>
        </w:rPr>
        <w:t>. Měsíční indexy jsou dále agregovány pomocí váženého průměru cenových indexů příslušných výrobků (váhy v </w:t>
      </w:r>
      <w:proofErr w:type="spellStart"/>
      <w:r w:rsidRPr="00C1001D">
        <w:rPr>
          <w:rFonts w:cs="Arial"/>
          <w:bCs/>
          <w:sz w:val="20"/>
          <w:szCs w:val="24"/>
        </w:rPr>
        <w:t>promilích</w:t>
      </w:r>
      <w:proofErr w:type="spellEnd"/>
      <w:r w:rsidRPr="00C1001D">
        <w:rPr>
          <w:rFonts w:cs="Arial"/>
          <w:bCs/>
          <w:sz w:val="20"/>
          <w:szCs w:val="24"/>
        </w:rPr>
        <w:t xml:space="preserve">). </w:t>
      </w:r>
    </w:p>
    <w:p w14:paraId="487DF57C" w14:textId="77777777" w:rsidR="00D740E9" w:rsidRPr="00C1001D" w:rsidRDefault="00D740E9" w:rsidP="00D740E9">
      <w:pPr>
        <w:jc w:val="both"/>
        <w:rPr>
          <w:rFonts w:cs="Arial"/>
          <w:b/>
          <w:bCs/>
          <w:sz w:val="20"/>
          <w:szCs w:val="24"/>
        </w:rPr>
      </w:pPr>
    </w:p>
    <w:p w14:paraId="233F6074" w14:textId="77777777" w:rsidR="00D740E9" w:rsidRPr="00C1001D" w:rsidRDefault="00D740E9" w:rsidP="00D740E9">
      <w:pPr>
        <w:jc w:val="both"/>
        <w:rPr>
          <w:rFonts w:cs="Arial"/>
          <w:bCs/>
          <w:sz w:val="20"/>
          <w:szCs w:val="24"/>
        </w:rPr>
      </w:pPr>
      <w:r w:rsidRPr="00C1001D">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C1001D">
        <w:rPr>
          <w:rFonts w:cs="Arial"/>
          <w:bCs/>
          <w:sz w:val="20"/>
          <w:szCs w:val="24"/>
        </w:rPr>
        <w:lastRenderedPageBreak/>
        <w:t xml:space="preserve">je pro 12 měsíců v roce. Nominálnímu součtu 1000 je pak roven součet vah nejvyšší agregace za každý měsíc v roce. </w:t>
      </w:r>
    </w:p>
    <w:p w14:paraId="516403C7" w14:textId="77777777" w:rsidR="00893899" w:rsidRPr="00C1001D" w:rsidRDefault="00893899" w:rsidP="00D740E9">
      <w:pPr>
        <w:jc w:val="both"/>
        <w:rPr>
          <w:rFonts w:cs="Arial"/>
          <w:bCs/>
          <w:sz w:val="20"/>
          <w:szCs w:val="24"/>
        </w:rPr>
      </w:pPr>
    </w:p>
    <w:p w14:paraId="04F1C7A2" w14:textId="77777777" w:rsidR="00D740E9" w:rsidRPr="00C1001D" w:rsidRDefault="00D740E9" w:rsidP="00D740E9">
      <w:r w:rsidRPr="00C1001D">
        <w:rPr>
          <w:rFonts w:cs="Arial"/>
          <w:b/>
          <w:bCs/>
          <w:sz w:val="20"/>
          <w:szCs w:val="24"/>
        </w:rPr>
        <w:t xml:space="preserve">Pro výpočet indexu cen zemědělských výrobců se tudíž využívá proměnlivých měsíčních vah. </w:t>
      </w:r>
    </w:p>
    <w:p w14:paraId="4A843943" w14:textId="77777777" w:rsidR="00D740E9" w:rsidRPr="00C1001D" w:rsidRDefault="00D740E9" w:rsidP="00D740E9">
      <w:pPr>
        <w:jc w:val="both"/>
        <w:rPr>
          <w:rFonts w:cs="Arial"/>
          <w:b/>
          <w:bCs/>
          <w:sz w:val="20"/>
          <w:szCs w:val="24"/>
        </w:rPr>
      </w:pPr>
    </w:p>
    <w:p w14:paraId="4D95AE02" w14:textId="77777777" w:rsidR="003F136F" w:rsidRPr="00C1001D" w:rsidRDefault="003F136F" w:rsidP="003F136F">
      <w:pPr>
        <w:jc w:val="both"/>
        <w:rPr>
          <w:rFonts w:cs="Arial"/>
          <w:bCs/>
          <w:sz w:val="20"/>
          <w:szCs w:val="24"/>
        </w:rPr>
      </w:pPr>
      <w:r w:rsidRPr="00C1001D">
        <w:rPr>
          <w:rFonts w:cs="Arial"/>
          <w:b/>
          <w:bCs/>
          <w:sz w:val="20"/>
          <w:szCs w:val="24"/>
        </w:rPr>
        <w:t xml:space="preserve">Ceny vývozu zboží - </w:t>
      </w:r>
      <w:r w:rsidRPr="00C1001D">
        <w:rPr>
          <w:rFonts w:cs="Arial"/>
          <w:bCs/>
          <w:sz w:val="20"/>
          <w:szCs w:val="24"/>
        </w:rPr>
        <w:t>údaj vyjadřuje procentní změnu průměrné cenové hladiny za dvanáct měsíců roku proti průměrné cenové hladině dvanácti měsíců předchozího roku.</w:t>
      </w:r>
    </w:p>
    <w:p w14:paraId="0241676F" w14:textId="77777777" w:rsidR="003F136F" w:rsidRPr="00C1001D" w:rsidRDefault="003F136F" w:rsidP="003F136F">
      <w:pPr>
        <w:jc w:val="both"/>
        <w:rPr>
          <w:rFonts w:cs="Arial"/>
          <w:bCs/>
          <w:sz w:val="20"/>
          <w:szCs w:val="24"/>
        </w:rPr>
      </w:pPr>
      <w:r w:rsidRPr="00C1001D">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2015.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2229C599" w14:textId="77777777" w:rsidR="003F136F" w:rsidRPr="00C1001D" w:rsidRDefault="003F136F" w:rsidP="003F136F">
      <w:pPr>
        <w:jc w:val="both"/>
        <w:rPr>
          <w:rFonts w:cs="Arial"/>
          <w:bCs/>
          <w:strike/>
          <w:sz w:val="20"/>
          <w:szCs w:val="24"/>
        </w:rPr>
      </w:pPr>
      <w:r w:rsidRPr="00C1001D">
        <w:rPr>
          <w:rFonts w:cs="Arial"/>
          <w:bCs/>
          <w:sz w:val="20"/>
          <w:szCs w:val="24"/>
        </w:rPr>
        <w:t>Z vykázaných cen je na stálých vahách - od revize v roce 2017 na stálých vahách z roku 2015 -</w:t>
      </w:r>
      <w:r w:rsidRPr="00C1001D">
        <w:rPr>
          <w:rFonts w:cs="Arial"/>
          <w:b/>
          <w:bCs/>
          <w:sz w:val="20"/>
          <w:szCs w:val="24"/>
        </w:rPr>
        <w:t xml:space="preserve"> </w:t>
      </w:r>
      <w:r w:rsidRPr="00C1001D">
        <w:rPr>
          <w:rFonts w:cs="Arial"/>
          <w:bCs/>
          <w:sz w:val="20"/>
          <w:szCs w:val="24"/>
        </w:rPr>
        <w:t>počítán</w:t>
      </w:r>
      <w:r w:rsidRPr="00C1001D">
        <w:rPr>
          <w:rFonts w:cs="Arial"/>
          <w:b/>
          <w:bCs/>
          <w:sz w:val="20"/>
          <w:szCs w:val="24"/>
        </w:rPr>
        <w:t xml:space="preserve"> index cen vývozu </w:t>
      </w:r>
      <w:r w:rsidRPr="00C1001D">
        <w:rPr>
          <w:rFonts w:cs="Arial"/>
          <w:bCs/>
          <w:sz w:val="20"/>
          <w:szCs w:val="24"/>
        </w:rPr>
        <w:t>k cenovému základu průměr roku 2015 = 100.</w:t>
      </w:r>
    </w:p>
    <w:p w14:paraId="378E41DF" w14:textId="77777777" w:rsidR="003F136F" w:rsidRPr="00C1001D" w:rsidRDefault="003F136F" w:rsidP="003F136F">
      <w:pPr>
        <w:jc w:val="both"/>
        <w:rPr>
          <w:rFonts w:cs="Arial"/>
          <w:bCs/>
          <w:strike/>
          <w:sz w:val="20"/>
          <w:szCs w:val="24"/>
        </w:rPr>
      </w:pPr>
    </w:p>
    <w:p w14:paraId="6781D6D6" w14:textId="77777777" w:rsidR="003F136F" w:rsidRPr="00C1001D" w:rsidRDefault="003F136F" w:rsidP="003F136F">
      <w:pPr>
        <w:jc w:val="both"/>
        <w:rPr>
          <w:rFonts w:cs="Arial"/>
          <w:bCs/>
          <w:sz w:val="20"/>
          <w:szCs w:val="24"/>
        </w:rPr>
      </w:pPr>
      <w:r w:rsidRPr="00C1001D">
        <w:rPr>
          <w:rFonts w:cs="Arial"/>
          <w:b/>
          <w:bCs/>
          <w:sz w:val="20"/>
          <w:szCs w:val="24"/>
        </w:rPr>
        <w:t xml:space="preserve">Ceny dovozu zboží </w:t>
      </w:r>
      <w:r w:rsidRPr="00C1001D">
        <w:rPr>
          <w:rFonts w:cs="Arial"/>
          <w:bCs/>
          <w:sz w:val="20"/>
          <w:szCs w:val="24"/>
        </w:rPr>
        <w:t xml:space="preserve">- údaj vyjadřuje procentní změnu průměrné cenové hladiny za dvanáct měsíců roku proti průměrné cenové hladině dvanácti měsíců předchozího roku. </w:t>
      </w:r>
    </w:p>
    <w:p w14:paraId="7B1BACE0" w14:textId="77777777" w:rsidR="003F136F" w:rsidRPr="00C1001D" w:rsidRDefault="003F136F" w:rsidP="003F136F">
      <w:pPr>
        <w:jc w:val="both"/>
        <w:rPr>
          <w:rFonts w:cs="Arial"/>
          <w:bCs/>
          <w:sz w:val="20"/>
          <w:szCs w:val="24"/>
        </w:rPr>
      </w:pPr>
      <w:r w:rsidRPr="00C1001D">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2015.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6FC4051C" w14:textId="77777777" w:rsidR="003F136F" w:rsidRPr="00C1001D" w:rsidRDefault="003F136F" w:rsidP="003F136F">
      <w:pPr>
        <w:jc w:val="both"/>
        <w:rPr>
          <w:rFonts w:cs="Arial"/>
          <w:bCs/>
          <w:strike/>
          <w:sz w:val="20"/>
          <w:szCs w:val="24"/>
        </w:rPr>
      </w:pPr>
      <w:r w:rsidRPr="00C1001D">
        <w:rPr>
          <w:rFonts w:cs="Arial"/>
          <w:bCs/>
          <w:sz w:val="20"/>
          <w:szCs w:val="24"/>
        </w:rPr>
        <w:t>Z vykázaných cen je na stálých vahách - od revize v roce 2017 na stálých vahách z roku 2015 -</w:t>
      </w:r>
      <w:r w:rsidRPr="00C1001D">
        <w:rPr>
          <w:rFonts w:cs="Arial"/>
          <w:b/>
          <w:bCs/>
          <w:sz w:val="20"/>
          <w:szCs w:val="24"/>
        </w:rPr>
        <w:t xml:space="preserve"> </w:t>
      </w:r>
      <w:r w:rsidRPr="00C1001D">
        <w:rPr>
          <w:rFonts w:cs="Arial"/>
          <w:bCs/>
          <w:sz w:val="20"/>
          <w:szCs w:val="24"/>
        </w:rPr>
        <w:t>počítán</w:t>
      </w:r>
      <w:r w:rsidRPr="00C1001D">
        <w:rPr>
          <w:rFonts w:cs="Arial"/>
          <w:b/>
          <w:bCs/>
          <w:sz w:val="20"/>
          <w:szCs w:val="24"/>
        </w:rPr>
        <w:t xml:space="preserve"> index cen dovozu </w:t>
      </w:r>
      <w:r w:rsidRPr="00C1001D">
        <w:rPr>
          <w:rFonts w:cs="Arial"/>
          <w:bCs/>
          <w:sz w:val="20"/>
          <w:szCs w:val="24"/>
        </w:rPr>
        <w:t>k cenovému základu průměr roku 2015 = 100.</w:t>
      </w:r>
    </w:p>
    <w:p w14:paraId="4E04E733" w14:textId="77777777" w:rsidR="00065712" w:rsidRPr="00C1001D" w:rsidRDefault="00065712">
      <w:pPr>
        <w:jc w:val="both"/>
        <w:rPr>
          <w:rFonts w:cs="Arial"/>
          <w:b/>
          <w:bCs/>
          <w:sz w:val="20"/>
        </w:rPr>
      </w:pPr>
    </w:p>
    <w:p w14:paraId="2D267C40" w14:textId="77777777" w:rsidR="00DA443E" w:rsidRPr="00C1001D" w:rsidRDefault="00DA443E">
      <w:pPr>
        <w:jc w:val="both"/>
        <w:rPr>
          <w:rFonts w:cs="Arial"/>
          <w:sz w:val="20"/>
        </w:rPr>
      </w:pPr>
      <w:r w:rsidRPr="00C1001D">
        <w:rPr>
          <w:rFonts w:cs="Arial"/>
          <w:b/>
          <w:bCs/>
          <w:sz w:val="20"/>
        </w:rPr>
        <w:t>Směnné relace</w:t>
      </w:r>
      <w:r w:rsidRPr="00C1001D">
        <w:rPr>
          <w:rFonts w:cs="Arial"/>
          <w:sz w:val="20"/>
        </w:rPr>
        <w:t xml:space="preserve"> vyjadřují podíl indexů cen vývozu a indexů cen dovozu.</w:t>
      </w:r>
    </w:p>
    <w:p w14:paraId="38796C3B" w14:textId="77777777" w:rsidR="00DA443E" w:rsidRPr="00C1001D" w:rsidRDefault="00DA443E">
      <w:pPr>
        <w:jc w:val="both"/>
        <w:rPr>
          <w:rFonts w:cs="Arial"/>
          <w:sz w:val="20"/>
        </w:rPr>
      </w:pPr>
    </w:p>
    <w:p w14:paraId="2539EA21" w14:textId="77777777" w:rsidR="00DA443E" w:rsidRPr="00C1001D" w:rsidRDefault="00DA443E">
      <w:pPr>
        <w:rPr>
          <w:rFonts w:cs="Arial"/>
          <w:sz w:val="20"/>
        </w:rPr>
      </w:pPr>
      <w:r w:rsidRPr="00C1001D">
        <w:rPr>
          <w:rFonts w:cs="Arial"/>
          <w:b/>
          <w:bCs/>
          <w:sz w:val="20"/>
        </w:rPr>
        <w:t>CZK/EUR</w:t>
      </w:r>
      <w:r w:rsidRPr="00C1001D">
        <w:rPr>
          <w:rFonts w:cs="Arial"/>
          <w:sz w:val="20"/>
        </w:rPr>
        <w:t xml:space="preserve"> = průměr denních nominálních kurzů koruny vůči euru za rok</w:t>
      </w:r>
    </w:p>
    <w:p w14:paraId="39D7AD89" w14:textId="77777777" w:rsidR="00DA443E" w:rsidRPr="00C1001D" w:rsidRDefault="00DA443E">
      <w:pPr>
        <w:rPr>
          <w:rFonts w:cs="Arial"/>
          <w:sz w:val="20"/>
        </w:rPr>
      </w:pPr>
    </w:p>
    <w:p w14:paraId="2229276E" w14:textId="77777777" w:rsidR="00DA443E" w:rsidRPr="00C1001D" w:rsidRDefault="00DA443E">
      <w:pPr>
        <w:rPr>
          <w:rFonts w:cs="Arial"/>
          <w:sz w:val="20"/>
        </w:rPr>
      </w:pPr>
      <w:r w:rsidRPr="00C1001D">
        <w:rPr>
          <w:rFonts w:cs="Arial"/>
          <w:b/>
          <w:bCs/>
          <w:sz w:val="20"/>
        </w:rPr>
        <w:t>CZK/USD</w:t>
      </w:r>
      <w:r w:rsidRPr="00C1001D">
        <w:rPr>
          <w:rFonts w:cs="Arial"/>
          <w:sz w:val="20"/>
        </w:rPr>
        <w:t xml:space="preserve"> = průměr denních nominálních kurzů koruny vůči dolaru za rok</w:t>
      </w:r>
    </w:p>
    <w:p w14:paraId="1FDA6574" w14:textId="77777777" w:rsidR="00DA443E" w:rsidRPr="00C1001D" w:rsidRDefault="00DA443E">
      <w:pPr>
        <w:rPr>
          <w:rFonts w:cs="Arial"/>
          <w:sz w:val="20"/>
        </w:rPr>
      </w:pPr>
    </w:p>
    <w:p w14:paraId="1872D95A" w14:textId="77777777" w:rsidR="001C5987" w:rsidRPr="00C1001D" w:rsidRDefault="001C5987" w:rsidP="001C5987">
      <w:pPr>
        <w:jc w:val="both"/>
        <w:rPr>
          <w:rFonts w:cs="Arial"/>
          <w:sz w:val="20"/>
        </w:rPr>
      </w:pPr>
      <w:r w:rsidRPr="00C1001D">
        <w:rPr>
          <w:rFonts w:cs="Arial"/>
          <w:b/>
          <w:bCs/>
          <w:sz w:val="20"/>
        </w:rPr>
        <w:t>Nominální efektivní kurz koruny</w:t>
      </w:r>
      <w:r w:rsidRPr="00C1001D">
        <w:rPr>
          <w:rFonts w:cs="Arial"/>
          <w:sz w:val="20"/>
        </w:rPr>
        <w:t xml:space="preserve"> (NEER) vyjádřený indexem uvádí zhodnocení (index nad 100) či znehodnocení (index pod 100) národní měny vůči koši vybraných měn za určité období</w:t>
      </w:r>
      <w:r w:rsidR="006520F0" w:rsidRPr="00C1001D">
        <w:rPr>
          <w:rFonts w:cs="Arial"/>
          <w:sz w:val="20"/>
        </w:rPr>
        <w:t xml:space="preserve"> proti základnímu období (rok 2020</w:t>
      </w:r>
      <w:r w:rsidRPr="00C1001D">
        <w:rPr>
          <w:rFonts w:cs="Arial"/>
          <w:sz w:val="20"/>
        </w:rPr>
        <w:t xml:space="preserve">). </w:t>
      </w:r>
    </w:p>
    <w:p w14:paraId="09090CBE" w14:textId="77777777" w:rsidR="001C5987" w:rsidRPr="00C1001D" w:rsidRDefault="001C5987" w:rsidP="001C5987">
      <w:pPr>
        <w:jc w:val="both"/>
        <w:rPr>
          <w:rFonts w:cs="Arial"/>
          <w:sz w:val="20"/>
        </w:rPr>
      </w:pPr>
      <w:r w:rsidRPr="00C1001D">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C1001D">
        <w:rPr>
          <w:rFonts w:cs="Arial"/>
          <w:sz w:val="20"/>
        </w:rPr>
        <w:t>31</w:t>
      </w:r>
      <w:r w:rsidRPr="00C1001D">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C1001D">
        <w:rPr>
          <w:rFonts w:cs="Arial"/>
          <w:sz w:val="20"/>
        </w:rPr>
        <w:t>ko, Polsko</w:t>
      </w:r>
      <w:r w:rsidRPr="00C1001D">
        <w:rPr>
          <w:rFonts w:cs="Arial"/>
          <w:sz w:val="20"/>
        </w:rPr>
        <w:t xml:space="preserve">,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w:t>
      </w:r>
      <w:proofErr w:type="spellStart"/>
      <w:r w:rsidRPr="00C1001D">
        <w:rPr>
          <w:rFonts w:cs="Arial"/>
          <w:sz w:val="20"/>
        </w:rPr>
        <w:t>konoditním</w:t>
      </w:r>
      <w:proofErr w:type="spellEnd"/>
      <w:r w:rsidRPr="00C1001D">
        <w:rPr>
          <w:rFonts w:cs="Arial"/>
          <w:sz w:val="20"/>
        </w:rPr>
        <w:t xml:space="preserve"> skupinám zahraničního obchodu ČR, mezi které patří komoditní skupiny (5-8) podle klasifikace OSN-Standard International </w:t>
      </w:r>
      <w:proofErr w:type="spellStart"/>
      <w:r w:rsidRPr="00C1001D">
        <w:rPr>
          <w:rFonts w:cs="Arial"/>
          <w:sz w:val="20"/>
        </w:rPr>
        <w:t>Trade</w:t>
      </w:r>
      <w:proofErr w:type="spellEnd"/>
      <w:r w:rsidRPr="00C1001D">
        <w:rPr>
          <w:rFonts w:cs="Arial"/>
          <w:sz w:val="20"/>
        </w:rPr>
        <w:t xml:space="preserve"> </w:t>
      </w:r>
      <w:proofErr w:type="spellStart"/>
      <w:r w:rsidRPr="00C1001D">
        <w:rPr>
          <w:rFonts w:cs="Arial"/>
          <w:sz w:val="20"/>
        </w:rPr>
        <w:t>Classification</w:t>
      </w:r>
      <w:proofErr w:type="spellEnd"/>
      <w:r w:rsidRPr="00C1001D">
        <w:rPr>
          <w:rFonts w:cs="Arial"/>
          <w:sz w:val="20"/>
        </w:rPr>
        <w:t xml:space="preserve"> (SITC). Uvedené údaje odpovídají této druhé variantě.</w:t>
      </w:r>
    </w:p>
    <w:p w14:paraId="3B3A8D98" w14:textId="77777777" w:rsidR="001C5987" w:rsidRPr="00C1001D" w:rsidRDefault="001C5987" w:rsidP="001C5987">
      <w:pPr>
        <w:jc w:val="both"/>
        <w:rPr>
          <w:rFonts w:cs="Arial"/>
          <w:sz w:val="20"/>
        </w:rPr>
      </w:pPr>
      <w:r w:rsidRPr="00C1001D">
        <w:rPr>
          <w:rFonts w:cs="Arial"/>
          <w:sz w:val="20"/>
        </w:rPr>
        <w:t>Zdroj dat: ČNB</w:t>
      </w:r>
    </w:p>
    <w:p w14:paraId="5056DF61" w14:textId="77777777" w:rsidR="001C5987" w:rsidRPr="00C1001D" w:rsidRDefault="001C5987" w:rsidP="001C5987">
      <w:pPr>
        <w:jc w:val="both"/>
        <w:rPr>
          <w:rFonts w:cs="Arial"/>
          <w:b/>
          <w:bCs/>
          <w:sz w:val="20"/>
        </w:rPr>
      </w:pPr>
    </w:p>
    <w:p w14:paraId="2FC459F1" w14:textId="77777777" w:rsidR="001C5987" w:rsidRPr="00C1001D" w:rsidRDefault="001C5987" w:rsidP="001C5987">
      <w:pPr>
        <w:jc w:val="both"/>
        <w:rPr>
          <w:rFonts w:cs="Arial"/>
          <w:b/>
          <w:bCs/>
          <w:sz w:val="20"/>
        </w:rPr>
      </w:pPr>
      <w:r w:rsidRPr="00C1001D">
        <w:rPr>
          <w:rFonts w:cs="Arial"/>
          <w:b/>
          <w:bCs/>
          <w:sz w:val="20"/>
        </w:rPr>
        <w:t>Reálný efektivní kurz koruny</w:t>
      </w:r>
      <w:r w:rsidRPr="00C1001D">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C1001D">
        <w:rPr>
          <w:rFonts w:cs="Arial"/>
          <w:sz w:val="20"/>
        </w:rPr>
        <w:t xml:space="preserve"> (rok 2020</w:t>
      </w:r>
      <w:r w:rsidR="00357564" w:rsidRPr="00C1001D">
        <w:rPr>
          <w:rFonts w:cs="Arial"/>
          <w:sz w:val="20"/>
        </w:rPr>
        <w:t>)</w:t>
      </w:r>
      <w:r w:rsidRPr="00C1001D">
        <w:rPr>
          <w:rFonts w:cs="Arial"/>
          <w:sz w:val="20"/>
        </w:rPr>
        <w:t xml:space="preserve">. </w:t>
      </w:r>
    </w:p>
    <w:p w14:paraId="1ABB33E4" w14:textId="77777777" w:rsidR="001C5987" w:rsidRPr="00C1001D" w:rsidRDefault="001C5987" w:rsidP="001C5987">
      <w:pPr>
        <w:jc w:val="both"/>
        <w:rPr>
          <w:rFonts w:cs="Arial"/>
          <w:sz w:val="20"/>
        </w:rPr>
      </w:pPr>
      <w:r w:rsidRPr="00C1001D">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nominálního efektivního kurzu koruny. V první variantě se váhy vztahují k celému obratu zahraničního </w:t>
      </w:r>
      <w:r w:rsidRPr="00C1001D">
        <w:rPr>
          <w:rFonts w:cs="Arial"/>
          <w:sz w:val="20"/>
        </w:rPr>
        <w:lastRenderedPageBreak/>
        <w:t xml:space="preserve">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14:paraId="1AC2744B" w14:textId="77777777" w:rsidR="001C5987" w:rsidRPr="00C1001D" w:rsidRDefault="001C5987" w:rsidP="001C5987">
      <w:pPr>
        <w:jc w:val="both"/>
        <w:rPr>
          <w:rFonts w:cs="Arial"/>
          <w:sz w:val="20"/>
        </w:rPr>
      </w:pPr>
      <w:r w:rsidRPr="00C1001D">
        <w:rPr>
          <w:rFonts w:cs="Arial"/>
          <w:sz w:val="20"/>
        </w:rPr>
        <w:t xml:space="preserve">Vzorec výpočtu indexu reálného efektivního kurzu: </w:t>
      </w:r>
    </w:p>
    <w:p w14:paraId="30F41925" w14:textId="77777777" w:rsidR="001C5987" w:rsidRPr="00C1001D" w:rsidRDefault="00AE163B" w:rsidP="001C5987">
      <w:pPr>
        <w:rPr>
          <w:sz w:val="20"/>
        </w:rPr>
      </w:pPr>
      <w:r w:rsidRPr="00C1001D">
        <w:rPr>
          <w:noProof/>
          <w:sz w:val="20"/>
          <w:lang w:val="en-GB" w:eastAsia="en-GB"/>
        </w:rPr>
        <w:drawing>
          <wp:anchor distT="0" distB="0" distL="114300" distR="114300" simplePos="0" relativeHeight="251658240" behindDoc="0" locked="0" layoutInCell="1" allowOverlap="1" wp14:anchorId="53C948C9" wp14:editId="6BFA32F3">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F756740" w14:textId="77777777" w:rsidR="001C5987" w:rsidRPr="00C1001D" w:rsidRDefault="001C5987" w:rsidP="001C5987">
      <w:pPr>
        <w:rPr>
          <w:rFonts w:ascii="Times New Roman" w:hAnsi="Times New Roman"/>
          <w:sz w:val="24"/>
          <w:szCs w:val="24"/>
        </w:rPr>
      </w:pPr>
    </w:p>
    <w:p w14:paraId="7606CEAD" w14:textId="77777777" w:rsidR="001C5987" w:rsidRPr="00C1001D" w:rsidRDefault="001C5987" w:rsidP="001C5987">
      <w:pPr>
        <w:rPr>
          <w:sz w:val="20"/>
        </w:rPr>
      </w:pPr>
    </w:p>
    <w:p w14:paraId="7E33A72C" w14:textId="77777777" w:rsidR="001C5987" w:rsidRPr="00C1001D" w:rsidRDefault="001C5987" w:rsidP="001C5987">
      <w:pPr>
        <w:rPr>
          <w:sz w:val="20"/>
        </w:rPr>
      </w:pPr>
    </w:p>
    <w:p w14:paraId="1EA14B95" w14:textId="77777777" w:rsidR="001C5987" w:rsidRPr="00C1001D" w:rsidRDefault="001C5987" w:rsidP="001C5987">
      <w:pPr>
        <w:rPr>
          <w:sz w:val="20"/>
        </w:rPr>
      </w:pPr>
    </w:p>
    <w:p w14:paraId="2CDD4BB4" w14:textId="77777777" w:rsidR="001C5987" w:rsidRPr="00C1001D" w:rsidRDefault="001C5987" w:rsidP="001C5987">
      <w:pPr>
        <w:rPr>
          <w:sz w:val="20"/>
        </w:rPr>
      </w:pPr>
    </w:p>
    <w:p w14:paraId="40ADF130" w14:textId="77777777" w:rsidR="001C5987" w:rsidRPr="00C1001D" w:rsidRDefault="001C5987" w:rsidP="001C5987">
      <w:pPr>
        <w:rPr>
          <w:sz w:val="20"/>
        </w:rPr>
      </w:pPr>
    </w:p>
    <w:p w14:paraId="6C0A8C23" w14:textId="77777777" w:rsidR="001C5987" w:rsidRPr="00C1001D" w:rsidRDefault="001C5987" w:rsidP="001C5987">
      <w:pPr>
        <w:rPr>
          <w:rFonts w:cs="Arial"/>
          <w:sz w:val="20"/>
        </w:rPr>
      </w:pPr>
      <w:r w:rsidRPr="00C1001D">
        <w:rPr>
          <w:rFonts w:cs="Arial"/>
          <w:sz w:val="20"/>
        </w:rPr>
        <w:t xml:space="preserve">kde </w:t>
      </w:r>
    </w:p>
    <w:p w14:paraId="6BAF026A" w14:textId="77777777" w:rsidR="001C5987" w:rsidRPr="00C1001D" w:rsidRDefault="001C5987" w:rsidP="001C5987">
      <w:pPr>
        <w:jc w:val="both"/>
        <w:rPr>
          <w:rFonts w:cs="Arial"/>
          <w:sz w:val="20"/>
        </w:rPr>
      </w:pPr>
      <w:proofErr w:type="spellStart"/>
      <w:r w:rsidRPr="00C1001D">
        <w:rPr>
          <w:rFonts w:cs="Arial"/>
          <w:sz w:val="20"/>
        </w:rPr>
        <w:t>S</w:t>
      </w:r>
      <w:r w:rsidRPr="00C1001D">
        <w:rPr>
          <w:rFonts w:cs="Arial"/>
          <w:sz w:val="20"/>
          <w:vertAlign w:val="subscript"/>
        </w:rPr>
        <w:t>it</w:t>
      </w:r>
      <w:proofErr w:type="spellEnd"/>
      <w:r w:rsidRPr="00C1001D">
        <w:rPr>
          <w:rFonts w:cs="Arial"/>
          <w:sz w:val="20"/>
          <w:vertAlign w:val="superscript"/>
        </w:rPr>
        <w:t>*</w:t>
      </w:r>
      <w:r w:rsidRPr="00C1001D">
        <w:rPr>
          <w:rFonts w:cs="Arial"/>
          <w:sz w:val="20"/>
        </w:rPr>
        <w:t xml:space="preserve"> - bazický index tuzemské měny k měně i-</w:t>
      </w:r>
      <w:proofErr w:type="spellStart"/>
      <w:r w:rsidRPr="00C1001D">
        <w:rPr>
          <w:rFonts w:cs="Arial"/>
          <w:sz w:val="20"/>
        </w:rPr>
        <w:t>tého</w:t>
      </w:r>
      <w:proofErr w:type="spellEnd"/>
      <w:r w:rsidRPr="00C1001D">
        <w:rPr>
          <w:rFonts w:cs="Arial"/>
          <w:sz w:val="20"/>
        </w:rPr>
        <w:t xml:space="preserve"> obchodního partnera v období t </w:t>
      </w:r>
    </w:p>
    <w:p w14:paraId="33FC8555" w14:textId="77777777" w:rsidR="001C5987" w:rsidRPr="00C1001D" w:rsidRDefault="001C5987" w:rsidP="001C5987">
      <w:pPr>
        <w:jc w:val="both"/>
        <w:rPr>
          <w:rFonts w:cs="Arial"/>
          <w:sz w:val="20"/>
        </w:rPr>
      </w:pPr>
      <w:r w:rsidRPr="00C1001D">
        <w:rPr>
          <w:rFonts w:cs="Arial"/>
          <w:sz w:val="20"/>
        </w:rPr>
        <w:t>P</w:t>
      </w:r>
      <w:r w:rsidRPr="00C1001D">
        <w:rPr>
          <w:rFonts w:cs="Arial"/>
          <w:sz w:val="20"/>
          <w:vertAlign w:val="subscript"/>
        </w:rPr>
        <w:t>it</w:t>
      </w:r>
      <w:r w:rsidRPr="00C1001D">
        <w:rPr>
          <w:rFonts w:cs="Arial"/>
          <w:sz w:val="20"/>
          <w:vertAlign w:val="superscript"/>
        </w:rPr>
        <w:t>*</w:t>
      </w:r>
      <w:r w:rsidRPr="00C1001D">
        <w:rPr>
          <w:rFonts w:cs="Arial"/>
          <w:sz w:val="20"/>
        </w:rPr>
        <w:t xml:space="preserve"> - poměr bazického cenového indexu i-</w:t>
      </w:r>
      <w:proofErr w:type="spellStart"/>
      <w:r w:rsidRPr="00C1001D">
        <w:rPr>
          <w:rFonts w:cs="Arial"/>
          <w:sz w:val="20"/>
        </w:rPr>
        <w:t>tého</w:t>
      </w:r>
      <w:proofErr w:type="spellEnd"/>
      <w:r w:rsidRPr="00C1001D">
        <w:rPr>
          <w:rFonts w:cs="Arial"/>
          <w:sz w:val="20"/>
        </w:rPr>
        <w:t xml:space="preserve"> obchodního partnera v období t k bazickému cenovému indexu ČR v období t, kde bazický rok je stejný jako bazický rok při výpočtu S</w:t>
      </w:r>
      <w:r w:rsidRPr="00C1001D">
        <w:rPr>
          <w:rFonts w:cs="Arial"/>
          <w:sz w:val="20"/>
          <w:vertAlign w:val="subscript"/>
        </w:rPr>
        <w:t>i</w:t>
      </w:r>
      <w:r w:rsidRPr="00C1001D">
        <w:rPr>
          <w:rFonts w:cs="Arial"/>
          <w:sz w:val="20"/>
          <w:vertAlign w:val="superscript"/>
        </w:rPr>
        <w:t>*</w:t>
      </w:r>
      <w:r w:rsidRPr="00C1001D">
        <w:rPr>
          <w:rFonts w:cs="Arial"/>
          <w:sz w:val="20"/>
        </w:rPr>
        <w:t xml:space="preserve"> </w:t>
      </w:r>
    </w:p>
    <w:p w14:paraId="7993EC36" w14:textId="77777777" w:rsidR="001C5987" w:rsidRPr="00C1001D" w:rsidRDefault="001C5987" w:rsidP="001C5987">
      <w:pPr>
        <w:jc w:val="both"/>
        <w:rPr>
          <w:rFonts w:cs="Arial"/>
          <w:sz w:val="20"/>
        </w:rPr>
      </w:pPr>
      <w:proofErr w:type="spellStart"/>
      <w:r w:rsidRPr="00C1001D">
        <w:rPr>
          <w:rFonts w:cs="Arial"/>
          <w:sz w:val="20"/>
        </w:rPr>
        <w:t>w</w:t>
      </w:r>
      <w:r w:rsidRPr="00C1001D">
        <w:rPr>
          <w:rFonts w:cs="Arial"/>
          <w:sz w:val="20"/>
          <w:vertAlign w:val="subscript"/>
        </w:rPr>
        <w:t>i</w:t>
      </w:r>
      <w:proofErr w:type="spellEnd"/>
      <w:r w:rsidRPr="00C1001D">
        <w:rPr>
          <w:rFonts w:cs="Arial"/>
          <w:sz w:val="20"/>
          <w:vertAlign w:val="superscript"/>
        </w:rPr>
        <w:t>*</w:t>
      </w:r>
      <w:r w:rsidRPr="00C1001D">
        <w:rPr>
          <w:rFonts w:cs="Arial"/>
          <w:sz w:val="20"/>
        </w:rPr>
        <w:t xml:space="preserve"> - normalizované váhy měny i-</w:t>
      </w:r>
      <w:proofErr w:type="spellStart"/>
      <w:r w:rsidRPr="00C1001D">
        <w:rPr>
          <w:rFonts w:cs="Arial"/>
          <w:sz w:val="20"/>
        </w:rPr>
        <w:t>tého</w:t>
      </w:r>
      <w:proofErr w:type="spellEnd"/>
      <w:r w:rsidRPr="00C1001D">
        <w:rPr>
          <w:rFonts w:cs="Arial"/>
          <w:sz w:val="20"/>
        </w:rPr>
        <w:t xml:space="preserve"> obchodního partnera </w:t>
      </w:r>
    </w:p>
    <w:p w14:paraId="3AD9C7C2" w14:textId="77777777" w:rsidR="00DA443E" w:rsidRPr="00C1001D" w:rsidRDefault="00DA443E" w:rsidP="007512E0">
      <w:pPr>
        <w:jc w:val="both"/>
        <w:rPr>
          <w:rFonts w:cs="Arial"/>
          <w:b/>
          <w:bCs/>
          <w:sz w:val="20"/>
        </w:rPr>
      </w:pPr>
    </w:p>
    <w:p w14:paraId="4FD125EE" w14:textId="77777777" w:rsidR="00DA443E" w:rsidRPr="00C1001D" w:rsidRDefault="00B73C2A" w:rsidP="007512E0">
      <w:pPr>
        <w:pStyle w:val="Normlnweb"/>
        <w:spacing w:before="0" w:beforeAutospacing="0" w:after="0" w:afterAutospacing="0"/>
        <w:jc w:val="both"/>
        <w:rPr>
          <w:rFonts w:ascii="Arial" w:hAnsi="Arial"/>
          <w:bCs/>
          <w:color w:val="auto"/>
          <w:sz w:val="20"/>
          <w:szCs w:val="20"/>
        </w:rPr>
      </w:pPr>
      <w:r w:rsidRPr="00C1001D">
        <w:rPr>
          <w:rFonts w:ascii="Arial" w:hAnsi="Arial"/>
          <w:b/>
          <w:bCs/>
          <w:color w:val="auto"/>
          <w:sz w:val="20"/>
          <w:szCs w:val="20"/>
        </w:rPr>
        <w:t>Úzké peníze (M1)</w:t>
      </w:r>
      <w:r w:rsidRPr="00C1001D">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C1001D">
        <w:rPr>
          <w:rFonts w:ascii="Arial" w:hAnsi="Arial"/>
          <w:b/>
          <w:bCs/>
          <w:color w:val="auto"/>
          <w:sz w:val="20"/>
          <w:szCs w:val="20"/>
        </w:rPr>
        <w:t>Střední peníze (M2)</w:t>
      </w:r>
      <w:r w:rsidRPr="00C1001D">
        <w:rPr>
          <w:rFonts w:ascii="Arial" w:hAnsi="Arial"/>
          <w:bCs/>
          <w:color w:val="auto"/>
          <w:sz w:val="20"/>
          <w:szCs w:val="20"/>
        </w:rPr>
        <w:t xml:space="preserve"> zahrnují úzké peníze (M1) a navíc vklady se splatností do dvou let a vklady s výpovědní lhůtou do tří měsíců. </w:t>
      </w:r>
      <w:r w:rsidRPr="00C1001D">
        <w:rPr>
          <w:rFonts w:ascii="Arial" w:hAnsi="Arial"/>
          <w:b/>
          <w:bCs/>
          <w:color w:val="auto"/>
          <w:sz w:val="20"/>
          <w:szCs w:val="20"/>
        </w:rPr>
        <w:t>Široké peníze (M3)</w:t>
      </w:r>
      <w:r w:rsidRPr="00C1001D">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w:t>
      </w:r>
      <w:proofErr w:type="spellStart"/>
      <w:r w:rsidRPr="00C1001D">
        <w:rPr>
          <w:rFonts w:ascii="Arial" w:hAnsi="Arial"/>
          <w:bCs/>
          <w:color w:val="auto"/>
          <w:sz w:val="20"/>
          <w:szCs w:val="20"/>
        </w:rPr>
        <w:t>repo</w:t>
      </w:r>
      <w:proofErr w:type="spellEnd"/>
      <w:r w:rsidR="007512E0" w:rsidRPr="00C1001D">
        <w:rPr>
          <w:rFonts w:ascii="Arial" w:hAnsi="Arial"/>
          <w:bCs/>
          <w:color w:val="auto"/>
          <w:sz w:val="20"/>
          <w:szCs w:val="20"/>
        </w:rPr>
        <w:t xml:space="preserve"> operace.</w:t>
      </w:r>
      <w:r w:rsidR="007512E0" w:rsidRPr="00C1001D">
        <w:rPr>
          <w:rFonts w:ascii="Arial" w:hAnsi="Arial"/>
          <w:color w:val="auto"/>
          <w:sz w:val="18"/>
          <w:szCs w:val="20"/>
        </w:rPr>
        <w:t xml:space="preserve"> </w:t>
      </w:r>
      <w:r w:rsidR="007512E0" w:rsidRPr="00C1001D">
        <w:rPr>
          <w:rFonts w:ascii="Arial" w:hAnsi="Arial"/>
          <w:bCs/>
          <w:color w:val="auto"/>
          <w:sz w:val="20"/>
          <w:szCs w:val="20"/>
        </w:rPr>
        <w:t>Vysoká míra likvidity a cenová jistota zajišťují, že jsou tyto instrumenty blízkými substituty vkladů.</w:t>
      </w:r>
      <w:r w:rsidR="007512E0" w:rsidRPr="00C1001D">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C1001D">
          <w:rPr>
            <w:rFonts w:ascii="Arial" w:hAnsi="Arial" w:cs="Arial"/>
            <w:color w:val="auto"/>
            <w:sz w:val="20"/>
            <w:szCs w:val="20"/>
          </w:rPr>
          <w:t>http://www.cnb.cz/docs/ARADY/MET_LIST/mapi_cs.pdf</w:t>
        </w:r>
      </w:hyperlink>
    </w:p>
    <w:p w14:paraId="25A90E1A" w14:textId="77777777" w:rsidR="00B73C2A" w:rsidRPr="00C1001D" w:rsidRDefault="00B73C2A">
      <w:pPr>
        <w:pStyle w:val="Normlnweb"/>
        <w:spacing w:before="0" w:beforeAutospacing="0" w:after="0" w:afterAutospacing="0"/>
        <w:jc w:val="both"/>
        <w:rPr>
          <w:rFonts w:ascii="Arial" w:hAnsi="Arial" w:cs="Arial"/>
          <w:color w:val="auto"/>
          <w:sz w:val="20"/>
        </w:rPr>
      </w:pPr>
    </w:p>
    <w:p w14:paraId="618ED1D6" w14:textId="77777777" w:rsidR="00DA443E" w:rsidRPr="00C1001D" w:rsidRDefault="00846E5C">
      <w:pPr>
        <w:pStyle w:val="Normlnweb"/>
        <w:spacing w:before="0" w:beforeAutospacing="0" w:after="0" w:afterAutospacing="0"/>
        <w:jc w:val="both"/>
        <w:rPr>
          <w:rFonts w:ascii="Arial" w:hAnsi="Arial" w:cs="Arial"/>
          <w:bCs/>
          <w:color w:val="auto"/>
          <w:sz w:val="20"/>
          <w:szCs w:val="20"/>
        </w:rPr>
      </w:pPr>
      <w:r w:rsidRPr="00C1001D">
        <w:rPr>
          <w:rFonts w:ascii="Arial" w:hAnsi="Arial" w:cs="Arial"/>
          <w:b/>
          <w:bCs/>
          <w:color w:val="auto"/>
          <w:sz w:val="20"/>
          <w:szCs w:val="20"/>
        </w:rPr>
        <w:t xml:space="preserve">Platební bilance </w:t>
      </w:r>
      <w:r w:rsidRPr="00C1001D">
        <w:rPr>
          <w:rFonts w:ascii="Arial" w:hAnsi="Arial" w:cs="Arial"/>
          <w:bCs/>
          <w:color w:val="auto"/>
          <w:sz w:val="20"/>
          <w:szCs w:val="20"/>
        </w:rPr>
        <w:t xml:space="preserve">systematickým způsobem zachycuje ekonomické transakce se zahraničím (tj. mezi rezidenty a nerezidenty) za určité časové období. Základní struktura platební bilance vychází z Manuálu k sestavení platební bilance a investiční pozice vůči zahraničí (Balance of </w:t>
      </w:r>
      <w:proofErr w:type="spellStart"/>
      <w:r w:rsidRPr="00C1001D">
        <w:rPr>
          <w:rFonts w:ascii="Arial" w:hAnsi="Arial" w:cs="Arial"/>
          <w:bCs/>
          <w:color w:val="auto"/>
          <w:sz w:val="20"/>
          <w:szCs w:val="20"/>
        </w:rPr>
        <w:t>Payments</w:t>
      </w:r>
      <w:proofErr w:type="spellEnd"/>
      <w:r w:rsidRPr="00C1001D">
        <w:rPr>
          <w:rFonts w:ascii="Arial" w:hAnsi="Arial" w:cs="Arial"/>
          <w:bCs/>
          <w:color w:val="auto"/>
          <w:sz w:val="20"/>
          <w:szCs w:val="20"/>
        </w:rPr>
        <w:t xml:space="preserve"> and International </w:t>
      </w:r>
      <w:proofErr w:type="spellStart"/>
      <w:r w:rsidRPr="00C1001D">
        <w:rPr>
          <w:rFonts w:ascii="Arial" w:hAnsi="Arial" w:cs="Arial"/>
          <w:bCs/>
          <w:color w:val="auto"/>
          <w:sz w:val="20"/>
          <w:szCs w:val="20"/>
        </w:rPr>
        <w:t>Investment</w:t>
      </w:r>
      <w:proofErr w:type="spellEnd"/>
      <w:r w:rsidRPr="00C1001D">
        <w:rPr>
          <w:rFonts w:ascii="Arial" w:hAnsi="Arial" w:cs="Arial"/>
          <w:bCs/>
          <w:color w:val="auto"/>
          <w:sz w:val="20"/>
          <w:szCs w:val="20"/>
        </w:rPr>
        <w:t xml:space="preserve"> </w:t>
      </w:r>
      <w:proofErr w:type="spellStart"/>
      <w:r w:rsidRPr="00C1001D">
        <w:rPr>
          <w:rFonts w:ascii="Arial" w:hAnsi="Arial" w:cs="Arial"/>
          <w:bCs/>
          <w:color w:val="auto"/>
          <w:sz w:val="20"/>
          <w:szCs w:val="20"/>
        </w:rPr>
        <w:t>Position</w:t>
      </w:r>
      <w:proofErr w:type="spellEnd"/>
      <w:r w:rsidRPr="00C1001D">
        <w:rPr>
          <w:rFonts w:ascii="Arial" w:hAnsi="Arial" w:cs="Arial"/>
          <w:bCs/>
          <w:color w:val="auto"/>
          <w:sz w:val="20"/>
          <w:szCs w:val="20"/>
        </w:rPr>
        <w:t xml:space="preserve"> </w:t>
      </w:r>
      <w:proofErr w:type="spellStart"/>
      <w:r w:rsidRPr="00C1001D">
        <w:rPr>
          <w:rFonts w:ascii="Arial" w:hAnsi="Arial" w:cs="Arial"/>
          <w:bCs/>
          <w:color w:val="auto"/>
          <w:sz w:val="20"/>
          <w:szCs w:val="20"/>
        </w:rPr>
        <w:t>Manual</w:t>
      </w:r>
      <w:proofErr w:type="spellEnd"/>
      <w:r w:rsidRPr="00C1001D">
        <w:rPr>
          <w:rFonts w:ascii="Arial" w:hAnsi="Arial" w:cs="Arial"/>
          <w:bCs/>
          <w:color w:val="auto"/>
          <w:sz w:val="20"/>
          <w:szCs w:val="20"/>
        </w:rPr>
        <w:t>),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14:paraId="3F14E924" w14:textId="77777777" w:rsidR="00846E5C" w:rsidRPr="00C1001D" w:rsidRDefault="00846E5C">
      <w:pPr>
        <w:pStyle w:val="Normlnweb"/>
        <w:spacing w:before="0" w:beforeAutospacing="0" w:after="0" w:afterAutospacing="0"/>
        <w:jc w:val="both"/>
        <w:rPr>
          <w:rFonts w:ascii="Arial" w:hAnsi="Arial" w:cs="Arial"/>
          <w:color w:val="auto"/>
          <w:sz w:val="20"/>
          <w:szCs w:val="20"/>
        </w:rPr>
      </w:pPr>
    </w:p>
    <w:p w14:paraId="2040E139" w14:textId="77777777" w:rsidR="00DA443E" w:rsidRPr="00C1001D" w:rsidRDefault="00846E5C">
      <w:pPr>
        <w:pStyle w:val="Normlnweb"/>
        <w:spacing w:before="0" w:beforeAutospacing="0" w:after="0" w:afterAutospacing="0"/>
        <w:jc w:val="both"/>
        <w:rPr>
          <w:rFonts w:ascii="Arial" w:hAnsi="Arial" w:cs="Arial"/>
          <w:color w:val="auto"/>
          <w:sz w:val="20"/>
          <w:szCs w:val="20"/>
        </w:rPr>
      </w:pPr>
      <w:r w:rsidRPr="00C1001D">
        <w:rPr>
          <w:rFonts w:ascii="Arial" w:hAnsi="Arial" w:cs="Arial"/>
          <w:color w:val="auto"/>
          <w:sz w:val="20"/>
          <w:szCs w:val="20"/>
        </w:rPr>
        <w:t xml:space="preserve">V </w:t>
      </w:r>
      <w:r w:rsidRPr="00C1001D">
        <w:rPr>
          <w:rFonts w:ascii="Arial" w:hAnsi="Arial" w:cs="Arial"/>
          <w:b/>
          <w:color w:val="auto"/>
          <w:sz w:val="20"/>
          <w:szCs w:val="20"/>
        </w:rPr>
        <w:t>běžném účtu</w:t>
      </w:r>
      <w:r w:rsidRPr="00C1001D">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14:paraId="740D04B2" w14:textId="77777777" w:rsidR="00846E5C" w:rsidRPr="00C1001D" w:rsidRDefault="00846E5C">
      <w:pPr>
        <w:pStyle w:val="Normlnweb"/>
        <w:spacing w:before="0" w:beforeAutospacing="0" w:after="0" w:afterAutospacing="0"/>
        <w:jc w:val="both"/>
        <w:rPr>
          <w:rFonts w:ascii="Arial" w:hAnsi="Arial" w:cs="Arial"/>
          <w:b/>
          <w:bCs/>
          <w:color w:val="auto"/>
          <w:sz w:val="20"/>
          <w:szCs w:val="20"/>
        </w:rPr>
      </w:pPr>
    </w:p>
    <w:p w14:paraId="327A1B53" w14:textId="77777777" w:rsidR="00DA443E" w:rsidRPr="00C1001D" w:rsidRDefault="00846E5C">
      <w:pPr>
        <w:pStyle w:val="Normlnweb"/>
        <w:spacing w:before="0" w:beforeAutospacing="0" w:after="0" w:afterAutospacing="0"/>
        <w:jc w:val="both"/>
        <w:rPr>
          <w:rFonts w:ascii="Arial" w:hAnsi="Arial" w:cs="Arial"/>
          <w:color w:val="auto"/>
          <w:sz w:val="20"/>
          <w:szCs w:val="20"/>
        </w:rPr>
      </w:pPr>
      <w:r w:rsidRPr="00C1001D">
        <w:rPr>
          <w:rFonts w:ascii="Arial" w:hAnsi="Arial" w:cs="Arial"/>
          <w:b/>
          <w:bCs/>
          <w:color w:val="auto"/>
          <w:sz w:val="20"/>
          <w:szCs w:val="20"/>
        </w:rPr>
        <w:t xml:space="preserve">Kapitálový účet </w:t>
      </w:r>
      <w:r w:rsidRPr="00C1001D">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C1001D">
        <w:rPr>
          <w:rFonts w:ascii="Arial" w:hAnsi="Arial" w:cs="Arial"/>
          <w:color w:val="auto"/>
          <w:sz w:val="20"/>
          <w:szCs w:val="20"/>
        </w:rPr>
        <w:t xml:space="preserve"> </w:t>
      </w:r>
    </w:p>
    <w:p w14:paraId="1176FFF8" w14:textId="77777777" w:rsidR="00DA443E" w:rsidRPr="00C1001D" w:rsidRDefault="00DA443E">
      <w:pPr>
        <w:pStyle w:val="Normlnweb"/>
        <w:spacing w:before="0" w:beforeAutospacing="0" w:after="0" w:afterAutospacing="0"/>
        <w:jc w:val="both"/>
        <w:rPr>
          <w:rFonts w:ascii="Arial" w:hAnsi="Arial" w:cs="Arial"/>
          <w:color w:val="auto"/>
          <w:sz w:val="20"/>
        </w:rPr>
      </w:pPr>
    </w:p>
    <w:p w14:paraId="1D468524" w14:textId="77777777" w:rsidR="00DA443E" w:rsidRPr="00C1001D" w:rsidRDefault="00846E5C">
      <w:pPr>
        <w:pStyle w:val="Normlnweb"/>
        <w:spacing w:before="0" w:beforeAutospacing="0" w:after="0" w:afterAutospacing="0"/>
        <w:jc w:val="both"/>
        <w:rPr>
          <w:rFonts w:ascii="Arial" w:hAnsi="Arial" w:cs="Arial"/>
          <w:bCs/>
          <w:color w:val="auto"/>
          <w:sz w:val="20"/>
          <w:szCs w:val="20"/>
        </w:rPr>
      </w:pPr>
      <w:r w:rsidRPr="00C1001D">
        <w:rPr>
          <w:rFonts w:ascii="Arial" w:hAnsi="Arial" w:cs="Arial"/>
          <w:b/>
          <w:bCs/>
          <w:color w:val="auto"/>
          <w:sz w:val="20"/>
          <w:szCs w:val="20"/>
        </w:rPr>
        <w:t xml:space="preserve">Finanční účet </w:t>
      </w:r>
      <w:r w:rsidRPr="00C1001D">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14:paraId="356E8AD3" w14:textId="77777777" w:rsidR="00846E5C" w:rsidRPr="00C1001D" w:rsidRDefault="00846E5C">
      <w:pPr>
        <w:pStyle w:val="Normlnweb"/>
        <w:spacing w:before="0" w:beforeAutospacing="0" w:after="0" w:afterAutospacing="0"/>
        <w:jc w:val="both"/>
        <w:rPr>
          <w:rFonts w:ascii="Arial" w:hAnsi="Arial" w:cs="Arial"/>
          <w:b/>
          <w:bCs/>
          <w:color w:val="auto"/>
          <w:sz w:val="20"/>
          <w:szCs w:val="20"/>
        </w:rPr>
      </w:pPr>
    </w:p>
    <w:p w14:paraId="6CD084D6"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b/>
          <w:bCs/>
          <w:color w:val="auto"/>
          <w:sz w:val="20"/>
          <w:szCs w:val="20"/>
        </w:rPr>
        <w:t>Devizové rezervy</w:t>
      </w:r>
      <w:r w:rsidRPr="00C1001D">
        <w:rPr>
          <w:rFonts w:ascii="Arial" w:hAnsi="Arial" w:cs="Arial"/>
          <w:color w:val="auto"/>
          <w:sz w:val="20"/>
          <w:szCs w:val="20"/>
        </w:rPr>
        <w:t xml:space="preserve"> </w:t>
      </w:r>
      <w:r w:rsidRPr="00C1001D">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C1001D">
        <w:rPr>
          <w:rFonts w:ascii="Arial" w:hAnsi="Arial" w:cs="Arial"/>
          <w:color w:val="auto"/>
          <w:sz w:val="20"/>
          <w:szCs w:val="20"/>
        </w:rPr>
        <w:t xml:space="preserve"> </w:t>
      </w:r>
    </w:p>
    <w:p w14:paraId="1684EAD3" w14:textId="77777777" w:rsidR="00DA443E" w:rsidRPr="00C1001D" w:rsidRDefault="00DA443E">
      <w:pPr>
        <w:pStyle w:val="Normlnweb"/>
        <w:spacing w:before="0" w:beforeAutospacing="0" w:after="0" w:afterAutospacing="0"/>
        <w:jc w:val="both"/>
        <w:rPr>
          <w:rFonts w:ascii="Arial" w:hAnsi="Arial" w:cs="Arial"/>
          <w:b/>
          <w:bCs/>
          <w:color w:val="auto"/>
          <w:sz w:val="20"/>
          <w:szCs w:val="20"/>
        </w:rPr>
      </w:pPr>
    </w:p>
    <w:p w14:paraId="0431557B" w14:textId="77777777" w:rsidR="00DA443E" w:rsidRPr="00C1001D" w:rsidRDefault="00DA443E">
      <w:pPr>
        <w:pStyle w:val="Normlnweb"/>
        <w:spacing w:before="0" w:beforeAutospacing="0" w:after="0" w:afterAutospacing="0"/>
        <w:jc w:val="both"/>
        <w:rPr>
          <w:rFonts w:ascii="Arial" w:hAnsi="Arial" w:cs="Arial"/>
          <w:color w:val="auto"/>
          <w:sz w:val="20"/>
          <w:szCs w:val="20"/>
        </w:rPr>
      </w:pPr>
      <w:r w:rsidRPr="00C1001D">
        <w:rPr>
          <w:rFonts w:ascii="Arial" w:hAnsi="Arial" w:cs="Arial"/>
          <w:b/>
          <w:bCs/>
          <w:color w:val="auto"/>
          <w:sz w:val="20"/>
          <w:szCs w:val="20"/>
        </w:rPr>
        <w:t>Chyby a opomenutí</w:t>
      </w:r>
      <w:r w:rsidRPr="00C1001D">
        <w:rPr>
          <w:rFonts w:ascii="Arial" w:hAnsi="Arial" w:cs="Arial"/>
          <w:color w:val="auto"/>
          <w:sz w:val="20"/>
          <w:szCs w:val="20"/>
        </w:rPr>
        <w:t xml:space="preserve"> jsou </w:t>
      </w:r>
      <w:proofErr w:type="spellStart"/>
      <w:r w:rsidRPr="00C1001D">
        <w:rPr>
          <w:rFonts w:ascii="Arial" w:hAnsi="Arial" w:cs="Arial"/>
          <w:color w:val="auto"/>
          <w:sz w:val="20"/>
          <w:szCs w:val="20"/>
        </w:rPr>
        <w:t>dopočtovou</w:t>
      </w:r>
      <w:proofErr w:type="spellEnd"/>
      <w:r w:rsidRPr="00C1001D">
        <w:rPr>
          <w:rFonts w:ascii="Arial" w:hAnsi="Arial" w:cs="Arial"/>
          <w:color w:val="auto"/>
          <w:sz w:val="20"/>
          <w:szCs w:val="20"/>
        </w:rPr>
        <w:t xml:space="preserve"> položkou mezi výsledným saldem běžného, kapitálového a finančního účtu na jedné straně a změnou devizových rezerv na straně druhé, představují saldo neidentifikovaných toků </w:t>
      </w:r>
      <w:r w:rsidRPr="00C1001D">
        <w:rPr>
          <w:rFonts w:ascii="Arial" w:hAnsi="Arial" w:cs="Arial"/>
          <w:color w:val="auto"/>
          <w:sz w:val="20"/>
          <w:szCs w:val="20"/>
        </w:rPr>
        <w:lastRenderedPageBreak/>
        <w:t>v běžném, kapitálovém a finančním účtu. Údaje obchodní bilance jsou vykázány v metodice cel</w:t>
      </w:r>
      <w:r w:rsidR="009049D0" w:rsidRPr="00C1001D">
        <w:rPr>
          <w:rFonts w:ascii="Arial" w:hAnsi="Arial" w:cs="Arial"/>
          <w:color w:val="auto"/>
          <w:sz w:val="20"/>
          <w:szCs w:val="20"/>
        </w:rPr>
        <w:t xml:space="preserve">ní statistiky platné od </w:t>
      </w:r>
      <w:r w:rsidR="00802AF9" w:rsidRPr="00C1001D">
        <w:rPr>
          <w:rFonts w:ascii="Arial" w:hAnsi="Arial" w:cs="Arial"/>
          <w:color w:val="auto"/>
          <w:sz w:val="20"/>
          <w:szCs w:val="20"/>
        </w:rPr>
        <w:t>1. 7. 2000</w:t>
      </w:r>
      <w:r w:rsidRPr="00C1001D">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institucí.. </w:t>
      </w:r>
    </w:p>
    <w:p w14:paraId="73A90554" w14:textId="77777777" w:rsidR="00DA443E" w:rsidRPr="00C1001D" w:rsidRDefault="00DA443E">
      <w:pPr>
        <w:pStyle w:val="Normlnweb"/>
        <w:spacing w:before="0" w:beforeAutospacing="0" w:after="0" w:afterAutospacing="0"/>
        <w:jc w:val="both"/>
        <w:rPr>
          <w:rFonts w:ascii="Arial" w:hAnsi="Arial" w:cs="Arial"/>
          <w:color w:val="auto"/>
          <w:sz w:val="20"/>
          <w:szCs w:val="20"/>
        </w:rPr>
      </w:pPr>
    </w:p>
    <w:p w14:paraId="363E69D1" w14:textId="77777777" w:rsidR="00DA443E" w:rsidRPr="00C1001D" w:rsidRDefault="00DA443E">
      <w:pPr>
        <w:pStyle w:val="Normlnweb"/>
        <w:spacing w:before="0" w:beforeAutospacing="0" w:after="0" w:afterAutospacing="0"/>
        <w:jc w:val="both"/>
        <w:rPr>
          <w:rFonts w:ascii="Arial" w:hAnsi="Arial" w:cs="Arial"/>
          <w:color w:val="auto"/>
          <w:sz w:val="20"/>
        </w:rPr>
      </w:pPr>
      <w:r w:rsidRPr="00C1001D">
        <w:rPr>
          <w:rFonts w:ascii="Arial" w:hAnsi="Arial" w:cs="Arial"/>
          <w:b/>
          <w:bCs/>
          <w:color w:val="auto"/>
          <w:sz w:val="20"/>
        </w:rPr>
        <w:t>BÚ/HDP</w:t>
      </w:r>
      <w:r w:rsidRPr="00C1001D">
        <w:rPr>
          <w:rFonts w:ascii="Arial" w:hAnsi="Arial" w:cs="Arial"/>
          <w:color w:val="auto"/>
          <w:sz w:val="20"/>
        </w:rPr>
        <w:t xml:space="preserve"> = podíl běžného účtu platební bilance k HDP v běžných cenách [v %]</w:t>
      </w:r>
    </w:p>
    <w:p w14:paraId="136E4BF9" w14:textId="77777777" w:rsidR="00DA443E" w:rsidRPr="00C1001D" w:rsidRDefault="00DA443E">
      <w:pPr>
        <w:jc w:val="both"/>
        <w:rPr>
          <w:rFonts w:cs="Arial"/>
          <w:b/>
          <w:bCs/>
          <w:sz w:val="20"/>
        </w:rPr>
      </w:pPr>
    </w:p>
    <w:p w14:paraId="09654928" w14:textId="77777777" w:rsidR="00DA443E" w:rsidRPr="00C1001D" w:rsidRDefault="00DA443E">
      <w:pPr>
        <w:jc w:val="both"/>
        <w:rPr>
          <w:rFonts w:cs="Arial"/>
          <w:sz w:val="20"/>
        </w:rPr>
      </w:pPr>
      <w:r w:rsidRPr="00C1001D">
        <w:rPr>
          <w:rFonts w:cs="Arial"/>
          <w:b/>
          <w:bCs/>
          <w:sz w:val="20"/>
        </w:rPr>
        <w:t>FÚ/HDP</w:t>
      </w:r>
      <w:r w:rsidRPr="00C1001D">
        <w:rPr>
          <w:rFonts w:cs="Arial"/>
          <w:sz w:val="20"/>
        </w:rPr>
        <w:t xml:space="preserve"> = podíl finančního účtu platební bilance k HDP v běžných cenách [v %]</w:t>
      </w:r>
    </w:p>
    <w:p w14:paraId="0DB431C4" w14:textId="77777777" w:rsidR="00DA443E" w:rsidRPr="00C1001D" w:rsidRDefault="00DA443E">
      <w:pPr>
        <w:jc w:val="both"/>
        <w:rPr>
          <w:rFonts w:cs="Arial"/>
          <w:b/>
          <w:bCs/>
          <w:sz w:val="20"/>
        </w:rPr>
      </w:pPr>
    </w:p>
    <w:p w14:paraId="54E5E273" w14:textId="77777777" w:rsidR="00DA443E" w:rsidRPr="00C1001D" w:rsidRDefault="00DA443E">
      <w:pPr>
        <w:autoSpaceDE w:val="0"/>
        <w:autoSpaceDN w:val="0"/>
        <w:adjustRightInd w:val="0"/>
        <w:rPr>
          <w:sz w:val="20"/>
          <w:szCs w:val="16"/>
        </w:rPr>
      </w:pPr>
      <w:r w:rsidRPr="00C1001D">
        <w:rPr>
          <w:b/>
          <w:bCs/>
          <w:sz w:val="20"/>
          <w:szCs w:val="16"/>
        </w:rPr>
        <w:t>Stav devizových rezerv</w:t>
      </w:r>
      <w:r w:rsidRPr="00C1001D">
        <w:rPr>
          <w:sz w:val="20"/>
          <w:szCs w:val="16"/>
        </w:rPr>
        <w:t xml:space="preserve"> je hodnotové vyjádření krátkodobých (likvidních) zahraničních aktiv České národní banky v cizích měnách k určitému </w:t>
      </w:r>
      <w:r w:rsidR="00BA4F3A" w:rsidRPr="00C1001D">
        <w:rPr>
          <w:sz w:val="20"/>
          <w:szCs w:val="16"/>
        </w:rPr>
        <w:t>datu, v tabulce uváděn k 31.12.</w:t>
      </w:r>
    </w:p>
    <w:p w14:paraId="122D431A" w14:textId="77777777" w:rsidR="00DA443E" w:rsidRPr="00C1001D" w:rsidRDefault="00DA443E">
      <w:pPr>
        <w:jc w:val="both"/>
        <w:rPr>
          <w:rFonts w:cs="Arial"/>
          <w:b/>
          <w:bCs/>
          <w:sz w:val="20"/>
        </w:rPr>
      </w:pPr>
    </w:p>
    <w:p w14:paraId="6D73F071" w14:textId="77777777" w:rsidR="00DA443E" w:rsidRPr="00C1001D" w:rsidRDefault="00DA443E">
      <w:pPr>
        <w:jc w:val="both"/>
        <w:rPr>
          <w:rFonts w:cs="Arial"/>
          <w:sz w:val="20"/>
        </w:rPr>
      </w:pPr>
      <w:r w:rsidRPr="00C1001D">
        <w:rPr>
          <w:rFonts w:cs="Arial"/>
          <w:b/>
          <w:bCs/>
          <w:sz w:val="20"/>
        </w:rPr>
        <w:t xml:space="preserve">Stav DR ČNB/HDP = </w:t>
      </w:r>
      <w:r w:rsidRPr="00C1001D">
        <w:rPr>
          <w:rFonts w:cs="Arial"/>
          <w:sz w:val="20"/>
        </w:rPr>
        <w:t>podíl stavu devizových rezerv ČNB ke konci roku k objemu HDP v běžných cenách za rok v %</w:t>
      </w:r>
    </w:p>
    <w:p w14:paraId="13DC2181" w14:textId="77777777" w:rsidR="00DA443E" w:rsidRPr="00C1001D" w:rsidRDefault="00DA443E">
      <w:pPr>
        <w:jc w:val="both"/>
        <w:rPr>
          <w:rFonts w:cs="Arial"/>
          <w:b/>
          <w:bCs/>
          <w:sz w:val="20"/>
        </w:rPr>
      </w:pPr>
    </w:p>
    <w:p w14:paraId="7EFE0E7A" w14:textId="77777777" w:rsidR="00DA443E" w:rsidRPr="00C1001D" w:rsidRDefault="00DA443E">
      <w:pPr>
        <w:jc w:val="both"/>
        <w:rPr>
          <w:rFonts w:cs="Arial"/>
          <w:sz w:val="20"/>
        </w:rPr>
      </w:pPr>
      <w:r w:rsidRPr="00C1001D">
        <w:rPr>
          <w:rFonts w:cs="Arial"/>
          <w:b/>
          <w:bCs/>
          <w:sz w:val="20"/>
        </w:rPr>
        <w:t>Krytí dovozu zboží a služeb DR ČNB</w:t>
      </w:r>
      <w:r w:rsidRPr="00C1001D">
        <w:rPr>
          <w:rFonts w:cs="Arial"/>
          <w:sz w:val="20"/>
        </w:rPr>
        <w:t xml:space="preserve"> = podíl stavu devizových rezerv ČNB ke konci roku k průměrnému měsíčnímu objemu dovozu zboží a služeb (viz výše)</w:t>
      </w:r>
    </w:p>
    <w:p w14:paraId="737E5C7F" w14:textId="77777777" w:rsidR="00DA443E" w:rsidRPr="00C1001D" w:rsidRDefault="00DA443E">
      <w:pPr>
        <w:jc w:val="both"/>
        <w:rPr>
          <w:rFonts w:cs="Arial"/>
          <w:sz w:val="20"/>
        </w:rPr>
      </w:pPr>
    </w:p>
    <w:p w14:paraId="51AF6FD8" w14:textId="77777777" w:rsidR="00584583" w:rsidRPr="00C1001D" w:rsidRDefault="00584583" w:rsidP="00584583">
      <w:pPr>
        <w:jc w:val="both"/>
        <w:rPr>
          <w:rFonts w:cs="Arial"/>
          <w:sz w:val="20"/>
        </w:rPr>
      </w:pPr>
      <w:r w:rsidRPr="00C1001D">
        <w:rPr>
          <w:rFonts w:cs="Arial"/>
          <w:b/>
          <w:bCs/>
          <w:sz w:val="20"/>
        </w:rPr>
        <w:t>Deficit (přebytek) vládních institucí</w:t>
      </w:r>
      <w:r w:rsidRPr="00C1001D">
        <w:rPr>
          <w:rFonts w:cs="Arial"/>
          <w:sz w:val="20"/>
        </w:rPr>
        <w:t xml:space="preserve"> </w:t>
      </w:r>
      <w:r w:rsidRPr="00C1001D">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14:paraId="5262871C" w14:textId="77777777" w:rsidR="00DA443E" w:rsidRPr="00C1001D" w:rsidRDefault="00DA443E">
      <w:pPr>
        <w:jc w:val="both"/>
        <w:rPr>
          <w:rFonts w:cs="Arial"/>
          <w:sz w:val="20"/>
        </w:rPr>
      </w:pPr>
    </w:p>
    <w:p w14:paraId="28E62E9D" w14:textId="77777777" w:rsidR="00584583" w:rsidRPr="00C1001D" w:rsidRDefault="00584583" w:rsidP="00584583">
      <w:pPr>
        <w:jc w:val="both"/>
        <w:rPr>
          <w:rFonts w:cs="Arial"/>
          <w:sz w:val="20"/>
        </w:rPr>
      </w:pPr>
      <w:r w:rsidRPr="00C1001D">
        <w:rPr>
          <w:rFonts w:cs="Arial"/>
          <w:b/>
          <w:bCs/>
          <w:sz w:val="20"/>
        </w:rPr>
        <w:t>Deficit (přebytek) vládních institucí v procentech k HDP</w:t>
      </w:r>
      <w:r w:rsidRPr="00C1001D">
        <w:rPr>
          <w:rFonts w:cs="Arial"/>
          <w:sz w:val="20"/>
        </w:rPr>
        <w:t xml:space="preserve"> = podíl vládního deficitu (přebytku) k objemu hrubého domácího produktu v běžných cenách (v %). Podle maastrichtských </w:t>
      </w:r>
      <w:r w:rsidR="00F86015" w:rsidRPr="00C1001D">
        <w:rPr>
          <w:rFonts w:cs="Arial"/>
          <w:sz w:val="20"/>
        </w:rPr>
        <w:t>kritérií</w:t>
      </w:r>
      <w:r w:rsidRPr="00C1001D">
        <w:rPr>
          <w:rFonts w:cs="Arial"/>
          <w:sz w:val="20"/>
        </w:rPr>
        <w:t xml:space="preserve"> by výše deficitu neměla překročit 3 % HDP.</w:t>
      </w:r>
    </w:p>
    <w:p w14:paraId="21971707" w14:textId="77777777" w:rsidR="00DA443E" w:rsidRPr="00C1001D" w:rsidRDefault="00DA443E">
      <w:pPr>
        <w:jc w:val="both"/>
        <w:rPr>
          <w:rFonts w:cs="Arial"/>
          <w:sz w:val="20"/>
        </w:rPr>
      </w:pPr>
    </w:p>
    <w:p w14:paraId="3C5B20CA" w14:textId="77777777" w:rsidR="00DA443E" w:rsidRPr="00C1001D" w:rsidRDefault="00DA443E">
      <w:pPr>
        <w:jc w:val="both"/>
        <w:rPr>
          <w:rFonts w:cs="Arial"/>
          <w:sz w:val="20"/>
        </w:rPr>
      </w:pPr>
      <w:r w:rsidRPr="00C1001D">
        <w:rPr>
          <w:rFonts w:cs="Arial"/>
          <w:b/>
          <w:bCs/>
          <w:sz w:val="20"/>
        </w:rPr>
        <w:t>Saldo státního rozpočtu</w:t>
      </w:r>
      <w:r w:rsidRPr="00C1001D">
        <w:rPr>
          <w:rFonts w:cs="Arial"/>
          <w:sz w:val="20"/>
        </w:rPr>
        <w:t xml:space="preserve"> je výsledek rozdílu mezi příjmy a výdaji státního rozpočtu. Rozpočet skončí přebytkem, tj. příjmy jsou vyšší než výdaje nebo schodkem, tj. rozdíl mezi příjmy a výdaji je záporný.</w:t>
      </w:r>
    </w:p>
    <w:p w14:paraId="0F05B689" w14:textId="77777777" w:rsidR="00DA443E" w:rsidRPr="00C1001D" w:rsidRDefault="00DA443E">
      <w:pPr>
        <w:jc w:val="both"/>
        <w:rPr>
          <w:rFonts w:cs="Arial"/>
          <w:sz w:val="20"/>
        </w:rPr>
      </w:pPr>
    </w:p>
    <w:p w14:paraId="69384E61" w14:textId="77777777" w:rsidR="00DA443E" w:rsidRPr="00C1001D" w:rsidRDefault="00DA443E">
      <w:pPr>
        <w:jc w:val="both"/>
        <w:rPr>
          <w:rFonts w:cs="Arial"/>
          <w:sz w:val="20"/>
        </w:rPr>
      </w:pPr>
      <w:r w:rsidRPr="00C1001D">
        <w:rPr>
          <w:rFonts w:cs="Arial"/>
          <w:b/>
          <w:bCs/>
          <w:sz w:val="20"/>
        </w:rPr>
        <w:t>Saldo SR/HDP</w:t>
      </w:r>
      <w:r w:rsidRPr="00C1001D">
        <w:rPr>
          <w:rFonts w:cs="Arial"/>
          <w:sz w:val="20"/>
        </w:rPr>
        <w:t xml:space="preserve"> = podíl salda státního rozpočtu k objemu hrubého domácího produktu v běžných cenách [v %]</w:t>
      </w:r>
    </w:p>
    <w:p w14:paraId="3023CA50" w14:textId="77777777" w:rsidR="00DA443E" w:rsidRPr="00C1001D" w:rsidRDefault="00DA443E">
      <w:pPr>
        <w:jc w:val="both"/>
        <w:rPr>
          <w:rFonts w:cs="Arial"/>
          <w:sz w:val="20"/>
        </w:rPr>
      </w:pPr>
    </w:p>
    <w:p w14:paraId="68152831" w14:textId="77777777" w:rsidR="00584583" w:rsidRPr="00C1001D" w:rsidRDefault="00584583" w:rsidP="00584583">
      <w:pPr>
        <w:jc w:val="both"/>
        <w:rPr>
          <w:rFonts w:cs="Arial"/>
          <w:sz w:val="20"/>
        </w:rPr>
      </w:pPr>
      <w:r w:rsidRPr="00C1001D">
        <w:rPr>
          <w:rFonts w:cs="Arial"/>
          <w:b/>
          <w:sz w:val="20"/>
        </w:rPr>
        <w:t>Dluh vládních institucí</w:t>
      </w:r>
      <w:r w:rsidRPr="00C1001D">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14:paraId="0EB3C46F" w14:textId="77777777" w:rsidR="00DA443E" w:rsidRPr="00C1001D" w:rsidRDefault="00DA443E" w:rsidP="0072513B">
      <w:pPr>
        <w:jc w:val="both"/>
      </w:pPr>
    </w:p>
    <w:p w14:paraId="218387A1" w14:textId="77777777" w:rsidR="00584583" w:rsidRPr="00C1001D" w:rsidRDefault="00584583" w:rsidP="00584583">
      <w:pPr>
        <w:jc w:val="both"/>
        <w:rPr>
          <w:rFonts w:cs="Arial"/>
          <w:sz w:val="20"/>
        </w:rPr>
      </w:pPr>
      <w:r w:rsidRPr="00C1001D">
        <w:rPr>
          <w:rFonts w:cs="Arial"/>
          <w:b/>
          <w:bCs/>
          <w:sz w:val="20"/>
        </w:rPr>
        <w:t xml:space="preserve">Dluh sektoru vládních institucí v procentech HDP </w:t>
      </w:r>
      <w:r w:rsidRPr="00C1001D">
        <w:rPr>
          <w:rFonts w:cs="Arial"/>
          <w:sz w:val="20"/>
        </w:rPr>
        <w:t xml:space="preserve">= podíl vládního dluhu k objemu hrubého domácího produktu v běžných cenách (v %). Podle maastrichtských </w:t>
      </w:r>
      <w:r w:rsidR="009E271A" w:rsidRPr="00C1001D">
        <w:rPr>
          <w:rFonts w:cs="Arial"/>
          <w:sz w:val="20"/>
        </w:rPr>
        <w:t>kritérií</w:t>
      </w:r>
      <w:r w:rsidRPr="00C1001D">
        <w:rPr>
          <w:rFonts w:cs="Arial"/>
          <w:sz w:val="20"/>
        </w:rPr>
        <w:t xml:space="preserve"> by výše dluhu vládních institucí neměla překročit 60 % HDP.</w:t>
      </w:r>
    </w:p>
    <w:p w14:paraId="4DF6F2E5" w14:textId="77777777" w:rsidR="00DA443E" w:rsidRPr="00C1001D" w:rsidRDefault="00DA443E">
      <w:pPr>
        <w:jc w:val="both"/>
        <w:rPr>
          <w:rFonts w:cs="Arial"/>
          <w:sz w:val="20"/>
        </w:rPr>
      </w:pPr>
    </w:p>
    <w:p w14:paraId="15D11901" w14:textId="77777777" w:rsidR="00DA443E" w:rsidRPr="00C1001D" w:rsidRDefault="00DA443E">
      <w:pPr>
        <w:jc w:val="both"/>
        <w:rPr>
          <w:rFonts w:cs="Arial"/>
          <w:sz w:val="20"/>
        </w:rPr>
      </w:pPr>
      <w:r w:rsidRPr="00C1001D">
        <w:rPr>
          <w:rFonts w:cs="Arial"/>
          <w:b/>
          <w:bCs/>
          <w:sz w:val="20"/>
        </w:rPr>
        <w:t>Státní dluh</w:t>
      </w:r>
      <w:r w:rsidRPr="00C1001D">
        <w:rPr>
          <w:rFonts w:cs="Arial"/>
          <w:sz w:val="20"/>
        </w:rPr>
        <w:t xml:space="preserve"> je tvořen souhrnem státních finančních pasiv (závazky státu vzniklé ze státem přijatých zahraničních půjček, úvěrů od bank a z vydaných státních dluhopisů a jiné závazky státu). </w:t>
      </w:r>
    </w:p>
    <w:p w14:paraId="11B8FEBA" w14:textId="77777777" w:rsidR="00DA443E" w:rsidRPr="00C1001D" w:rsidRDefault="00DA443E">
      <w:pPr>
        <w:jc w:val="both"/>
        <w:rPr>
          <w:rFonts w:cs="Arial"/>
          <w:sz w:val="20"/>
        </w:rPr>
      </w:pPr>
    </w:p>
    <w:p w14:paraId="0110E45D" w14:textId="77777777" w:rsidR="00DA443E" w:rsidRPr="00C1001D" w:rsidRDefault="00DA443E">
      <w:pPr>
        <w:jc w:val="both"/>
        <w:rPr>
          <w:rFonts w:cs="Arial"/>
          <w:sz w:val="20"/>
        </w:rPr>
      </w:pPr>
      <w:r w:rsidRPr="00C1001D">
        <w:rPr>
          <w:rFonts w:cs="Arial"/>
          <w:b/>
          <w:bCs/>
          <w:sz w:val="20"/>
        </w:rPr>
        <w:t>Státní dluh/HDP</w:t>
      </w:r>
      <w:r w:rsidRPr="00C1001D">
        <w:rPr>
          <w:rFonts w:cs="Arial"/>
          <w:sz w:val="20"/>
        </w:rPr>
        <w:t xml:space="preserve"> = podíl státního dluhu k objemu hrubého domácího produktu v běžných cenách (v %)</w:t>
      </w:r>
    </w:p>
    <w:p w14:paraId="00157F82" w14:textId="77777777" w:rsidR="00DA443E" w:rsidRPr="00C1001D" w:rsidRDefault="00DA443E">
      <w:pPr>
        <w:rPr>
          <w:sz w:val="22"/>
        </w:rPr>
      </w:pPr>
    </w:p>
    <w:sectPr w:rsidR="00DA443E" w:rsidRPr="00C1001D"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C297" w14:textId="77777777" w:rsidR="00F00F14" w:rsidRDefault="00F00F14">
      <w:r>
        <w:separator/>
      </w:r>
    </w:p>
  </w:endnote>
  <w:endnote w:type="continuationSeparator" w:id="0">
    <w:p w14:paraId="2F6B945F" w14:textId="77777777" w:rsidR="00F00F14" w:rsidRDefault="00F0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87BD"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14:paraId="44435E3D" w14:textId="77777777"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9D9"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14:paraId="167749EF" w14:textId="77777777"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B89B" w14:textId="77777777" w:rsidR="00F00F14" w:rsidRDefault="00F00F14">
      <w:r>
        <w:separator/>
      </w:r>
    </w:p>
  </w:footnote>
  <w:footnote w:type="continuationSeparator" w:id="0">
    <w:p w14:paraId="10C26BF8" w14:textId="77777777" w:rsidR="00F00F14" w:rsidRDefault="00F0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28591357">
    <w:abstractNumId w:val="2"/>
  </w:num>
  <w:num w:numId="2" w16cid:durableId="1355693625">
    <w:abstractNumId w:val="0"/>
  </w:num>
  <w:num w:numId="3" w16cid:durableId="625543531">
    <w:abstractNumId w:val="1"/>
  </w:num>
  <w:num w:numId="4" w16cid:durableId="359362722">
    <w:abstractNumId w:val="4"/>
  </w:num>
  <w:num w:numId="5" w16cid:durableId="324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246E"/>
    <w:rsid w:val="00001538"/>
    <w:rsid w:val="00013C71"/>
    <w:rsid w:val="000144CD"/>
    <w:rsid w:val="00025290"/>
    <w:rsid w:val="0003269E"/>
    <w:rsid w:val="0003413F"/>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107E"/>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70B2E"/>
    <w:rsid w:val="0027604D"/>
    <w:rsid w:val="00280E41"/>
    <w:rsid w:val="00285C10"/>
    <w:rsid w:val="00286D81"/>
    <w:rsid w:val="0029074E"/>
    <w:rsid w:val="002A0578"/>
    <w:rsid w:val="002B34FE"/>
    <w:rsid w:val="002B6E6A"/>
    <w:rsid w:val="002C3819"/>
    <w:rsid w:val="002D6063"/>
    <w:rsid w:val="002D6099"/>
    <w:rsid w:val="002D71C6"/>
    <w:rsid w:val="002D7F8F"/>
    <w:rsid w:val="002E105D"/>
    <w:rsid w:val="002E1E08"/>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4D26"/>
    <w:rsid w:val="0053552F"/>
    <w:rsid w:val="00541CF9"/>
    <w:rsid w:val="00551463"/>
    <w:rsid w:val="00563D00"/>
    <w:rsid w:val="00564638"/>
    <w:rsid w:val="00581C16"/>
    <w:rsid w:val="00584583"/>
    <w:rsid w:val="00593272"/>
    <w:rsid w:val="0059481B"/>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45864"/>
    <w:rsid w:val="0064682F"/>
    <w:rsid w:val="00651CA3"/>
    <w:rsid w:val="006520F0"/>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23B3"/>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D768F"/>
    <w:rsid w:val="009E271A"/>
    <w:rsid w:val="009E59C9"/>
    <w:rsid w:val="009F2B27"/>
    <w:rsid w:val="009F5898"/>
    <w:rsid w:val="00A00F31"/>
    <w:rsid w:val="00A165C8"/>
    <w:rsid w:val="00A17EB4"/>
    <w:rsid w:val="00A24CA3"/>
    <w:rsid w:val="00A25886"/>
    <w:rsid w:val="00A2662D"/>
    <w:rsid w:val="00A3232F"/>
    <w:rsid w:val="00A3582A"/>
    <w:rsid w:val="00A35BC1"/>
    <w:rsid w:val="00A369F7"/>
    <w:rsid w:val="00A439EB"/>
    <w:rsid w:val="00A55D6C"/>
    <w:rsid w:val="00A616DE"/>
    <w:rsid w:val="00A643DE"/>
    <w:rsid w:val="00A71C84"/>
    <w:rsid w:val="00A75EB1"/>
    <w:rsid w:val="00A777D1"/>
    <w:rsid w:val="00A80117"/>
    <w:rsid w:val="00A84F24"/>
    <w:rsid w:val="00A94320"/>
    <w:rsid w:val="00A970A4"/>
    <w:rsid w:val="00AA10ED"/>
    <w:rsid w:val="00AA324F"/>
    <w:rsid w:val="00AB187B"/>
    <w:rsid w:val="00AB3125"/>
    <w:rsid w:val="00AB59E3"/>
    <w:rsid w:val="00AB676C"/>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001D"/>
    <w:rsid w:val="00C15630"/>
    <w:rsid w:val="00C17D07"/>
    <w:rsid w:val="00C21471"/>
    <w:rsid w:val="00C2423C"/>
    <w:rsid w:val="00C25A9B"/>
    <w:rsid w:val="00C32827"/>
    <w:rsid w:val="00C33C58"/>
    <w:rsid w:val="00C347C5"/>
    <w:rsid w:val="00C350D2"/>
    <w:rsid w:val="00C50013"/>
    <w:rsid w:val="00C52655"/>
    <w:rsid w:val="00C539DB"/>
    <w:rsid w:val="00C57DFC"/>
    <w:rsid w:val="00C61444"/>
    <w:rsid w:val="00C913C8"/>
    <w:rsid w:val="00C93575"/>
    <w:rsid w:val="00C954C3"/>
    <w:rsid w:val="00C97E4E"/>
    <w:rsid w:val="00CB190F"/>
    <w:rsid w:val="00CB4347"/>
    <w:rsid w:val="00CC4DCE"/>
    <w:rsid w:val="00CD52E1"/>
    <w:rsid w:val="00CD6084"/>
    <w:rsid w:val="00CD7EF5"/>
    <w:rsid w:val="00CE514E"/>
    <w:rsid w:val="00CE7C06"/>
    <w:rsid w:val="00CF0722"/>
    <w:rsid w:val="00D02456"/>
    <w:rsid w:val="00D04763"/>
    <w:rsid w:val="00D05E05"/>
    <w:rsid w:val="00D17695"/>
    <w:rsid w:val="00D206D8"/>
    <w:rsid w:val="00D20DCA"/>
    <w:rsid w:val="00D2390B"/>
    <w:rsid w:val="00D23E53"/>
    <w:rsid w:val="00D308A7"/>
    <w:rsid w:val="00D31B64"/>
    <w:rsid w:val="00D45E2A"/>
    <w:rsid w:val="00D4789A"/>
    <w:rsid w:val="00D63747"/>
    <w:rsid w:val="00D740E9"/>
    <w:rsid w:val="00D752FA"/>
    <w:rsid w:val="00D7637F"/>
    <w:rsid w:val="00D76941"/>
    <w:rsid w:val="00D774B3"/>
    <w:rsid w:val="00D84480"/>
    <w:rsid w:val="00D91A0C"/>
    <w:rsid w:val="00D9314B"/>
    <w:rsid w:val="00DA443E"/>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0F14"/>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6291"/>
    <w:rsid w:val="00F57CFE"/>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5406"/>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5689</Words>
  <Characters>33571</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39182</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140</cp:revision>
  <cp:lastPrinted>2008-12-29T08:18:00Z</cp:lastPrinted>
  <dcterms:created xsi:type="dcterms:W3CDTF">2020-01-14T13:02:00Z</dcterms:created>
  <dcterms:modified xsi:type="dcterms:W3CDTF">2025-12-22T08:51:00Z</dcterms:modified>
</cp:coreProperties>
</file>