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9.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300E4" w14:textId="77777777" w:rsidR="009259D3" w:rsidRDefault="009259D3" w:rsidP="008E183C">
      <w:pPr>
        <w:pStyle w:val="Nadpis2"/>
        <w:spacing w:after="120"/>
        <w:rPr>
          <w:sz w:val="32"/>
          <w:szCs w:val="28"/>
        </w:rPr>
      </w:pPr>
      <w:r w:rsidRPr="009259D3">
        <w:rPr>
          <w:sz w:val="32"/>
          <w:szCs w:val="28"/>
        </w:rPr>
        <w:t>STÁTNÍ ROZPOČTOVÉ VÝDAJE NA VÝZKUM A VÝVOJ V</w:t>
      </w:r>
      <w:r>
        <w:rPr>
          <w:sz w:val="32"/>
          <w:szCs w:val="28"/>
        </w:rPr>
        <w:t> </w:t>
      </w:r>
      <w:r w:rsidRPr="009259D3">
        <w:rPr>
          <w:sz w:val="32"/>
          <w:szCs w:val="28"/>
        </w:rPr>
        <w:t>ČR</w:t>
      </w:r>
    </w:p>
    <w:p w14:paraId="2E2622B7" w14:textId="77777777" w:rsidR="006C446E" w:rsidRPr="006C446E" w:rsidRDefault="006C446E" w:rsidP="006E3865">
      <w:pPr>
        <w:pStyle w:val="Nadpis3"/>
      </w:pPr>
      <w:r w:rsidRPr="006C446E">
        <w:t>Základní údaje</w:t>
      </w:r>
    </w:p>
    <w:p w14:paraId="1E5C7712" w14:textId="0705761A" w:rsidR="00EB0B89" w:rsidRDefault="00BA1EEC" w:rsidP="001673AF">
      <w:pPr>
        <w:spacing w:before="120"/>
        <w:jc w:val="both"/>
      </w:pPr>
      <w:r w:rsidRPr="00D26FE8">
        <w:t>V roce 2017 podpořil č</w:t>
      </w:r>
      <w:r w:rsidR="008260FA" w:rsidRPr="00D26FE8">
        <w:t xml:space="preserve">eský stát </w:t>
      </w:r>
      <w:r w:rsidRPr="00D26FE8">
        <w:t xml:space="preserve">prostřednictvím státního rozpočtu </w:t>
      </w:r>
      <w:r w:rsidR="008260FA" w:rsidRPr="00D26FE8">
        <w:t xml:space="preserve">výzkumné a vývojové činnosti </w:t>
      </w:r>
      <w:r w:rsidRPr="00D26FE8">
        <w:t xml:space="preserve">dohromady </w:t>
      </w:r>
      <w:r w:rsidR="008260FA" w:rsidRPr="00D26FE8">
        <w:t>částkou 30</w:t>
      </w:r>
      <w:r w:rsidR="007353FC" w:rsidRPr="00D26FE8">
        <w:t>,7</w:t>
      </w:r>
      <w:r w:rsidR="008260FA" w:rsidRPr="00D26FE8">
        <w:t xml:space="preserve"> m</w:t>
      </w:r>
      <w:r w:rsidR="007353FC" w:rsidRPr="00D26FE8">
        <w:t>ld</w:t>
      </w:r>
      <w:r w:rsidR="008260FA" w:rsidRPr="00D26FE8">
        <w:t>. Kč</w:t>
      </w:r>
      <w:r w:rsidR="00EB0B89">
        <w:t xml:space="preserve"> (ukazatel GBARD)</w:t>
      </w:r>
      <w:r w:rsidR="008260FA" w:rsidRPr="00D26FE8">
        <w:rPr>
          <w:rStyle w:val="Znakapoznpodarou"/>
        </w:rPr>
        <w:footnoteReference w:id="1"/>
      </w:r>
      <w:r w:rsidR="008260FA" w:rsidRPr="00D26FE8">
        <w:t xml:space="preserve">. </w:t>
      </w:r>
      <w:r w:rsidR="00B10F37" w:rsidRPr="00D26FE8">
        <w:t>Státní rozpočet</w:t>
      </w:r>
      <w:r w:rsidR="001673AF" w:rsidRPr="00D26FE8">
        <w:t xml:space="preserve"> </w:t>
      </w:r>
      <w:r w:rsidR="008839A7" w:rsidRPr="00D26FE8">
        <w:t>je v</w:t>
      </w:r>
      <w:r w:rsidR="00560485" w:rsidRPr="00D26FE8">
        <w:t> </w:t>
      </w:r>
      <w:r w:rsidR="008839A7" w:rsidRPr="00D26FE8">
        <w:t>současnosti</w:t>
      </w:r>
      <w:r w:rsidR="001673AF" w:rsidRPr="00D26FE8">
        <w:t xml:space="preserve"> druhým nejdůležitějším zdrojem financování </w:t>
      </w:r>
      <w:r w:rsidR="002C30CA" w:rsidRPr="00D26FE8">
        <w:t>výzkumu a vývoje (dále jen VaV)</w:t>
      </w:r>
      <w:r w:rsidR="001673AF" w:rsidRPr="00D26FE8">
        <w:t xml:space="preserve"> na </w:t>
      </w:r>
      <w:r w:rsidR="00F3539C" w:rsidRPr="00D26FE8">
        <w:t>území České republiky</w:t>
      </w:r>
      <w:r w:rsidR="00B10F37" w:rsidRPr="00D26FE8">
        <w:t xml:space="preserve"> (dále ČR)</w:t>
      </w:r>
      <w:r w:rsidR="00D108F5">
        <w:t>. V roce 2017 se podílel přibližně z jedné třetiny na celkových výdajích na VaV</w:t>
      </w:r>
      <w:r w:rsidR="00EB0B89">
        <w:t xml:space="preserve"> - podrobněji viz graf. 1-2.</w:t>
      </w:r>
      <w:r w:rsidR="00F3539C" w:rsidRPr="00D26FE8">
        <w:t xml:space="preserve"> Na prvním místě jsou </w:t>
      </w:r>
      <w:r w:rsidR="001673AF" w:rsidRPr="00D26FE8">
        <w:t>vlastní zdroj</w:t>
      </w:r>
      <w:r w:rsidR="00CB6BED" w:rsidRPr="00D26FE8">
        <w:t>e</w:t>
      </w:r>
      <w:r w:rsidR="001673AF" w:rsidRPr="00D26FE8">
        <w:t xml:space="preserve"> </w:t>
      </w:r>
      <w:r w:rsidR="00CB6BED" w:rsidRPr="00D26FE8">
        <w:t>podnikatelských subjektů</w:t>
      </w:r>
      <w:r w:rsidR="009A4BB3" w:rsidRPr="00D26FE8">
        <w:rPr>
          <w:rStyle w:val="Znakapoznpodarou"/>
        </w:rPr>
        <w:footnoteReference w:id="2"/>
      </w:r>
      <w:r w:rsidR="001673AF" w:rsidRPr="00D26FE8">
        <w:t xml:space="preserve">. </w:t>
      </w:r>
    </w:p>
    <w:p w14:paraId="080E91F0" w14:textId="1C1B2FF4" w:rsidR="00F83898" w:rsidRPr="00D26FE8" w:rsidRDefault="00B10F37" w:rsidP="00EB0B89">
      <w:pPr>
        <w:spacing w:before="120"/>
        <w:jc w:val="both"/>
      </w:pPr>
      <w:r w:rsidRPr="00D26FE8">
        <w:t>Ve srovnání s předchozím rokem</w:t>
      </w:r>
      <w:r w:rsidR="002C30CA" w:rsidRPr="00D26FE8">
        <w:t xml:space="preserve"> vzrostla </w:t>
      </w:r>
      <w:r w:rsidR="00B26352">
        <w:t xml:space="preserve">státní </w:t>
      </w:r>
      <w:r w:rsidR="002C30CA" w:rsidRPr="00D26FE8">
        <w:t xml:space="preserve">podpora </w:t>
      </w:r>
      <w:r w:rsidR="00EA72E6" w:rsidRPr="00D26FE8">
        <w:t>VaV v ČR o</w:t>
      </w:r>
      <w:r w:rsidR="00BA1EEC" w:rsidRPr="00D26FE8">
        <w:t xml:space="preserve"> téměř desetinu</w:t>
      </w:r>
      <w:r w:rsidR="007353FC" w:rsidRPr="00D26FE8">
        <w:t xml:space="preserve"> </w:t>
      </w:r>
      <w:r w:rsidR="00BA1EEC" w:rsidRPr="00D26FE8">
        <w:t>(</w:t>
      </w:r>
      <w:r w:rsidR="007353FC" w:rsidRPr="00D26FE8">
        <w:t>9,5</w:t>
      </w:r>
      <w:r w:rsidR="00EA72E6" w:rsidRPr="00D26FE8">
        <w:t> </w:t>
      </w:r>
      <w:r w:rsidR="002C30CA" w:rsidRPr="00D26FE8">
        <w:t>%</w:t>
      </w:r>
      <w:r w:rsidR="00BA1EEC" w:rsidRPr="00D26FE8">
        <w:t>)</w:t>
      </w:r>
      <w:r w:rsidR="002C30CA" w:rsidRPr="00D26FE8">
        <w:t xml:space="preserve"> </w:t>
      </w:r>
      <w:r w:rsidR="00BA1EEC" w:rsidRPr="00D26FE8">
        <w:t xml:space="preserve">– v absolutním vyjádření o </w:t>
      </w:r>
      <w:r w:rsidR="007353FC" w:rsidRPr="00D26FE8">
        <w:t>2,7</w:t>
      </w:r>
      <w:r w:rsidR="00317713" w:rsidRPr="00D26FE8">
        <w:t> </w:t>
      </w:r>
      <w:r w:rsidR="002C30CA" w:rsidRPr="00D26FE8">
        <w:t>ml</w:t>
      </w:r>
      <w:r w:rsidR="00BA1EEC" w:rsidRPr="00D26FE8">
        <w:t>d</w:t>
      </w:r>
      <w:r w:rsidR="002C30CA" w:rsidRPr="00D26FE8">
        <w:t>.</w:t>
      </w:r>
      <w:r w:rsidR="00BA1EEC" w:rsidRPr="00D26FE8">
        <w:t xml:space="preserve"> </w:t>
      </w:r>
      <w:r w:rsidR="002C30CA" w:rsidRPr="00D26FE8">
        <w:t>Kč</w:t>
      </w:r>
      <w:r w:rsidR="00BA1EEC" w:rsidRPr="00D26FE8">
        <w:t xml:space="preserve"> – a to </w:t>
      </w:r>
      <w:r w:rsidR="002C30CA" w:rsidRPr="00D26FE8">
        <w:t>z</w:t>
      </w:r>
      <w:r w:rsidR="00BA1EEC" w:rsidRPr="00D26FE8">
        <w:t> </w:t>
      </w:r>
      <w:r w:rsidR="00F63CE5" w:rsidRPr="00D26FE8">
        <w:t>2</w:t>
      </w:r>
      <w:r w:rsidR="007353FC" w:rsidRPr="00D26FE8">
        <w:t>8</w:t>
      </w:r>
      <w:r w:rsidR="00BA1EEC" w:rsidRPr="00D26FE8">
        <w:t>,0</w:t>
      </w:r>
      <w:r w:rsidR="002C30CA" w:rsidRPr="00D26FE8">
        <w:t xml:space="preserve"> m</w:t>
      </w:r>
      <w:r w:rsidR="007353FC" w:rsidRPr="00D26FE8">
        <w:t>ld</w:t>
      </w:r>
      <w:r w:rsidR="002C30CA" w:rsidRPr="00D26FE8">
        <w:t>. Kč v roce 201</w:t>
      </w:r>
      <w:r w:rsidR="007353FC" w:rsidRPr="00D26FE8">
        <w:t>6</w:t>
      </w:r>
      <w:r w:rsidR="002C30CA" w:rsidRPr="00D26FE8">
        <w:t>.</w:t>
      </w:r>
      <w:r w:rsidR="001673AF" w:rsidRPr="00D26FE8">
        <w:t xml:space="preserve"> </w:t>
      </w:r>
      <w:r w:rsidR="00EB0B89">
        <w:t>V porovnání s rokem 2007 byla vyšší o polovinu.</w:t>
      </w:r>
      <w:r w:rsidR="00EB0B89" w:rsidRPr="00EB0B89">
        <w:t xml:space="preserve"> </w:t>
      </w:r>
      <w:r w:rsidR="00EB0B89" w:rsidRPr="002C30CA">
        <w:t>V</w:t>
      </w:r>
      <w:r w:rsidR="00A82C45">
        <w:t> </w:t>
      </w:r>
      <w:r w:rsidR="00EB0B89" w:rsidRPr="002C30CA">
        <w:t xml:space="preserve">roce </w:t>
      </w:r>
      <w:r w:rsidR="00EB0B89">
        <w:t xml:space="preserve">2007 i </w:t>
      </w:r>
      <w:r w:rsidR="00EB0B89" w:rsidRPr="002C30CA">
        <w:t>200</w:t>
      </w:r>
      <w:r w:rsidR="00EB0B89">
        <w:t>8</w:t>
      </w:r>
      <w:r w:rsidR="00EB0B89" w:rsidRPr="002C30CA">
        <w:t xml:space="preserve"> </w:t>
      </w:r>
      <w:r w:rsidR="00EB0B89">
        <w:t>dosáhl ukazatel GBARD hodnoty 20</w:t>
      </w:r>
      <w:r w:rsidR="00EB0B89" w:rsidRPr="002C30CA">
        <w:t>,</w:t>
      </w:r>
      <w:r w:rsidR="00EB0B89">
        <w:t>5 </w:t>
      </w:r>
      <w:r w:rsidR="00EB0B89" w:rsidRPr="002C30CA">
        <w:t>mld.</w:t>
      </w:r>
      <w:r w:rsidR="00EB0B89">
        <w:t> </w:t>
      </w:r>
      <w:r w:rsidR="00EB0B89" w:rsidRPr="002C30CA">
        <w:t>Kč.</w:t>
      </w:r>
    </w:p>
    <w:p w14:paraId="3201544B" w14:textId="5B15EB98" w:rsidR="00142861" w:rsidRDefault="00094263" w:rsidP="001673AF">
      <w:pPr>
        <w:spacing w:before="120"/>
        <w:jc w:val="both"/>
        <w:rPr>
          <w:b/>
        </w:rPr>
      </w:pPr>
      <w:r>
        <w:rPr>
          <w:b/>
        </w:rPr>
        <w:t xml:space="preserve">TAB 1-1: </w:t>
      </w:r>
      <w:r w:rsidR="002D007E">
        <w:rPr>
          <w:b/>
        </w:rPr>
        <w:t>Schválené a skutečné s</w:t>
      </w:r>
      <w:r>
        <w:rPr>
          <w:b/>
        </w:rPr>
        <w:t>tátní</w:t>
      </w:r>
      <w:r w:rsidR="00142861" w:rsidRPr="00142861">
        <w:rPr>
          <w:b/>
        </w:rPr>
        <w:t xml:space="preserve"> </w:t>
      </w:r>
      <w:r>
        <w:rPr>
          <w:b/>
        </w:rPr>
        <w:t>rozpočtové výdaje</w:t>
      </w:r>
      <w:r w:rsidR="00142861">
        <w:rPr>
          <w:b/>
        </w:rPr>
        <w:t xml:space="preserve"> na </w:t>
      </w:r>
      <w:r>
        <w:rPr>
          <w:b/>
        </w:rPr>
        <w:t>VaV</w:t>
      </w:r>
      <w:r w:rsidR="00142861">
        <w:rPr>
          <w:b/>
        </w:rPr>
        <w:t xml:space="preserve"> v ČR v mld. Kč</w:t>
      </w:r>
      <w:r w:rsidR="00E60B2C">
        <w:rPr>
          <w:rStyle w:val="Znakapoznpodarou"/>
          <w:b/>
        </w:rPr>
        <w:footnoteReference w:id="3"/>
      </w:r>
    </w:p>
    <w:tbl>
      <w:tblPr>
        <w:tblW w:w="9660" w:type="dxa"/>
        <w:tblCellMar>
          <w:left w:w="0" w:type="dxa"/>
          <w:right w:w="0" w:type="dxa"/>
        </w:tblCellMar>
        <w:tblLook w:val="04A0" w:firstRow="1" w:lastRow="0" w:firstColumn="1" w:lastColumn="0" w:noHBand="0" w:noVBand="1"/>
      </w:tblPr>
      <w:tblGrid>
        <w:gridCol w:w="2180"/>
        <w:gridCol w:w="580"/>
        <w:gridCol w:w="580"/>
        <w:gridCol w:w="580"/>
        <w:gridCol w:w="580"/>
        <w:gridCol w:w="580"/>
        <w:gridCol w:w="580"/>
        <w:gridCol w:w="580"/>
        <w:gridCol w:w="580"/>
        <w:gridCol w:w="580"/>
        <w:gridCol w:w="580"/>
        <w:gridCol w:w="580"/>
        <w:gridCol w:w="580"/>
        <w:gridCol w:w="520"/>
      </w:tblGrid>
      <w:tr w:rsidR="001952D6" w14:paraId="179D6969" w14:textId="77777777" w:rsidTr="00732A53">
        <w:trPr>
          <w:trHeight w:val="300"/>
        </w:trPr>
        <w:tc>
          <w:tcPr>
            <w:tcW w:w="2180" w:type="dxa"/>
            <w:tcBorders>
              <w:top w:val="single" w:sz="4" w:space="0" w:color="808080"/>
              <w:left w:val="nil"/>
              <w:bottom w:val="single" w:sz="4" w:space="0" w:color="808080"/>
              <w:right w:val="nil"/>
            </w:tcBorders>
            <w:shd w:val="clear" w:color="000000" w:fill="DAEEF3"/>
            <w:noWrap/>
            <w:tcMar>
              <w:top w:w="15" w:type="dxa"/>
              <w:left w:w="15" w:type="dxa"/>
              <w:bottom w:w="0" w:type="dxa"/>
              <w:right w:w="15" w:type="dxa"/>
            </w:tcMar>
            <w:vAlign w:val="center"/>
            <w:hideMark/>
          </w:tcPr>
          <w:p w14:paraId="780B8C3F" w14:textId="19095BA5" w:rsidR="00FD77F0" w:rsidRDefault="00FD77F0">
            <w:pPr>
              <w:spacing w:line="240" w:lineRule="auto"/>
              <w:jc w:val="center"/>
              <w:rPr>
                <w:rFonts w:cs="Arial"/>
                <w:b/>
                <w:bCs/>
                <w:sz w:val="16"/>
                <w:szCs w:val="16"/>
              </w:rPr>
            </w:pPr>
          </w:p>
        </w:tc>
        <w:tc>
          <w:tcPr>
            <w:tcW w:w="580" w:type="dxa"/>
            <w:tcBorders>
              <w:top w:val="single" w:sz="4" w:space="0" w:color="808080"/>
              <w:left w:val="single" w:sz="4" w:space="0" w:color="808080"/>
              <w:bottom w:val="single" w:sz="4" w:space="0" w:color="808080"/>
              <w:right w:val="single" w:sz="4" w:space="0" w:color="808080"/>
            </w:tcBorders>
            <w:shd w:val="clear" w:color="000000" w:fill="DAEEF3"/>
            <w:noWrap/>
            <w:tcMar>
              <w:top w:w="15" w:type="dxa"/>
              <w:left w:w="15" w:type="dxa"/>
              <w:bottom w:w="0" w:type="dxa"/>
              <w:right w:w="57" w:type="dxa"/>
            </w:tcMar>
            <w:vAlign w:val="center"/>
            <w:hideMark/>
          </w:tcPr>
          <w:p w14:paraId="6E104645" w14:textId="77777777" w:rsidR="00FD77F0" w:rsidRDefault="00FD77F0">
            <w:pPr>
              <w:jc w:val="right"/>
              <w:rPr>
                <w:rFonts w:cs="Arial"/>
                <w:b/>
                <w:bCs/>
                <w:sz w:val="16"/>
                <w:szCs w:val="16"/>
              </w:rPr>
            </w:pPr>
            <w:r>
              <w:rPr>
                <w:rFonts w:cs="Arial"/>
                <w:b/>
                <w:bCs/>
                <w:sz w:val="16"/>
                <w:szCs w:val="16"/>
              </w:rPr>
              <w:t>2000</w:t>
            </w:r>
          </w:p>
        </w:tc>
        <w:tc>
          <w:tcPr>
            <w:tcW w:w="580" w:type="dxa"/>
            <w:tcBorders>
              <w:top w:val="single" w:sz="4" w:space="0" w:color="808080"/>
              <w:left w:val="nil"/>
              <w:bottom w:val="single" w:sz="4" w:space="0" w:color="808080"/>
              <w:right w:val="single" w:sz="4" w:space="0" w:color="808080"/>
            </w:tcBorders>
            <w:shd w:val="clear" w:color="000000" w:fill="DAEEF3"/>
            <w:noWrap/>
            <w:tcMar>
              <w:top w:w="15" w:type="dxa"/>
              <w:left w:w="15" w:type="dxa"/>
              <w:bottom w:w="0" w:type="dxa"/>
              <w:right w:w="57" w:type="dxa"/>
            </w:tcMar>
            <w:vAlign w:val="center"/>
            <w:hideMark/>
          </w:tcPr>
          <w:p w14:paraId="0164A8CD" w14:textId="77777777" w:rsidR="00FD77F0" w:rsidRDefault="00FD77F0">
            <w:pPr>
              <w:jc w:val="right"/>
              <w:rPr>
                <w:rFonts w:cs="Arial"/>
                <w:b/>
                <w:bCs/>
                <w:sz w:val="16"/>
                <w:szCs w:val="16"/>
              </w:rPr>
            </w:pPr>
            <w:r>
              <w:rPr>
                <w:rFonts w:cs="Arial"/>
                <w:b/>
                <w:bCs/>
                <w:sz w:val="16"/>
                <w:szCs w:val="16"/>
              </w:rPr>
              <w:t>2005</w:t>
            </w:r>
          </w:p>
        </w:tc>
        <w:tc>
          <w:tcPr>
            <w:tcW w:w="580" w:type="dxa"/>
            <w:tcBorders>
              <w:top w:val="single" w:sz="4" w:space="0" w:color="808080"/>
              <w:left w:val="nil"/>
              <w:bottom w:val="single" w:sz="4" w:space="0" w:color="808080"/>
              <w:right w:val="nil"/>
            </w:tcBorders>
            <w:shd w:val="clear" w:color="000000" w:fill="DAEEF3"/>
            <w:noWrap/>
            <w:tcMar>
              <w:top w:w="15" w:type="dxa"/>
              <w:left w:w="15" w:type="dxa"/>
              <w:bottom w:w="0" w:type="dxa"/>
              <w:right w:w="57" w:type="dxa"/>
            </w:tcMar>
            <w:vAlign w:val="center"/>
            <w:hideMark/>
          </w:tcPr>
          <w:p w14:paraId="0DAC6AF6" w14:textId="77777777" w:rsidR="00FD77F0" w:rsidRDefault="00FD77F0">
            <w:pPr>
              <w:jc w:val="right"/>
              <w:rPr>
                <w:rFonts w:cs="Arial"/>
                <w:b/>
                <w:bCs/>
                <w:sz w:val="16"/>
                <w:szCs w:val="16"/>
              </w:rPr>
            </w:pPr>
            <w:r>
              <w:rPr>
                <w:rFonts w:cs="Arial"/>
                <w:b/>
                <w:bCs/>
                <w:sz w:val="16"/>
                <w:szCs w:val="16"/>
              </w:rPr>
              <w:t>2007</w:t>
            </w:r>
          </w:p>
        </w:tc>
        <w:tc>
          <w:tcPr>
            <w:tcW w:w="580" w:type="dxa"/>
            <w:tcBorders>
              <w:top w:val="single" w:sz="4" w:space="0" w:color="808080"/>
              <w:left w:val="nil"/>
              <w:bottom w:val="single" w:sz="4" w:space="0" w:color="808080"/>
              <w:right w:val="nil"/>
            </w:tcBorders>
            <w:shd w:val="clear" w:color="000000" w:fill="DAEEF3"/>
            <w:noWrap/>
            <w:tcMar>
              <w:top w:w="15" w:type="dxa"/>
              <w:left w:w="15" w:type="dxa"/>
              <w:bottom w:w="0" w:type="dxa"/>
              <w:right w:w="57" w:type="dxa"/>
            </w:tcMar>
            <w:vAlign w:val="center"/>
            <w:hideMark/>
          </w:tcPr>
          <w:p w14:paraId="2A901279" w14:textId="77777777" w:rsidR="00FD77F0" w:rsidRDefault="00FD77F0">
            <w:pPr>
              <w:jc w:val="right"/>
              <w:rPr>
                <w:rFonts w:cs="Arial"/>
                <w:b/>
                <w:bCs/>
                <w:sz w:val="16"/>
                <w:szCs w:val="16"/>
              </w:rPr>
            </w:pPr>
            <w:r>
              <w:rPr>
                <w:rFonts w:cs="Arial"/>
                <w:b/>
                <w:bCs/>
                <w:sz w:val="16"/>
                <w:szCs w:val="16"/>
              </w:rPr>
              <w:t>2008</w:t>
            </w:r>
          </w:p>
        </w:tc>
        <w:tc>
          <w:tcPr>
            <w:tcW w:w="580" w:type="dxa"/>
            <w:tcBorders>
              <w:top w:val="single" w:sz="4" w:space="0" w:color="808080"/>
              <w:left w:val="nil"/>
              <w:bottom w:val="single" w:sz="4" w:space="0" w:color="808080"/>
              <w:right w:val="nil"/>
            </w:tcBorders>
            <w:shd w:val="clear" w:color="000000" w:fill="DAEEF3"/>
            <w:noWrap/>
            <w:tcMar>
              <w:top w:w="15" w:type="dxa"/>
              <w:left w:w="15" w:type="dxa"/>
              <w:bottom w:w="0" w:type="dxa"/>
              <w:right w:w="57" w:type="dxa"/>
            </w:tcMar>
            <w:vAlign w:val="center"/>
            <w:hideMark/>
          </w:tcPr>
          <w:p w14:paraId="74216649" w14:textId="77777777" w:rsidR="00FD77F0" w:rsidRDefault="00FD77F0">
            <w:pPr>
              <w:jc w:val="right"/>
              <w:rPr>
                <w:rFonts w:cs="Arial"/>
                <w:b/>
                <w:bCs/>
                <w:sz w:val="16"/>
                <w:szCs w:val="16"/>
              </w:rPr>
            </w:pPr>
            <w:r>
              <w:rPr>
                <w:rFonts w:cs="Arial"/>
                <w:b/>
                <w:bCs/>
                <w:sz w:val="16"/>
                <w:szCs w:val="16"/>
              </w:rPr>
              <w:t>2009</w:t>
            </w:r>
          </w:p>
        </w:tc>
        <w:tc>
          <w:tcPr>
            <w:tcW w:w="580" w:type="dxa"/>
            <w:tcBorders>
              <w:top w:val="single" w:sz="4" w:space="0" w:color="808080"/>
              <w:left w:val="nil"/>
              <w:bottom w:val="single" w:sz="4" w:space="0" w:color="808080"/>
              <w:right w:val="nil"/>
            </w:tcBorders>
            <w:shd w:val="clear" w:color="000000" w:fill="DAEEF3"/>
            <w:noWrap/>
            <w:tcMar>
              <w:top w:w="15" w:type="dxa"/>
              <w:left w:w="15" w:type="dxa"/>
              <w:bottom w:w="0" w:type="dxa"/>
              <w:right w:w="57" w:type="dxa"/>
            </w:tcMar>
            <w:vAlign w:val="center"/>
            <w:hideMark/>
          </w:tcPr>
          <w:p w14:paraId="405DFB2A" w14:textId="77777777" w:rsidR="00FD77F0" w:rsidRDefault="00FD77F0">
            <w:pPr>
              <w:jc w:val="right"/>
              <w:rPr>
                <w:rFonts w:cs="Arial"/>
                <w:b/>
                <w:bCs/>
                <w:sz w:val="16"/>
                <w:szCs w:val="16"/>
              </w:rPr>
            </w:pPr>
            <w:r>
              <w:rPr>
                <w:rFonts w:cs="Arial"/>
                <w:b/>
                <w:bCs/>
                <w:sz w:val="16"/>
                <w:szCs w:val="16"/>
              </w:rPr>
              <w:t>2010</w:t>
            </w:r>
          </w:p>
        </w:tc>
        <w:tc>
          <w:tcPr>
            <w:tcW w:w="580" w:type="dxa"/>
            <w:tcBorders>
              <w:top w:val="single" w:sz="4" w:space="0" w:color="808080"/>
              <w:left w:val="nil"/>
              <w:bottom w:val="single" w:sz="4" w:space="0" w:color="808080"/>
              <w:right w:val="nil"/>
            </w:tcBorders>
            <w:shd w:val="clear" w:color="000000" w:fill="DAEEF3"/>
            <w:noWrap/>
            <w:tcMar>
              <w:top w:w="15" w:type="dxa"/>
              <w:left w:w="15" w:type="dxa"/>
              <w:bottom w:w="0" w:type="dxa"/>
              <w:right w:w="57" w:type="dxa"/>
            </w:tcMar>
            <w:vAlign w:val="center"/>
            <w:hideMark/>
          </w:tcPr>
          <w:p w14:paraId="7079470F" w14:textId="77777777" w:rsidR="00FD77F0" w:rsidRDefault="00FD77F0">
            <w:pPr>
              <w:jc w:val="right"/>
              <w:rPr>
                <w:rFonts w:cs="Arial"/>
                <w:b/>
                <w:bCs/>
                <w:sz w:val="16"/>
                <w:szCs w:val="16"/>
              </w:rPr>
            </w:pPr>
            <w:r>
              <w:rPr>
                <w:rFonts w:cs="Arial"/>
                <w:b/>
                <w:bCs/>
                <w:sz w:val="16"/>
                <w:szCs w:val="16"/>
              </w:rPr>
              <w:t>2011</w:t>
            </w:r>
          </w:p>
        </w:tc>
        <w:tc>
          <w:tcPr>
            <w:tcW w:w="580" w:type="dxa"/>
            <w:tcBorders>
              <w:top w:val="single" w:sz="4" w:space="0" w:color="808080"/>
              <w:left w:val="nil"/>
              <w:bottom w:val="single" w:sz="4" w:space="0" w:color="808080"/>
              <w:right w:val="nil"/>
            </w:tcBorders>
            <w:shd w:val="clear" w:color="000000" w:fill="DAEEF3"/>
            <w:noWrap/>
            <w:tcMar>
              <w:top w:w="15" w:type="dxa"/>
              <w:left w:w="15" w:type="dxa"/>
              <w:bottom w:w="0" w:type="dxa"/>
              <w:right w:w="57" w:type="dxa"/>
            </w:tcMar>
            <w:vAlign w:val="center"/>
            <w:hideMark/>
          </w:tcPr>
          <w:p w14:paraId="77A7EB41" w14:textId="77777777" w:rsidR="00FD77F0" w:rsidRDefault="00FD77F0">
            <w:pPr>
              <w:jc w:val="center"/>
              <w:rPr>
                <w:rFonts w:cs="Arial"/>
                <w:b/>
                <w:bCs/>
                <w:sz w:val="16"/>
                <w:szCs w:val="16"/>
              </w:rPr>
            </w:pPr>
            <w:r>
              <w:rPr>
                <w:rFonts w:cs="Arial"/>
                <w:b/>
                <w:bCs/>
                <w:sz w:val="16"/>
                <w:szCs w:val="16"/>
              </w:rPr>
              <w:t>2012</w:t>
            </w:r>
          </w:p>
        </w:tc>
        <w:tc>
          <w:tcPr>
            <w:tcW w:w="580" w:type="dxa"/>
            <w:tcBorders>
              <w:top w:val="single" w:sz="4" w:space="0" w:color="808080"/>
              <w:left w:val="nil"/>
              <w:bottom w:val="single" w:sz="4" w:space="0" w:color="808080"/>
              <w:right w:val="nil"/>
            </w:tcBorders>
            <w:shd w:val="clear" w:color="000000" w:fill="DAEEF3"/>
            <w:noWrap/>
            <w:tcMar>
              <w:top w:w="15" w:type="dxa"/>
              <w:left w:w="15" w:type="dxa"/>
              <w:bottom w:w="0" w:type="dxa"/>
              <w:right w:w="57" w:type="dxa"/>
            </w:tcMar>
            <w:vAlign w:val="center"/>
            <w:hideMark/>
          </w:tcPr>
          <w:p w14:paraId="7FF91086" w14:textId="77777777" w:rsidR="00FD77F0" w:rsidRDefault="00FD77F0">
            <w:pPr>
              <w:jc w:val="center"/>
              <w:rPr>
                <w:rFonts w:cs="Arial"/>
                <w:b/>
                <w:bCs/>
                <w:sz w:val="16"/>
                <w:szCs w:val="16"/>
              </w:rPr>
            </w:pPr>
            <w:r>
              <w:rPr>
                <w:rFonts w:cs="Arial"/>
                <w:b/>
                <w:bCs/>
                <w:sz w:val="16"/>
                <w:szCs w:val="16"/>
              </w:rPr>
              <w:t>2013</w:t>
            </w:r>
          </w:p>
        </w:tc>
        <w:tc>
          <w:tcPr>
            <w:tcW w:w="580" w:type="dxa"/>
            <w:tcBorders>
              <w:top w:val="single" w:sz="4" w:space="0" w:color="808080"/>
              <w:left w:val="nil"/>
              <w:bottom w:val="single" w:sz="4" w:space="0" w:color="808080"/>
              <w:right w:val="nil"/>
            </w:tcBorders>
            <w:shd w:val="clear" w:color="000000" w:fill="DAEEF3"/>
            <w:noWrap/>
            <w:tcMar>
              <w:top w:w="15" w:type="dxa"/>
              <w:left w:w="15" w:type="dxa"/>
              <w:bottom w:w="0" w:type="dxa"/>
              <w:right w:w="57" w:type="dxa"/>
            </w:tcMar>
            <w:vAlign w:val="center"/>
            <w:hideMark/>
          </w:tcPr>
          <w:p w14:paraId="10FBE4E3" w14:textId="77777777" w:rsidR="00FD77F0" w:rsidRDefault="00FD77F0">
            <w:pPr>
              <w:jc w:val="center"/>
              <w:rPr>
                <w:rFonts w:cs="Arial"/>
                <w:b/>
                <w:bCs/>
                <w:sz w:val="16"/>
                <w:szCs w:val="16"/>
              </w:rPr>
            </w:pPr>
            <w:r>
              <w:rPr>
                <w:rFonts w:cs="Arial"/>
                <w:b/>
                <w:bCs/>
                <w:sz w:val="16"/>
                <w:szCs w:val="16"/>
              </w:rPr>
              <w:t>2014</w:t>
            </w:r>
          </w:p>
        </w:tc>
        <w:tc>
          <w:tcPr>
            <w:tcW w:w="580" w:type="dxa"/>
            <w:tcBorders>
              <w:top w:val="single" w:sz="4" w:space="0" w:color="808080"/>
              <w:left w:val="nil"/>
              <w:bottom w:val="single" w:sz="4" w:space="0" w:color="808080"/>
              <w:right w:val="nil"/>
            </w:tcBorders>
            <w:shd w:val="clear" w:color="000000" w:fill="DAEEF3"/>
            <w:noWrap/>
            <w:tcMar>
              <w:top w:w="15" w:type="dxa"/>
              <w:left w:w="15" w:type="dxa"/>
              <w:bottom w:w="0" w:type="dxa"/>
              <w:right w:w="57" w:type="dxa"/>
            </w:tcMar>
            <w:vAlign w:val="center"/>
            <w:hideMark/>
          </w:tcPr>
          <w:p w14:paraId="2A8883DA" w14:textId="77777777" w:rsidR="00FD77F0" w:rsidRDefault="00FD77F0">
            <w:pPr>
              <w:jc w:val="center"/>
              <w:rPr>
                <w:rFonts w:cs="Arial"/>
                <w:b/>
                <w:bCs/>
                <w:sz w:val="16"/>
                <w:szCs w:val="16"/>
              </w:rPr>
            </w:pPr>
            <w:r>
              <w:rPr>
                <w:rFonts w:cs="Arial"/>
                <w:b/>
                <w:bCs/>
                <w:sz w:val="16"/>
                <w:szCs w:val="16"/>
              </w:rPr>
              <w:t>2015</w:t>
            </w:r>
          </w:p>
        </w:tc>
        <w:tc>
          <w:tcPr>
            <w:tcW w:w="580" w:type="dxa"/>
            <w:tcBorders>
              <w:top w:val="single" w:sz="4" w:space="0" w:color="808080"/>
              <w:left w:val="nil"/>
              <w:bottom w:val="single" w:sz="4" w:space="0" w:color="808080"/>
              <w:right w:val="nil"/>
            </w:tcBorders>
            <w:shd w:val="clear" w:color="000000" w:fill="DAEEF3"/>
            <w:noWrap/>
            <w:tcMar>
              <w:top w:w="15" w:type="dxa"/>
              <w:left w:w="15" w:type="dxa"/>
              <w:bottom w:w="0" w:type="dxa"/>
              <w:right w:w="57" w:type="dxa"/>
            </w:tcMar>
            <w:vAlign w:val="center"/>
            <w:hideMark/>
          </w:tcPr>
          <w:p w14:paraId="5236FC30" w14:textId="77777777" w:rsidR="00FD77F0" w:rsidRDefault="00FD77F0">
            <w:pPr>
              <w:jc w:val="center"/>
              <w:rPr>
                <w:rFonts w:cs="Arial"/>
                <w:b/>
                <w:bCs/>
                <w:sz w:val="16"/>
                <w:szCs w:val="16"/>
              </w:rPr>
            </w:pPr>
            <w:r>
              <w:rPr>
                <w:rFonts w:cs="Arial"/>
                <w:b/>
                <w:bCs/>
                <w:sz w:val="16"/>
                <w:szCs w:val="16"/>
              </w:rPr>
              <w:t>2016</w:t>
            </w:r>
          </w:p>
        </w:tc>
        <w:tc>
          <w:tcPr>
            <w:tcW w:w="520" w:type="dxa"/>
            <w:tcBorders>
              <w:top w:val="single" w:sz="4" w:space="0" w:color="808080"/>
              <w:left w:val="nil"/>
              <w:bottom w:val="single" w:sz="4" w:space="0" w:color="808080"/>
              <w:right w:val="nil"/>
            </w:tcBorders>
            <w:shd w:val="clear" w:color="000000" w:fill="DAEEF3"/>
            <w:noWrap/>
            <w:tcMar>
              <w:top w:w="15" w:type="dxa"/>
              <w:left w:w="15" w:type="dxa"/>
              <w:bottom w:w="0" w:type="dxa"/>
              <w:right w:w="57" w:type="dxa"/>
            </w:tcMar>
            <w:vAlign w:val="center"/>
            <w:hideMark/>
          </w:tcPr>
          <w:p w14:paraId="2275ADE8" w14:textId="77777777" w:rsidR="00FD77F0" w:rsidRDefault="00FD77F0">
            <w:pPr>
              <w:jc w:val="center"/>
              <w:rPr>
                <w:rFonts w:cs="Arial"/>
                <w:b/>
                <w:bCs/>
                <w:sz w:val="16"/>
                <w:szCs w:val="16"/>
              </w:rPr>
            </w:pPr>
            <w:r>
              <w:rPr>
                <w:rFonts w:cs="Arial"/>
                <w:b/>
                <w:bCs/>
                <w:sz w:val="16"/>
                <w:szCs w:val="16"/>
              </w:rPr>
              <w:t>2017</w:t>
            </w:r>
          </w:p>
        </w:tc>
      </w:tr>
      <w:tr w:rsidR="00FD77F0" w14:paraId="1A6A422D" w14:textId="77777777" w:rsidTr="00BA1EEC">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CE1A99B" w14:textId="77777777" w:rsidR="00FD77F0" w:rsidRDefault="00FD77F0">
            <w:pPr>
              <w:rPr>
                <w:rFonts w:cs="Arial"/>
                <w:sz w:val="16"/>
                <w:szCs w:val="16"/>
              </w:rPr>
            </w:pPr>
            <w:r>
              <w:rPr>
                <w:rFonts w:cs="Arial"/>
                <w:sz w:val="16"/>
                <w:szCs w:val="16"/>
              </w:rPr>
              <w:t>Schválené výdaje</w:t>
            </w:r>
          </w:p>
        </w:tc>
        <w:tc>
          <w:tcPr>
            <w:tcW w:w="0" w:type="auto"/>
            <w:tcBorders>
              <w:top w:val="nil"/>
              <w:left w:val="single" w:sz="4" w:space="0" w:color="808080"/>
              <w:bottom w:val="nil"/>
              <w:right w:val="single" w:sz="4" w:space="0" w:color="808080"/>
            </w:tcBorders>
            <w:shd w:val="clear" w:color="auto" w:fill="auto"/>
            <w:noWrap/>
            <w:tcMar>
              <w:top w:w="15" w:type="dxa"/>
              <w:left w:w="15" w:type="dxa"/>
              <w:bottom w:w="0" w:type="dxa"/>
              <w:right w:w="57" w:type="dxa"/>
            </w:tcMar>
            <w:vAlign w:val="center"/>
            <w:hideMark/>
          </w:tcPr>
          <w:p w14:paraId="48344539" w14:textId="77777777" w:rsidR="00FD77F0" w:rsidRDefault="00FD77F0">
            <w:pPr>
              <w:jc w:val="right"/>
              <w:rPr>
                <w:rFonts w:cs="Arial"/>
                <w:sz w:val="16"/>
                <w:szCs w:val="16"/>
              </w:rPr>
            </w:pPr>
            <w:r>
              <w:rPr>
                <w:rFonts w:cs="Arial"/>
                <w:sz w:val="16"/>
                <w:szCs w:val="16"/>
              </w:rPr>
              <w:t>12,0</w:t>
            </w:r>
          </w:p>
        </w:tc>
        <w:tc>
          <w:tcPr>
            <w:tcW w:w="0" w:type="auto"/>
            <w:tcBorders>
              <w:top w:val="nil"/>
              <w:left w:val="nil"/>
              <w:bottom w:val="nil"/>
              <w:right w:val="single" w:sz="4" w:space="0" w:color="808080"/>
            </w:tcBorders>
            <w:shd w:val="clear" w:color="auto" w:fill="auto"/>
            <w:noWrap/>
            <w:tcMar>
              <w:top w:w="15" w:type="dxa"/>
              <w:left w:w="15" w:type="dxa"/>
              <w:bottom w:w="0" w:type="dxa"/>
              <w:right w:w="57" w:type="dxa"/>
            </w:tcMar>
            <w:vAlign w:val="center"/>
            <w:hideMark/>
          </w:tcPr>
          <w:p w14:paraId="1850721A" w14:textId="77777777" w:rsidR="00FD77F0" w:rsidRDefault="00FD77F0">
            <w:pPr>
              <w:jc w:val="right"/>
              <w:rPr>
                <w:rFonts w:cs="Arial"/>
                <w:sz w:val="16"/>
                <w:szCs w:val="16"/>
              </w:rPr>
            </w:pPr>
            <w:r>
              <w:rPr>
                <w:rFonts w:cs="Arial"/>
                <w:sz w:val="16"/>
                <w:szCs w:val="16"/>
              </w:rPr>
              <w:t>16,5</w:t>
            </w:r>
          </w:p>
        </w:tc>
        <w:tc>
          <w:tcPr>
            <w:tcW w:w="0" w:type="auto"/>
            <w:tcBorders>
              <w:top w:val="nil"/>
              <w:left w:val="nil"/>
              <w:bottom w:val="nil"/>
              <w:right w:val="nil"/>
            </w:tcBorders>
            <w:shd w:val="clear" w:color="auto" w:fill="auto"/>
            <w:noWrap/>
            <w:tcMar>
              <w:top w:w="15" w:type="dxa"/>
              <w:left w:w="15" w:type="dxa"/>
              <w:bottom w:w="0" w:type="dxa"/>
              <w:right w:w="57" w:type="dxa"/>
            </w:tcMar>
            <w:vAlign w:val="center"/>
            <w:hideMark/>
          </w:tcPr>
          <w:p w14:paraId="6136137A" w14:textId="77777777" w:rsidR="00FD77F0" w:rsidRDefault="00FD77F0">
            <w:pPr>
              <w:jc w:val="right"/>
              <w:rPr>
                <w:rFonts w:cs="Arial"/>
                <w:sz w:val="16"/>
                <w:szCs w:val="16"/>
              </w:rPr>
            </w:pPr>
            <w:r>
              <w:rPr>
                <w:rFonts w:cs="Arial"/>
                <w:sz w:val="16"/>
                <w:szCs w:val="16"/>
              </w:rPr>
              <w:t>21,5</w:t>
            </w:r>
          </w:p>
        </w:tc>
        <w:tc>
          <w:tcPr>
            <w:tcW w:w="0" w:type="auto"/>
            <w:tcBorders>
              <w:top w:val="nil"/>
              <w:left w:val="nil"/>
              <w:bottom w:val="nil"/>
              <w:right w:val="nil"/>
            </w:tcBorders>
            <w:shd w:val="clear" w:color="auto" w:fill="auto"/>
            <w:noWrap/>
            <w:tcMar>
              <w:top w:w="15" w:type="dxa"/>
              <w:left w:w="15" w:type="dxa"/>
              <w:bottom w:w="0" w:type="dxa"/>
              <w:right w:w="57" w:type="dxa"/>
            </w:tcMar>
            <w:vAlign w:val="center"/>
            <w:hideMark/>
          </w:tcPr>
          <w:p w14:paraId="72962CD3" w14:textId="77777777" w:rsidR="00FD77F0" w:rsidRDefault="00FD77F0">
            <w:pPr>
              <w:jc w:val="right"/>
              <w:rPr>
                <w:rFonts w:cs="Arial"/>
                <w:sz w:val="16"/>
                <w:szCs w:val="16"/>
              </w:rPr>
            </w:pPr>
            <w:r>
              <w:rPr>
                <w:rFonts w:cs="Arial"/>
                <w:sz w:val="16"/>
                <w:szCs w:val="16"/>
              </w:rPr>
              <w:t>23,0</w:t>
            </w:r>
          </w:p>
        </w:tc>
        <w:tc>
          <w:tcPr>
            <w:tcW w:w="0" w:type="auto"/>
            <w:tcBorders>
              <w:top w:val="nil"/>
              <w:left w:val="nil"/>
              <w:bottom w:val="nil"/>
              <w:right w:val="nil"/>
            </w:tcBorders>
            <w:shd w:val="clear" w:color="auto" w:fill="auto"/>
            <w:noWrap/>
            <w:tcMar>
              <w:top w:w="15" w:type="dxa"/>
              <w:left w:w="15" w:type="dxa"/>
              <w:bottom w:w="0" w:type="dxa"/>
              <w:right w:w="57" w:type="dxa"/>
            </w:tcMar>
            <w:vAlign w:val="center"/>
            <w:hideMark/>
          </w:tcPr>
          <w:p w14:paraId="06427E03" w14:textId="77777777" w:rsidR="00FD77F0" w:rsidRDefault="00FD77F0">
            <w:pPr>
              <w:jc w:val="right"/>
              <w:rPr>
                <w:rFonts w:cs="Arial"/>
                <w:sz w:val="16"/>
                <w:szCs w:val="16"/>
              </w:rPr>
            </w:pPr>
            <w:r>
              <w:rPr>
                <w:rFonts w:cs="Arial"/>
                <w:sz w:val="16"/>
                <w:szCs w:val="16"/>
              </w:rPr>
              <w:t>24,1</w:t>
            </w:r>
          </w:p>
        </w:tc>
        <w:tc>
          <w:tcPr>
            <w:tcW w:w="0" w:type="auto"/>
            <w:tcBorders>
              <w:top w:val="nil"/>
              <w:left w:val="nil"/>
              <w:bottom w:val="nil"/>
              <w:right w:val="nil"/>
            </w:tcBorders>
            <w:shd w:val="clear" w:color="auto" w:fill="auto"/>
            <w:noWrap/>
            <w:tcMar>
              <w:top w:w="15" w:type="dxa"/>
              <w:left w:w="15" w:type="dxa"/>
              <w:bottom w:w="0" w:type="dxa"/>
              <w:right w:w="57" w:type="dxa"/>
            </w:tcMar>
            <w:vAlign w:val="center"/>
            <w:hideMark/>
          </w:tcPr>
          <w:p w14:paraId="3FE8E72C" w14:textId="77777777" w:rsidR="00FD77F0" w:rsidRDefault="00FD77F0">
            <w:pPr>
              <w:jc w:val="right"/>
              <w:rPr>
                <w:rFonts w:cs="Arial"/>
                <w:sz w:val="16"/>
                <w:szCs w:val="16"/>
              </w:rPr>
            </w:pPr>
            <w:r>
              <w:rPr>
                <w:rFonts w:cs="Arial"/>
                <w:sz w:val="16"/>
                <w:szCs w:val="16"/>
              </w:rPr>
              <w:t>25,4</w:t>
            </w:r>
          </w:p>
        </w:tc>
        <w:tc>
          <w:tcPr>
            <w:tcW w:w="0" w:type="auto"/>
            <w:tcBorders>
              <w:top w:val="nil"/>
              <w:left w:val="nil"/>
              <w:bottom w:val="nil"/>
              <w:right w:val="nil"/>
            </w:tcBorders>
            <w:shd w:val="clear" w:color="auto" w:fill="auto"/>
            <w:noWrap/>
            <w:tcMar>
              <w:top w:w="15" w:type="dxa"/>
              <w:left w:w="15" w:type="dxa"/>
              <w:bottom w:w="0" w:type="dxa"/>
              <w:right w:w="57" w:type="dxa"/>
            </w:tcMar>
            <w:vAlign w:val="center"/>
            <w:hideMark/>
          </w:tcPr>
          <w:p w14:paraId="64F951A8" w14:textId="77777777" w:rsidR="00FD77F0" w:rsidRDefault="00FD77F0">
            <w:pPr>
              <w:jc w:val="right"/>
              <w:rPr>
                <w:rFonts w:cs="Arial"/>
                <w:sz w:val="16"/>
                <w:szCs w:val="16"/>
              </w:rPr>
            </w:pPr>
            <w:r>
              <w:rPr>
                <w:rFonts w:cs="Arial"/>
                <w:sz w:val="16"/>
                <w:szCs w:val="16"/>
              </w:rPr>
              <w:t>25,9</w:t>
            </w:r>
          </w:p>
        </w:tc>
        <w:tc>
          <w:tcPr>
            <w:tcW w:w="0" w:type="auto"/>
            <w:tcBorders>
              <w:top w:val="nil"/>
              <w:left w:val="nil"/>
              <w:bottom w:val="nil"/>
              <w:right w:val="nil"/>
            </w:tcBorders>
            <w:shd w:val="clear" w:color="auto" w:fill="auto"/>
            <w:noWrap/>
            <w:tcMar>
              <w:top w:w="15" w:type="dxa"/>
              <w:left w:w="15" w:type="dxa"/>
              <w:bottom w:w="0" w:type="dxa"/>
              <w:right w:w="57" w:type="dxa"/>
            </w:tcMar>
            <w:vAlign w:val="center"/>
            <w:hideMark/>
          </w:tcPr>
          <w:p w14:paraId="4BBE8F98" w14:textId="77777777" w:rsidR="00FD77F0" w:rsidRDefault="00FD77F0">
            <w:pPr>
              <w:jc w:val="right"/>
              <w:rPr>
                <w:rFonts w:cs="Arial"/>
                <w:sz w:val="16"/>
                <w:szCs w:val="16"/>
              </w:rPr>
            </w:pPr>
            <w:r>
              <w:rPr>
                <w:rFonts w:cs="Arial"/>
                <w:sz w:val="16"/>
                <w:szCs w:val="16"/>
              </w:rPr>
              <w:t>26,6</w:t>
            </w:r>
          </w:p>
        </w:tc>
        <w:tc>
          <w:tcPr>
            <w:tcW w:w="0" w:type="auto"/>
            <w:tcBorders>
              <w:top w:val="nil"/>
              <w:left w:val="nil"/>
              <w:bottom w:val="nil"/>
              <w:right w:val="nil"/>
            </w:tcBorders>
            <w:shd w:val="clear" w:color="auto" w:fill="auto"/>
            <w:noWrap/>
            <w:tcMar>
              <w:top w:w="15" w:type="dxa"/>
              <w:left w:w="15" w:type="dxa"/>
              <w:bottom w:w="0" w:type="dxa"/>
              <w:right w:w="57" w:type="dxa"/>
            </w:tcMar>
            <w:vAlign w:val="center"/>
            <w:hideMark/>
          </w:tcPr>
          <w:p w14:paraId="689793D5" w14:textId="77777777" w:rsidR="00FD77F0" w:rsidRDefault="00FD77F0">
            <w:pPr>
              <w:jc w:val="right"/>
              <w:rPr>
                <w:rFonts w:cs="Arial"/>
                <w:sz w:val="16"/>
                <w:szCs w:val="16"/>
              </w:rPr>
            </w:pPr>
            <w:r>
              <w:rPr>
                <w:rFonts w:cs="Arial"/>
                <w:sz w:val="16"/>
                <w:szCs w:val="16"/>
              </w:rPr>
              <w:t>26,1</w:t>
            </w:r>
          </w:p>
        </w:tc>
        <w:tc>
          <w:tcPr>
            <w:tcW w:w="0" w:type="auto"/>
            <w:tcBorders>
              <w:top w:val="nil"/>
              <w:left w:val="nil"/>
              <w:bottom w:val="nil"/>
              <w:right w:val="nil"/>
            </w:tcBorders>
            <w:shd w:val="clear" w:color="auto" w:fill="auto"/>
            <w:noWrap/>
            <w:tcMar>
              <w:top w:w="15" w:type="dxa"/>
              <w:left w:w="15" w:type="dxa"/>
              <w:bottom w:w="0" w:type="dxa"/>
              <w:right w:w="57" w:type="dxa"/>
            </w:tcMar>
            <w:vAlign w:val="center"/>
            <w:hideMark/>
          </w:tcPr>
          <w:p w14:paraId="1A0F3583" w14:textId="77777777" w:rsidR="00FD77F0" w:rsidRDefault="00FD77F0">
            <w:pPr>
              <w:jc w:val="right"/>
              <w:rPr>
                <w:rFonts w:cs="Arial"/>
                <w:sz w:val="16"/>
                <w:szCs w:val="16"/>
              </w:rPr>
            </w:pPr>
            <w:r>
              <w:rPr>
                <w:rFonts w:cs="Arial"/>
                <w:sz w:val="16"/>
                <w:szCs w:val="16"/>
              </w:rPr>
              <w:t>26,6</w:t>
            </w:r>
          </w:p>
        </w:tc>
        <w:tc>
          <w:tcPr>
            <w:tcW w:w="0" w:type="auto"/>
            <w:tcBorders>
              <w:top w:val="nil"/>
              <w:left w:val="nil"/>
              <w:bottom w:val="nil"/>
              <w:right w:val="nil"/>
            </w:tcBorders>
            <w:shd w:val="clear" w:color="auto" w:fill="auto"/>
            <w:noWrap/>
            <w:tcMar>
              <w:top w:w="15" w:type="dxa"/>
              <w:left w:w="15" w:type="dxa"/>
              <w:bottom w:w="0" w:type="dxa"/>
              <w:right w:w="57" w:type="dxa"/>
            </w:tcMar>
            <w:vAlign w:val="center"/>
            <w:hideMark/>
          </w:tcPr>
          <w:p w14:paraId="5484A1FA" w14:textId="77777777" w:rsidR="00FD77F0" w:rsidRDefault="00FD77F0">
            <w:pPr>
              <w:jc w:val="right"/>
              <w:rPr>
                <w:rFonts w:cs="Arial"/>
                <w:sz w:val="16"/>
                <w:szCs w:val="16"/>
              </w:rPr>
            </w:pPr>
            <w:r>
              <w:rPr>
                <w:rFonts w:cs="Arial"/>
                <w:sz w:val="16"/>
                <w:szCs w:val="16"/>
              </w:rPr>
              <w:t>26,9</w:t>
            </w:r>
          </w:p>
        </w:tc>
        <w:tc>
          <w:tcPr>
            <w:tcW w:w="0" w:type="auto"/>
            <w:tcBorders>
              <w:top w:val="nil"/>
              <w:left w:val="nil"/>
              <w:bottom w:val="nil"/>
              <w:right w:val="nil"/>
            </w:tcBorders>
            <w:shd w:val="clear" w:color="auto" w:fill="auto"/>
            <w:noWrap/>
            <w:tcMar>
              <w:top w:w="15" w:type="dxa"/>
              <w:left w:w="15" w:type="dxa"/>
              <w:bottom w:w="0" w:type="dxa"/>
              <w:right w:w="57" w:type="dxa"/>
            </w:tcMar>
            <w:vAlign w:val="center"/>
            <w:hideMark/>
          </w:tcPr>
          <w:p w14:paraId="7F46E748" w14:textId="77777777" w:rsidR="00FD77F0" w:rsidRDefault="00FD77F0">
            <w:pPr>
              <w:jc w:val="right"/>
              <w:rPr>
                <w:rFonts w:cs="Arial"/>
                <w:sz w:val="16"/>
                <w:szCs w:val="16"/>
              </w:rPr>
            </w:pPr>
            <w:r>
              <w:rPr>
                <w:rFonts w:cs="Arial"/>
                <w:sz w:val="16"/>
                <w:szCs w:val="16"/>
              </w:rPr>
              <w:t>29,1</w:t>
            </w:r>
          </w:p>
        </w:tc>
        <w:tc>
          <w:tcPr>
            <w:tcW w:w="0" w:type="auto"/>
            <w:tcBorders>
              <w:top w:val="nil"/>
              <w:left w:val="nil"/>
              <w:bottom w:val="nil"/>
              <w:right w:val="nil"/>
            </w:tcBorders>
            <w:shd w:val="clear" w:color="auto" w:fill="auto"/>
            <w:noWrap/>
            <w:tcMar>
              <w:top w:w="15" w:type="dxa"/>
              <w:left w:w="15" w:type="dxa"/>
              <w:bottom w:w="0" w:type="dxa"/>
              <w:right w:w="57" w:type="dxa"/>
            </w:tcMar>
            <w:vAlign w:val="center"/>
            <w:hideMark/>
          </w:tcPr>
          <w:p w14:paraId="5E23B1D6" w14:textId="77777777" w:rsidR="00FD77F0" w:rsidRDefault="00FD77F0">
            <w:pPr>
              <w:jc w:val="right"/>
              <w:rPr>
                <w:rFonts w:cs="Arial"/>
                <w:sz w:val="16"/>
                <w:szCs w:val="16"/>
              </w:rPr>
            </w:pPr>
            <w:r>
              <w:rPr>
                <w:rFonts w:cs="Arial"/>
                <w:sz w:val="16"/>
                <w:szCs w:val="16"/>
              </w:rPr>
              <w:t>32,7</w:t>
            </w:r>
          </w:p>
        </w:tc>
      </w:tr>
      <w:tr w:rsidR="00BA1EEC" w14:paraId="6589B516" w14:textId="77777777" w:rsidTr="00BA1EEC">
        <w:trPr>
          <w:trHeight w:val="255"/>
        </w:trPr>
        <w:tc>
          <w:tcPr>
            <w:tcW w:w="0" w:type="auto"/>
            <w:tcBorders>
              <w:top w:val="nil"/>
              <w:left w:val="nil"/>
              <w:bottom w:val="nil"/>
              <w:right w:val="nil"/>
            </w:tcBorders>
            <w:shd w:val="clear" w:color="auto" w:fill="DAEEF3" w:themeFill="accent5" w:themeFillTint="33"/>
            <w:noWrap/>
            <w:tcMar>
              <w:top w:w="15" w:type="dxa"/>
              <w:left w:w="15" w:type="dxa"/>
              <w:bottom w:w="0" w:type="dxa"/>
              <w:right w:w="15" w:type="dxa"/>
            </w:tcMar>
            <w:vAlign w:val="center"/>
            <w:hideMark/>
          </w:tcPr>
          <w:p w14:paraId="79796D3E" w14:textId="3E124D04" w:rsidR="00FD77F0" w:rsidRDefault="00FD77F0" w:rsidP="00BA1EEC">
            <w:pPr>
              <w:rPr>
                <w:rFonts w:cs="Arial"/>
                <w:b/>
                <w:bCs/>
                <w:sz w:val="16"/>
                <w:szCs w:val="16"/>
              </w:rPr>
            </w:pPr>
            <w:r>
              <w:rPr>
                <w:rFonts w:cs="Arial"/>
                <w:b/>
                <w:bCs/>
                <w:sz w:val="16"/>
                <w:szCs w:val="16"/>
              </w:rPr>
              <w:t>Skutečné výdaje</w:t>
            </w:r>
          </w:p>
        </w:tc>
        <w:tc>
          <w:tcPr>
            <w:tcW w:w="0" w:type="auto"/>
            <w:tcBorders>
              <w:top w:val="nil"/>
              <w:left w:val="single" w:sz="4" w:space="0" w:color="808080"/>
              <w:bottom w:val="nil"/>
              <w:right w:val="single" w:sz="4" w:space="0" w:color="808080"/>
            </w:tcBorders>
            <w:shd w:val="clear" w:color="auto" w:fill="DAEEF3" w:themeFill="accent5" w:themeFillTint="33"/>
            <w:noWrap/>
            <w:tcMar>
              <w:top w:w="15" w:type="dxa"/>
              <w:left w:w="15" w:type="dxa"/>
              <w:bottom w:w="0" w:type="dxa"/>
              <w:right w:w="57" w:type="dxa"/>
            </w:tcMar>
            <w:vAlign w:val="center"/>
            <w:hideMark/>
          </w:tcPr>
          <w:p w14:paraId="4260ECDE" w14:textId="77777777" w:rsidR="00FD77F0" w:rsidRDefault="00FD77F0">
            <w:pPr>
              <w:jc w:val="right"/>
              <w:rPr>
                <w:rFonts w:cs="Arial"/>
                <w:b/>
                <w:bCs/>
                <w:sz w:val="16"/>
                <w:szCs w:val="16"/>
              </w:rPr>
            </w:pPr>
            <w:r>
              <w:rPr>
                <w:rFonts w:cs="Arial"/>
                <w:b/>
                <w:bCs/>
                <w:sz w:val="16"/>
                <w:szCs w:val="16"/>
              </w:rPr>
              <w:t>11,9</w:t>
            </w:r>
          </w:p>
        </w:tc>
        <w:tc>
          <w:tcPr>
            <w:tcW w:w="0" w:type="auto"/>
            <w:tcBorders>
              <w:top w:val="nil"/>
              <w:left w:val="nil"/>
              <w:bottom w:val="nil"/>
              <w:right w:val="single" w:sz="4" w:space="0" w:color="808080"/>
            </w:tcBorders>
            <w:shd w:val="clear" w:color="auto" w:fill="DAEEF3" w:themeFill="accent5" w:themeFillTint="33"/>
            <w:noWrap/>
            <w:tcMar>
              <w:top w:w="15" w:type="dxa"/>
              <w:left w:w="15" w:type="dxa"/>
              <w:bottom w:w="0" w:type="dxa"/>
              <w:right w:w="57" w:type="dxa"/>
            </w:tcMar>
            <w:vAlign w:val="center"/>
            <w:hideMark/>
          </w:tcPr>
          <w:p w14:paraId="1B6BD88B" w14:textId="77777777" w:rsidR="00FD77F0" w:rsidRDefault="00FD77F0">
            <w:pPr>
              <w:jc w:val="right"/>
              <w:rPr>
                <w:rFonts w:cs="Arial"/>
                <w:b/>
                <w:bCs/>
                <w:sz w:val="16"/>
                <w:szCs w:val="16"/>
              </w:rPr>
            </w:pPr>
            <w:r>
              <w:rPr>
                <w:rFonts w:cs="Arial"/>
                <w:b/>
                <w:bCs/>
                <w:sz w:val="16"/>
                <w:szCs w:val="16"/>
              </w:rPr>
              <w:t>16,4</w:t>
            </w:r>
          </w:p>
        </w:tc>
        <w:tc>
          <w:tcPr>
            <w:tcW w:w="0" w:type="auto"/>
            <w:tcBorders>
              <w:top w:val="nil"/>
              <w:left w:val="nil"/>
              <w:bottom w:val="nil"/>
              <w:right w:val="nil"/>
            </w:tcBorders>
            <w:shd w:val="clear" w:color="auto" w:fill="DAEEF3" w:themeFill="accent5" w:themeFillTint="33"/>
            <w:noWrap/>
            <w:tcMar>
              <w:top w:w="15" w:type="dxa"/>
              <w:left w:w="15" w:type="dxa"/>
              <w:bottom w:w="0" w:type="dxa"/>
              <w:right w:w="57" w:type="dxa"/>
            </w:tcMar>
            <w:vAlign w:val="center"/>
            <w:hideMark/>
          </w:tcPr>
          <w:p w14:paraId="135F0273" w14:textId="77777777" w:rsidR="00FD77F0" w:rsidRDefault="00FD77F0">
            <w:pPr>
              <w:jc w:val="right"/>
              <w:rPr>
                <w:rFonts w:cs="Arial"/>
                <w:b/>
                <w:bCs/>
                <w:sz w:val="16"/>
                <w:szCs w:val="16"/>
              </w:rPr>
            </w:pPr>
            <w:r>
              <w:rPr>
                <w:rFonts w:cs="Arial"/>
                <w:b/>
                <w:bCs/>
                <w:sz w:val="16"/>
                <w:szCs w:val="16"/>
              </w:rPr>
              <w:t>20,5</w:t>
            </w:r>
          </w:p>
        </w:tc>
        <w:tc>
          <w:tcPr>
            <w:tcW w:w="0" w:type="auto"/>
            <w:tcBorders>
              <w:top w:val="nil"/>
              <w:left w:val="nil"/>
              <w:bottom w:val="nil"/>
              <w:right w:val="nil"/>
            </w:tcBorders>
            <w:shd w:val="clear" w:color="auto" w:fill="DAEEF3" w:themeFill="accent5" w:themeFillTint="33"/>
            <w:noWrap/>
            <w:tcMar>
              <w:top w:w="15" w:type="dxa"/>
              <w:left w:w="15" w:type="dxa"/>
              <w:bottom w:w="0" w:type="dxa"/>
              <w:right w:w="57" w:type="dxa"/>
            </w:tcMar>
            <w:vAlign w:val="center"/>
            <w:hideMark/>
          </w:tcPr>
          <w:p w14:paraId="3EEDA0DD" w14:textId="77777777" w:rsidR="00FD77F0" w:rsidRDefault="00FD77F0">
            <w:pPr>
              <w:jc w:val="right"/>
              <w:rPr>
                <w:rFonts w:cs="Arial"/>
                <w:b/>
                <w:bCs/>
                <w:sz w:val="16"/>
                <w:szCs w:val="16"/>
              </w:rPr>
            </w:pPr>
            <w:r>
              <w:rPr>
                <w:rFonts w:cs="Arial"/>
                <w:b/>
                <w:bCs/>
                <w:sz w:val="16"/>
                <w:szCs w:val="16"/>
              </w:rPr>
              <w:t>20,5</w:t>
            </w:r>
          </w:p>
        </w:tc>
        <w:tc>
          <w:tcPr>
            <w:tcW w:w="0" w:type="auto"/>
            <w:tcBorders>
              <w:top w:val="nil"/>
              <w:left w:val="nil"/>
              <w:bottom w:val="nil"/>
              <w:right w:val="nil"/>
            </w:tcBorders>
            <w:shd w:val="clear" w:color="auto" w:fill="DAEEF3" w:themeFill="accent5" w:themeFillTint="33"/>
            <w:noWrap/>
            <w:tcMar>
              <w:top w:w="15" w:type="dxa"/>
              <w:left w:w="15" w:type="dxa"/>
              <w:bottom w:w="0" w:type="dxa"/>
              <w:right w:w="57" w:type="dxa"/>
            </w:tcMar>
            <w:vAlign w:val="center"/>
            <w:hideMark/>
          </w:tcPr>
          <w:p w14:paraId="3D4102C5" w14:textId="77777777" w:rsidR="00FD77F0" w:rsidRDefault="00FD77F0">
            <w:pPr>
              <w:jc w:val="right"/>
              <w:rPr>
                <w:rFonts w:cs="Arial"/>
                <w:b/>
                <w:bCs/>
                <w:sz w:val="16"/>
                <w:szCs w:val="16"/>
              </w:rPr>
            </w:pPr>
            <w:r>
              <w:rPr>
                <w:rFonts w:cs="Arial"/>
                <w:b/>
                <w:bCs/>
                <w:sz w:val="16"/>
                <w:szCs w:val="16"/>
              </w:rPr>
              <w:t>23,0</w:t>
            </w:r>
          </w:p>
        </w:tc>
        <w:tc>
          <w:tcPr>
            <w:tcW w:w="0" w:type="auto"/>
            <w:tcBorders>
              <w:top w:val="nil"/>
              <w:left w:val="nil"/>
              <w:bottom w:val="nil"/>
              <w:right w:val="nil"/>
            </w:tcBorders>
            <w:shd w:val="clear" w:color="auto" w:fill="DAEEF3" w:themeFill="accent5" w:themeFillTint="33"/>
            <w:noWrap/>
            <w:tcMar>
              <w:top w:w="15" w:type="dxa"/>
              <w:left w:w="15" w:type="dxa"/>
              <w:bottom w:w="0" w:type="dxa"/>
              <w:right w:w="57" w:type="dxa"/>
            </w:tcMar>
            <w:vAlign w:val="center"/>
            <w:hideMark/>
          </w:tcPr>
          <w:p w14:paraId="02141A29" w14:textId="77777777" w:rsidR="00FD77F0" w:rsidRDefault="00FD77F0">
            <w:pPr>
              <w:jc w:val="right"/>
              <w:rPr>
                <w:rFonts w:cs="Arial"/>
                <w:b/>
                <w:bCs/>
                <w:sz w:val="16"/>
                <w:szCs w:val="16"/>
              </w:rPr>
            </w:pPr>
            <w:r>
              <w:rPr>
                <w:rFonts w:cs="Arial"/>
                <w:b/>
                <w:bCs/>
                <w:sz w:val="16"/>
                <w:szCs w:val="16"/>
              </w:rPr>
              <w:t>22,6</w:t>
            </w:r>
          </w:p>
        </w:tc>
        <w:tc>
          <w:tcPr>
            <w:tcW w:w="0" w:type="auto"/>
            <w:tcBorders>
              <w:top w:val="nil"/>
              <w:left w:val="nil"/>
              <w:bottom w:val="nil"/>
              <w:right w:val="nil"/>
            </w:tcBorders>
            <w:shd w:val="clear" w:color="auto" w:fill="DAEEF3" w:themeFill="accent5" w:themeFillTint="33"/>
            <w:noWrap/>
            <w:tcMar>
              <w:top w:w="15" w:type="dxa"/>
              <w:left w:w="15" w:type="dxa"/>
              <w:bottom w:w="0" w:type="dxa"/>
              <w:right w:w="57" w:type="dxa"/>
            </w:tcMar>
            <w:vAlign w:val="center"/>
            <w:hideMark/>
          </w:tcPr>
          <w:p w14:paraId="583C3B29" w14:textId="77777777" w:rsidR="00FD77F0" w:rsidRDefault="00FD77F0">
            <w:pPr>
              <w:jc w:val="right"/>
              <w:rPr>
                <w:rFonts w:cs="Arial"/>
                <w:b/>
                <w:bCs/>
                <w:sz w:val="16"/>
                <w:szCs w:val="16"/>
              </w:rPr>
            </w:pPr>
            <w:r>
              <w:rPr>
                <w:rFonts w:cs="Arial"/>
                <w:b/>
                <w:bCs/>
                <w:sz w:val="16"/>
                <w:szCs w:val="16"/>
              </w:rPr>
              <w:t>25,8</w:t>
            </w:r>
          </w:p>
        </w:tc>
        <w:tc>
          <w:tcPr>
            <w:tcW w:w="0" w:type="auto"/>
            <w:tcBorders>
              <w:top w:val="nil"/>
              <w:left w:val="nil"/>
              <w:bottom w:val="nil"/>
              <w:right w:val="nil"/>
            </w:tcBorders>
            <w:shd w:val="clear" w:color="auto" w:fill="DAEEF3" w:themeFill="accent5" w:themeFillTint="33"/>
            <w:noWrap/>
            <w:tcMar>
              <w:top w:w="15" w:type="dxa"/>
              <w:left w:w="15" w:type="dxa"/>
              <w:bottom w:w="0" w:type="dxa"/>
              <w:right w:w="57" w:type="dxa"/>
            </w:tcMar>
            <w:vAlign w:val="center"/>
            <w:hideMark/>
          </w:tcPr>
          <w:p w14:paraId="19B66A71" w14:textId="77777777" w:rsidR="00FD77F0" w:rsidRDefault="00FD77F0">
            <w:pPr>
              <w:jc w:val="right"/>
              <w:rPr>
                <w:rFonts w:cs="Arial"/>
                <w:b/>
                <w:bCs/>
                <w:sz w:val="16"/>
                <w:szCs w:val="16"/>
              </w:rPr>
            </w:pPr>
            <w:r>
              <w:rPr>
                <w:rFonts w:cs="Arial"/>
                <w:b/>
                <w:bCs/>
                <w:sz w:val="16"/>
                <w:szCs w:val="16"/>
              </w:rPr>
              <w:t>26,2</w:t>
            </w:r>
          </w:p>
        </w:tc>
        <w:tc>
          <w:tcPr>
            <w:tcW w:w="0" w:type="auto"/>
            <w:tcBorders>
              <w:top w:val="nil"/>
              <w:left w:val="nil"/>
              <w:bottom w:val="nil"/>
              <w:right w:val="nil"/>
            </w:tcBorders>
            <w:shd w:val="clear" w:color="auto" w:fill="DAEEF3" w:themeFill="accent5" w:themeFillTint="33"/>
            <w:noWrap/>
            <w:tcMar>
              <w:top w:w="15" w:type="dxa"/>
              <w:left w:w="15" w:type="dxa"/>
              <w:bottom w:w="0" w:type="dxa"/>
              <w:right w:w="57" w:type="dxa"/>
            </w:tcMar>
            <w:vAlign w:val="center"/>
            <w:hideMark/>
          </w:tcPr>
          <w:p w14:paraId="061E33AA" w14:textId="77777777" w:rsidR="00FD77F0" w:rsidRDefault="00FD77F0">
            <w:pPr>
              <w:jc w:val="right"/>
              <w:rPr>
                <w:rFonts w:cs="Arial"/>
                <w:b/>
                <w:bCs/>
                <w:sz w:val="16"/>
                <w:szCs w:val="16"/>
              </w:rPr>
            </w:pPr>
            <w:r>
              <w:rPr>
                <w:rFonts w:cs="Arial"/>
                <w:b/>
                <w:bCs/>
                <w:sz w:val="16"/>
                <w:szCs w:val="16"/>
              </w:rPr>
              <w:t>26,7</w:t>
            </w:r>
          </w:p>
        </w:tc>
        <w:tc>
          <w:tcPr>
            <w:tcW w:w="0" w:type="auto"/>
            <w:tcBorders>
              <w:top w:val="nil"/>
              <w:left w:val="nil"/>
              <w:bottom w:val="nil"/>
              <w:right w:val="nil"/>
            </w:tcBorders>
            <w:shd w:val="clear" w:color="auto" w:fill="DAEEF3" w:themeFill="accent5" w:themeFillTint="33"/>
            <w:noWrap/>
            <w:tcMar>
              <w:top w:w="15" w:type="dxa"/>
              <w:left w:w="15" w:type="dxa"/>
              <w:bottom w:w="0" w:type="dxa"/>
              <w:right w:w="57" w:type="dxa"/>
            </w:tcMar>
            <w:vAlign w:val="center"/>
            <w:hideMark/>
          </w:tcPr>
          <w:p w14:paraId="4FB0C697" w14:textId="77777777" w:rsidR="00FD77F0" w:rsidRDefault="00FD77F0">
            <w:pPr>
              <w:jc w:val="right"/>
              <w:rPr>
                <w:rFonts w:cs="Arial"/>
                <w:b/>
                <w:bCs/>
                <w:sz w:val="16"/>
                <w:szCs w:val="16"/>
              </w:rPr>
            </w:pPr>
            <w:r>
              <w:rPr>
                <w:rFonts w:cs="Arial"/>
                <w:b/>
                <w:bCs/>
                <w:sz w:val="16"/>
                <w:szCs w:val="16"/>
              </w:rPr>
              <w:t>27,3</w:t>
            </w:r>
          </w:p>
        </w:tc>
        <w:tc>
          <w:tcPr>
            <w:tcW w:w="0" w:type="auto"/>
            <w:tcBorders>
              <w:top w:val="nil"/>
              <w:left w:val="nil"/>
              <w:bottom w:val="nil"/>
              <w:right w:val="nil"/>
            </w:tcBorders>
            <w:shd w:val="clear" w:color="auto" w:fill="DAEEF3" w:themeFill="accent5" w:themeFillTint="33"/>
            <w:noWrap/>
            <w:tcMar>
              <w:top w:w="15" w:type="dxa"/>
              <w:left w:w="15" w:type="dxa"/>
              <w:bottom w:w="0" w:type="dxa"/>
              <w:right w:w="57" w:type="dxa"/>
            </w:tcMar>
            <w:vAlign w:val="center"/>
            <w:hideMark/>
          </w:tcPr>
          <w:p w14:paraId="4BBF73C9" w14:textId="77777777" w:rsidR="00FD77F0" w:rsidRDefault="00FD77F0">
            <w:pPr>
              <w:jc w:val="right"/>
              <w:rPr>
                <w:rFonts w:cs="Arial"/>
                <w:b/>
                <w:bCs/>
                <w:sz w:val="16"/>
                <w:szCs w:val="16"/>
              </w:rPr>
            </w:pPr>
            <w:r>
              <w:rPr>
                <w:rFonts w:cs="Arial"/>
                <w:b/>
                <w:bCs/>
                <w:sz w:val="16"/>
                <w:szCs w:val="16"/>
              </w:rPr>
              <w:t>27,9</w:t>
            </w:r>
          </w:p>
        </w:tc>
        <w:tc>
          <w:tcPr>
            <w:tcW w:w="0" w:type="auto"/>
            <w:tcBorders>
              <w:top w:val="nil"/>
              <w:left w:val="nil"/>
              <w:bottom w:val="nil"/>
              <w:right w:val="nil"/>
            </w:tcBorders>
            <w:shd w:val="clear" w:color="auto" w:fill="DAEEF3" w:themeFill="accent5" w:themeFillTint="33"/>
            <w:noWrap/>
            <w:tcMar>
              <w:top w:w="15" w:type="dxa"/>
              <w:left w:w="15" w:type="dxa"/>
              <w:bottom w:w="0" w:type="dxa"/>
              <w:right w:w="57" w:type="dxa"/>
            </w:tcMar>
            <w:vAlign w:val="center"/>
            <w:hideMark/>
          </w:tcPr>
          <w:p w14:paraId="0AC9B333" w14:textId="77777777" w:rsidR="00FD77F0" w:rsidRDefault="00FD77F0">
            <w:pPr>
              <w:jc w:val="right"/>
              <w:rPr>
                <w:rFonts w:cs="Arial"/>
                <w:b/>
                <w:bCs/>
                <w:sz w:val="16"/>
                <w:szCs w:val="16"/>
              </w:rPr>
            </w:pPr>
            <w:r>
              <w:rPr>
                <w:rFonts w:cs="Arial"/>
                <w:b/>
                <w:bCs/>
                <w:sz w:val="16"/>
                <w:szCs w:val="16"/>
              </w:rPr>
              <w:t>28,0</w:t>
            </w:r>
          </w:p>
        </w:tc>
        <w:tc>
          <w:tcPr>
            <w:tcW w:w="0" w:type="auto"/>
            <w:tcBorders>
              <w:top w:val="nil"/>
              <w:left w:val="nil"/>
              <w:bottom w:val="nil"/>
              <w:right w:val="nil"/>
            </w:tcBorders>
            <w:shd w:val="clear" w:color="auto" w:fill="DAEEF3" w:themeFill="accent5" w:themeFillTint="33"/>
            <w:noWrap/>
            <w:tcMar>
              <w:top w:w="15" w:type="dxa"/>
              <w:left w:w="15" w:type="dxa"/>
              <w:bottom w:w="0" w:type="dxa"/>
              <w:right w:w="57" w:type="dxa"/>
            </w:tcMar>
            <w:vAlign w:val="center"/>
            <w:hideMark/>
          </w:tcPr>
          <w:p w14:paraId="76EC6272" w14:textId="77777777" w:rsidR="00FD77F0" w:rsidRDefault="00FD77F0">
            <w:pPr>
              <w:jc w:val="right"/>
              <w:rPr>
                <w:rFonts w:cs="Arial"/>
                <w:b/>
                <w:bCs/>
                <w:sz w:val="16"/>
                <w:szCs w:val="16"/>
              </w:rPr>
            </w:pPr>
            <w:r>
              <w:rPr>
                <w:rFonts w:cs="Arial"/>
                <w:b/>
                <w:bCs/>
                <w:sz w:val="16"/>
                <w:szCs w:val="16"/>
              </w:rPr>
              <w:t>30,7</w:t>
            </w:r>
          </w:p>
        </w:tc>
      </w:tr>
      <w:tr w:rsidR="00FD77F0" w14:paraId="3812C98A" w14:textId="77777777" w:rsidTr="00BA1EEC">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C8B7079" w14:textId="77777777" w:rsidR="00FD77F0" w:rsidRPr="00BA1EEC" w:rsidRDefault="00FD77F0">
            <w:pPr>
              <w:rPr>
                <w:rFonts w:cs="Arial"/>
                <w:i/>
                <w:sz w:val="16"/>
                <w:szCs w:val="16"/>
              </w:rPr>
            </w:pPr>
            <w:r w:rsidRPr="00BA1EEC">
              <w:rPr>
                <w:rFonts w:cs="Arial"/>
                <w:i/>
                <w:sz w:val="16"/>
                <w:szCs w:val="16"/>
              </w:rPr>
              <w:t>Schválené výdaje*</w:t>
            </w:r>
          </w:p>
        </w:tc>
        <w:tc>
          <w:tcPr>
            <w:tcW w:w="0" w:type="auto"/>
            <w:tcBorders>
              <w:top w:val="nil"/>
              <w:left w:val="single" w:sz="4" w:space="0" w:color="808080"/>
              <w:bottom w:val="nil"/>
              <w:right w:val="single" w:sz="4" w:space="0" w:color="808080"/>
            </w:tcBorders>
            <w:shd w:val="clear" w:color="auto" w:fill="auto"/>
            <w:noWrap/>
            <w:tcMar>
              <w:top w:w="15" w:type="dxa"/>
              <w:left w:w="15" w:type="dxa"/>
              <w:bottom w:w="0" w:type="dxa"/>
              <w:right w:w="57" w:type="dxa"/>
            </w:tcMar>
            <w:vAlign w:val="center"/>
            <w:hideMark/>
          </w:tcPr>
          <w:p w14:paraId="0C66D562" w14:textId="77777777" w:rsidR="00FD77F0" w:rsidRPr="00BA1EEC" w:rsidRDefault="00FD77F0">
            <w:pPr>
              <w:jc w:val="right"/>
              <w:rPr>
                <w:rFonts w:cs="Arial"/>
                <w:i/>
                <w:iCs/>
                <w:sz w:val="16"/>
                <w:szCs w:val="16"/>
              </w:rPr>
            </w:pPr>
            <w:r w:rsidRPr="00BA1EEC">
              <w:rPr>
                <w:rFonts w:cs="Arial"/>
                <w:i/>
                <w:iCs/>
                <w:sz w:val="16"/>
                <w:szCs w:val="16"/>
              </w:rPr>
              <w:t>-</w:t>
            </w:r>
          </w:p>
        </w:tc>
        <w:tc>
          <w:tcPr>
            <w:tcW w:w="0" w:type="auto"/>
            <w:tcBorders>
              <w:top w:val="nil"/>
              <w:left w:val="nil"/>
              <w:bottom w:val="nil"/>
              <w:right w:val="single" w:sz="4" w:space="0" w:color="808080"/>
            </w:tcBorders>
            <w:shd w:val="clear" w:color="auto" w:fill="auto"/>
            <w:noWrap/>
            <w:tcMar>
              <w:top w:w="15" w:type="dxa"/>
              <w:left w:w="15" w:type="dxa"/>
              <w:bottom w:w="0" w:type="dxa"/>
              <w:right w:w="57" w:type="dxa"/>
            </w:tcMar>
            <w:vAlign w:val="center"/>
            <w:hideMark/>
          </w:tcPr>
          <w:p w14:paraId="6014DB27" w14:textId="77777777" w:rsidR="00FD77F0" w:rsidRPr="00BA1EEC" w:rsidRDefault="00FD77F0">
            <w:pPr>
              <w:jc w:val="right"/>
              <w:rPr>
                <w:rFonts w:cs="Arial"/>
                <w:i/>
                <w:iCs/>
                <w:sz w:val="16"/>
                <w:szCs w:val="16"/>
              </w:rPr>
            </w:pPr>
            <w:r w:rsidRPr="00BA1EEC">
              <w:rPr>
                <w:rFonts w:cs="Arial"/>
                <w:i/>
                <w:iCs/>
                <w:sz w:val="16"/>
                <w:szCs w:val="16"/>
              </w:rPr>
              <w:t>-</w:t>
            </w:r>
          </w:p>
        </w:tc>
        <w:tc>
          <w:tcPr>
            <w:tcW w:w="0" w:type="auto"/>
            <w:tcBorders>
              <w:top w:val="nil"/>
              <w:left w:val="nil"/>
              <w:bottom w:val="nil"/>
              <w:right w:val="nil"/>
            </w:tcBorders>
            <w:shd w:val="clear" w:color="auto" w:fill="auto"/>
            <w:noWrap/>
            <w:tcMar>
              <w:top w:w="15" w:type="dxa"/>
              <w:left w:w="15" w:type="dxa"/>
              <w:bottom w:w="0" w:type="dxa"/>
              <w:right w:w="57" w:type="dxa"/>
            </w:tcMar>
            <w:vAlign w:val="center"/>
            <w:hideMark/>
          </w:tcPr>
          <w:p w14:paraId="1B285D1C" w14:textId="77777777" w:rsidR="00FD77F0" w:rsidRPr="00BA1EEC" w:rsidRDefault="00FD77F0">
            <w:pPr>
              <w:jc w:val="right"/>
              <w:rPr>
                <w:rFonts w:cs="Arial"/>
                <w:i/>
                <w:color w:val="000000"/>
                <w:sz w:val="16"/>
                <w:szCs w:val="16"/>
              </w:rPr>
            </w:pPr>
            <w:r w:rsidRPr="00BA1EEC">
              <w:rPr>
                <w:rFonts w:cs="Arial"/>
                <w:i/>
                <w:color w:val="000000"/>
                <w:sz w:val="16"/>
                <w:szCs w:val="16"/>
              </w:rPr>
              <w:t>25,1</w:t>
            </w:r>
          </w:p>
        </w:tc>
        <w:tc>
          <w:tcPr>
            <w:tcW w:w="0" w:type="auto"/>
            <w:tcBorders>
              <w:top w:val="nil"/>
              <w:left w:val="nil"/>
              <w:bottom w:val="nil"/>
              <w:right w:val="nil"/>
            </w:tcBorders>
            <w:shd w:val="clear" w:color="auto" w:fill="auto"/>
            <w:noWrap/>
            <w:tcMar>
              <w:top w:w="15" w:type="dxa"/>
              <w:left w:w="15" w:type="dxa"/>
              <w:bottom w:w="0" w:type="dxa"/>
              <w:right w:w="57" w:type="dxa"/>
            </w:tcMar>
            <w:vAlign w:val="center"/>
            <w:hideMark/>
          </w:tcPr>
          <w:p w14:paraId="7688AAE6" w14:textId="77777777" w:rsidR="00FD77F0" w:rsidRPr="00BA1EEC" w:rsidRDefault="00FD77F0">
            <w:pPr>
              <w:jc w:val="right"/>
              <w:rPr>
                <w:rFonts w:cs="Arial"/>
                <w:i/>
                <w:color w:val="000000"/>
                <w:sz w:val="16"/>
                <w:szCs w:val="16"/>
              </w:rPr>
            </w:pPr>
            <w:r w:rsidRPr="00BA1EEC">
              <w:rPr>
                <w:rFonts w:cs="Arial"/>
                <w:i/>
                <w:color w:val="000000"/>
                <w:sz w:val="16"/>
                <w:szCs w:val="16"/>
              </w:rPr>
              <w:t>23,1</w:t>
            </w:r>
          </w:p>
        </w:tc>
        <w:tc>
          <w:tcPr>
            <w:tcW w:w="0" w:type="auto"/>
            <w:tcBorders>
              <w:top w:val="nil"/>
              <w:left w:val="nil"/>
              <w:bottom w:val="nil"/>
              <w:right w:val="nil"/>
            </w:tcBorders>
            <w:shd w:val="clear" w:color="auto" w:fill="auto"/>
            <w:noWrap/>
            <w:tcMar>
              <w:top w:w="15" w:type="dxa"/>
              <w:left w:w="15" w:type="dxa"/>
              <w:bottom w:w="0" w:type="dxa"/>
              <w:right w:w="57" w:type="dxa"/>
            </w:tcMar>
            <w:vAlign w:val="center"/>
            <w:hideMark/>
          </w:tcPr>
          <w:p w14:paraId="74112E71" w14:textId="77777777" w:rsidR="00FD77F0" w:rsidRPr="00BA1EEC" w:rsidRDefault="00FD77F0">
            <w:pPr>
              <w:jc w:val="right"/>
              <w:rPr>
                <w:rFonts w:cs="Arial"/>
                <w:i/>
                <w:color w:val="000000"/>
                <w:sz w:val="16"/>
                <w:szCs w:val="16"/>
              </w:rPr>
            </w:pPr>
            <w:r w:rsidRPr="00BA1EEC">
              <w:rPr>
                <w:rFonts w:cs="Arial"/>
                <w:i/>
                <w:color w:val="000000"/>
                <w:sz w:val="16"/>
                <w:szCs w:val="16"/>
              </w:rPr>
              <w:t>32,4</w:t>
            </w:r>
          </w:p>
        </w:tc>
        <w:tc>
          <w:tcPr>
            <w:tcW w:w="0" w:type="auto"/>
            <w:tcBorders>
              <w:top w:val="nil"/>
              <w:left w:val="nil"/>
              <w:bottom w:val="nil"/>
              <w:right w:val="nil"/>
            </w:tcBorders>
            <w:shd w:val="clear" w:color="auto" w:fill="auto"/>
            <w:noWrap/>
            <w:tcMar>
              <w:top w:w="15" w:type="dxa"/>
              <w:left w:w="15" w:type="dxa"/>
              <w:bottom w:w="0" w:type="dxa"/>
              <w:right w:w="57" w:type="dxa"/>
            </w:tcMar>
            <w:vAlign w:val="center"/>
            <w:hideMark/>
          </w:tcPr>
          <w:p w14:paraId="522F8CAD" w14:textId="77777777" w:rsidR="00FD77F0" w:rsidRPr="00BA1EEC" w:rsidRDefault="00FD77F0">
            <w:pPr>
              <w:jc w:val="right"/>
              <w:rPr>
                <w:rFonts w:cs="Arial"/>
                <w:i/>
                <w:color w:val="000000"/>
                <w:sz w:val="16"/>
                <w:szCs w:val="16"/>
              </w:rPr>
            </w:pPr>
            <w:r w:rsidRPr="00BA1EEC">
              <w:rPr>
                <w:rFonts w:cs="Arial"/>
                <w:i/>
                <w:color w:val="000000"/>
                <w:sz w:val="16"/>
                <w:szCs w:val="16"/>
              </w:rPr>
              <w:t>29,4</w:t>
            </w:r>
          </w:p>
        </w:tc>
        <w:tc>
          <w:tcPr>
            <w:tcW w:w="0" w:type="auto"/>
            <w:tcBorders>
              <w:top w:val="nil"/>
              <w:left w:val="nil"/>
              <w:bottom w:val="nil"/>
              <w:right w:val="nil"/>
            </w:tcBorders>
            <w:shd w:val="clear" w:color="auto" w:fill="auto"/>
            <w:noWrap/>
            <w:tcMar>
              <w:top w:w="15" w:type="dxa"/>
              <w:left w:w="15" w:type="dxa"/>
              <w:bottom w:w="0" w:type="dxa"/>
              <w:right w:w="57" w:type="dxa"/>
            </w:tcMar>
            <w:vAlign w:val="center"/>
            <w:hideMark/>
          </w:tcPr>
          <w:p w14:paraId="0534AAC8" w14:textId="77777777" w:rsidR="00FD77F0" w:rsidRPr="00BA1EEC" w:rsidRDefault="00FD77F0">
            <w:pPr>
              <w:jc w:val="right"/>
              <w:rPr>
                <w:rFonts w:cs="Arial"/>
                <w:i/>
                <w:color w:val="000000"/>
                <w:sz w:val="16"/>
                <w:szCs w:val="16"/>
              </w:rPr>
            </w:pPr>
            <w:r w:rsidRPr="00BA1EEC">
              <w:rPr>
                <w:rFonts w:cs="Arial"/>
                <w:i/>
                <w:color w:val="000000"/>
                <w:sz w:val="16"/>
                <w:szCs w:val="16"/>
              </w:rPr>
              <w:t>28,9</w:t>
            </w:r>
          </w:p>
        </w:tc>
        <w:tc>
          <w:tcPr>
            <w:tcW w:w="0" w:type="auto"/>
            <w:tcBorders>
              <w:top w:val="nil"/>
              <w:left w:val="nil"/>
              <w:bottom w:val="nil"/>
              <w:right w:val="nil"/>
            </w:tcBorders>
            <w:shd w:val="clear" w:color="auto" w:fill="auto"/>
            <w:noWrap/>
            <w:tcMar>
              <w:top w:w="15" w:type="dxa"/>
              <w:left w:w="15" w:type="dxa"/>
              <w:bottom w:w="0" w:type="dxa"/>
              <w:right w:w="57" w:type="dxa"/>
            </w:tcMar>
            <w:vAlign w:val="center"/>
            <w:hideMark/>
          </w:tcPr>
          <w:p w14:paraId="50887DA4" w14:textId="77777777" w:rsidR="00FD77F0" w:rsidRPr="00BA1EEC" w:rsidRDefault="00FD77F0">
            <w:pPr>
              <w:jc w:val="right"/>
              <w:rPr>
                <w:rFonts w:cs="Arial"/>
                <w:i/>
                <w:iCs/>
                <w:sz w:val="16"/>
                <w:szCs w:val="16"/>
              </w:rPr>
            </w:pPr>
            <w:r w:rsidRPr="00BA1EEC">
              <w:rPr>
                <w:rFonts w:cs="Arial"/>
                <w:i/>
                <w:iCs/>
                <w:sz w:val="16"/>
                <w:szCs w:val="16"/>
              </w:rPr>
              <w:t>38,7</w:t>
            </w:r>
          </w:p>
        </w:tc>
        <w:tc>
          <w:tcPr>
            <w:tcW w:w="0" w:type="auto"/>
            <w:tcBorders>
              <w:top w:val="nil"/>
              <w:left w:val="nil"/>
              <w:bottom w:val="nil"/>
              <w:right w:val="nil"/>
            </w:tcBorders>
            <w:shd w:val="clear" w:color="auto" w:fill="auto"/>
            <w:noWrap/>
            <w:tcMar>
              <w:top w:w="15" w:type="dxa"/>
              <w:left w:w="15" w:type="dxa"/>
              <w:bottom w:w="0" w:type="dxa"/>
              <w:right w:w="57" w:type="dxa"/>
            </w:tcMar>
            <w:vAlign w:val="center"/>
            <w:hideMark/>
          </w:tcPr>
          <w:p w14:paraId="1F48E541" w14:textId="77777777" w:rsidR="00FD77F0" w:rsidRPr="00BA1EEC" w:rsidRDefault="00FD77F0">
            <w:pPr>
              <w:jc w:val="right"/>
              <w:rPr>
                <w:rFonts w:cs="Arial"/>
                <w:i/>
                <w:iCs/>
                <w:sz w:val="16"/>
                <w:szCs w:val="16"/>
              </w:rPr>
            </w:pPr>
            <w:r w:rsidRPr="00BA1EEC">
              <w:rPr>
                <w:rFonts w:cs="Arial"/>
                <w:i/>
                <w:iCs/>
                <w:sz w:val="16"/>
                <w:szCs w:val="16"/>
              </w:rPr>
              <w:t>40,1</w:t>
            </w:r>
          </w:p>
        </w:tc>
        <w:tc>
          <w:tcPr>
            <w:tcW w:w="0" w:type="auto"/>
            <w:tcBorders>
              <w:top w:val="nil"/>
              <w:left w:val="nil"/>
              <w:bottom w:val="nil"/>
              <w:right w:val="nil"/>
            </w:tcBorders>
            <w:shd w:val="clear" w:color="auto" w:fill="auto"/>
            <w:noWrap/>
            <w:tcMar>
              <w:top w:w="15" w:type="dxa"/>
              <w:left w:w="15" w:type="dxa"/>
              <w:bottom w:w="0" w:type="dxa"/>
              <w:right w:w="57" w:type="dxa"/>
            </w:tcMar>
            <w:vAlign w:val="center"/>
            <w:hideMark/>
          </w:tcPr>
          <w:p w14:paraId="4A8FBEF0" w14:textId="77777777" w:rsidR="00FD77F0" w:rsidRPr="00BA1EEC" w:rsidRDefault="00FD77F0">
            <w:pPr>
              <w:jc w:val="right"/>
              <w:rPr>
                <w:rFonts w:cs="Arial"/>
                <w:i/>
                <w:iCs/>
                <w:sz w:val="16"/>
                <w:szCs w:val="16"/>
              </w:rPr>
            </w:pPr>
            <w:r w:rsidRPr="00BA1EEC">
              <w:rPr>
                <w:rFonts w:cs="Arial"/>
                <w:i/>
                <w:iCs/>
                <w:sz w:val="16"/>
                <w:szCs w:val="16"/>
              </w:rPr>
              <w:t>34,6</w:t>
            </w:r>
          </w:p>
        </w:tc>
        <w:tc>
          <w:tcPr>
            <w:tcW w:w="0" w:type="auto"/>
            <w:tcBorders>
              <w:top w:val="nil"/>
              <w:left w:val="nil"/>
              <w:bottom w:val="nil"/>
              <w:right w:val="nil"/>
            </w:tcBorders>
            <w:shd w:val="clear" w:color="auto" w:fill="auto"/>
            <w:noWrap/>
            <w:tcMar>
              <w:top w:w="15" w:type="dxa"/>
              <w:left w:w="15" w:type="dxa"/>
              <w:bottom w:w="0" w:type="dxa"/>
              <w:right w:w="57" w:type="dxa"/>
            </w:tcMar>
            <w:vAlign w:val="center"/>
            <w:hideMark/>
          </w:tcPr>
          <w:p w14:paraId="079CCC3E" w14:textId="77777777" w:rsidR="00FD77F0" w:rsidRPr="00BA1EEC" w:rsidRDefault="00FD77F0">
            <w:pPr>
              <w:jc w:val="right"/>
              <w:rPr>
                <w:rFonts w:cs="Arial"/>
                <w:i/>
                <w:iCs/>
                <w:sz w:val="16"/>
                <w:szCs w:val="16"/>
              </w:rPr>
            </w:pPr>
            <w:r w:rsidRPr="00BA1EEC">
              <w:rPr>
                <w:rFonts w:cs="Arial"/>
                <w:i/>
                <w:iCs/>
                <w:sz w:val="16"/>
                <w:szCs w:val="16"/>
              </w:rPr>
              <w:t>34,9</w:t>
            </w:r>
          </w:p>
        </w:tc>
        <w:tc>
          <w:tcPr>
            <w:tcW w:w="0" w:type="auto"/>
            <w:tcBorders>
              <w:top w:val="nil"/>
              <w:left w:val="nil"/>
              <w:bottom w:val="nil"/>
              <w:right w:val="nil"/>
            </w:tcBorders>
            <w:shd w:val="clear" w:color="auto" w:fill="auto"/>
            <w:noWrap/>
            <w:tcMar>
              <w:top w:w="15" w:type="dxa"/>
              <w:left w:w="15" w:type="dxa"/>
              <w:bottom w:w="0" w:type="dxa"/>
              <w:right w:w="57" w:type="dxa"/>
            </w:tcMar>
            <w:vAlign w:val="center"/>
            <w:hideMark/>
          </w:tcPr>
          <w:p w14:paraId="25540BD7" w14:textId="77777777" w:rsidR="00FD77F0" w:rsidRPr="00BA1EEC" w:rsidRDefault="00FD77F0">
            <w:pPr>
              <w:jc w:val="right"/>
              <w:rPr>
                <w:rFonts w:cs="Arial"/>
                <w:i/>
                <w:iCs/>
                <w:sz w:val="16"/>
                <w:szCs w:val="16"/>
              </w:rPr>
            </w:pPr>
            <w:r w:rsidRPr="00BA1EEC">
              <w:rPr>
                <w:rFonts w:cs="Arial"/>
                <w:i/>
                <w:iCs/>
                <w:sz w:val="16"/>
                <w:szCs w:val="16"/>
              </w:rPr>
              <w:t>35,7</w:t>
            </w:r>
          </w:p>
        </w:tc>
        <w:tc>
          <w:tcPr>
            <w:tcW w:w="0" w:type="auto"/>
            <w:tcBorders>
              <w:top w:val="nil"/>
              <w:left w:val="nil"/>
              <w:bottom w:val="nil"/>
              <w:right w:val="nil"/>
            </w:tcBorders>
            <w:shd w:val="clear" w:color="auto" w:fill="auto"/>
            <w:noWrap/>
            <w:tcMar>
              <w:top w:w="15" w:type="dxa"/>
              <w:left w:w="15" w:type="dxa"/>
              <w:bottom w:w="0" w:type="dxa"/>
              <w:right w:w="57" w:type="dxa"/>
            </w:tcMar>
            <w:vAlign w:val="center"/>
            <w:hideMark/>
          </w:tcPr>
          <w:p w14:paraId="2456FC1E" w14:textId="77777777" w:rsidR="00FD77F0" w:rsidRPr="00BA1EEC" w:rsidRDefault="00FD77F0">
            <w:pPr>
              <w:jc w:val="right"/>
              <w:rPr>
                <w:rFonts w:cs="Arial"/>
                <w:i/>
                <w:iCs/>
                <w:sz w:val="16"/>
                <w:szCs w:val="16"/>
              </w:rPr>
            </w:pPr>
            <w:r w:rsidRPr="00BA1EEC">
              <w:rPr>
                <w:rFonts w:cs="Arial"/>
                <w:i/>
                <w:iCs/>
                <w:sz w:val="16"/>
                <w:szCs w:val="16"/>
              </w:rPr>
              <w:t>40,1</w:t>
            </w:r>
          </w:p>
        </w:tc>
      </w:tr>
      <w:tr w:rsidR="00FD77F0" w14:paraId="68CD6A49" w14:textId="77777777" w:rsidTr="00BA1EEC">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CA8747" w14:textId="286C5373" w:rsidR="00FD77F0" w:rsidRPr="00BA1EEC" w:rsidRDefault="00FD77F0" w:rsidP="00BA1EEC">
            <w:pPr>
              <w:rPr>
                <w:rFonts w:cs="Arial"/>
                <w:b/>
                <w:bCs/>
                <w:i/>
                <w:sz w:val="16"/>
                <w:szCs w:val="16"/>
              </w:rPr>
            </w:pPr>
            <w:r w:rsidRPr="00BA1EEC">
              <w:rPr>
                <w:rFonts w:cs="Arial"/>
                <w:b/>
                <w:bCs/>
                <w:i/>
                <w:sz w:val="16"/>
                <w:szCs w:val="16"/>
              </w:rPr>
              <w:t>Skutečné výdaje*</w:t>
            </w:r>
          </w:p>
        </w:tc>
        <w:tc>
          <w:tcPr>
            <w:tcW w:w="0" w:type="auto"/>
            <w:tcBorders>
              <w:top w:val="nil"/>
              <w:left w:val="single" w:sz="4" w:space="0" w:color="808080"/>
              <w:bottom w:val="nil"/>
              <w:right w:val="single" w:sz="4" w:space="0" w:color="808080"/>
            </w:tcBorders>
            <w:shd w:val="clear" w:color="auto" w:fill="auto"/>
            <w:noWrap/>
            <w:tcMar>
              <w:top w:w="15" w:type="dxa"/>
              <w:left w:w="15" w:type="dxa"/>
              <w:bottom w:w="0" w:type="dxa"/>
              <w:right w:w="57" w:type="dxa"/>
            </w:tcMar>
            <w:vAlign w:val="center"/>
            <w:hideMark/>
          </w:tcPr>
          <w:p w14:paraId="4BB487F5" w14:textId="77777777" w:rsidR="00FD77F0" w:rsidRPr="00BA1EEC" w:rsidRDefault="00FD77F0">
            <w:pPr>
              <w:jc w:val="right"/>
              <w:rPr>
                <w:rFonts w:cs="Arial"/>
                <w:i/>
                <w:iCs/>
                <w:sz w:val="16"/>
                <w:szCs w:val="16"/>
              </w:rPr>
            </w:pPr>
            <w:r w:rsidRPr="00BA1EEC">
              <w:rPr>
                <w:rFonts w:cs="Arial"/>
                <w:i/>
                <w:iCs/>
                <w:sz w:val="16"/>
                <w:szCs w:val="16"/>
              </w:rPr>
              <w:t>-</w:t>
            </w:r>
          </w:p>
        </w:tc>
        <w:tc>
          <w:tcPr>
            <w:tcW w:w="0" w:type="auto"/>
            <w:tcBorders>
              <w:top w:val="nil"/>
              <w:left w:val="nil"/>
              <w:bottom w:val="nil"/>
              <w:right w:val="single" w:sz="4" w:space="0" w:color="808080"/>
            </w:tcBorders>
            <w:shd w:val="clear" w:color="auto" w:fill="auto"/>
            <w:noWrap/>
            <w:tcMar>
              <w:top w:w="15" w:type="dxa"/>
              <w:left w:w="15" w:type="dxa"/>
              <w:bottom w:w="0" w:type="dxa"/>
              <w:right w:w="57" w:type="dxa"/>
            </w:tcMar>
            <w:vAlign w:val="center"/>
            <w:hideMark/>
          </w:tcPr>
          <w:p w14:paraId="67D0A1AF" w14:textId="77777777" w:rsidR="00FD77F0" w:rsidRPr="00BA1EEC" w:rsidRDefault="00FD77F0">
            <w:pPr>
              <w:jc w:val="right"/>
              <w:rPr>
                <w:rFonts w:cs="Arial"/>
                <w:i/>
                <w:iCs/>
                <w:sz w:val="16"/>
                <w:szCs w:val="16"/>
              </w:rPr>
            </w:pPr>
            <w:r w:rsidRPr="00BA1EEC">
              <w:rPr>
                <w:rFonts w:cs="Arial"/>
                <w:i/>
                <w:iCs/>
                <w:sz w:val="16"/>
                <w:szCs w:val="16"/>
              </w:rPr>
              <w:t>-</w:t>
            </w:r>
          </w:p>
        </w:tc>
        <w:tc>
          <w:tcPr>
            <w:tcW w:w="0" w:type="auto"/>
            <w:tcBorders>
              <w:top w:val="nil"/>
              <w:left w:val="nil"/>
              <w:bottom w:val="nil"/>
              <w:right w:val="nil"/>
            </w:tcBorders>
            <w:shd w:val="clear" w:color="auto" w:fill="auto"/>
            <w:noWrap/>
            <w:tcMar>
              <w:top w:w="15" w:type="dxa"/>
              <w:left w:w="15" w:type="dxa"/>
              <w:bottom w:w="0" w:type="dxa"/>
              <w:right w:w="57" w:type="dxa"/>
            </w:tcMar>
            <w:vAlign w:val="center"/>
            <w:hideMark/>
          </w:tcPr>
          <w:p w14:paraId="49D7B50E" w14:textId="77777777" w:rsidR="00FD77F0" w:rsidRPr="00BA1EEC" w:rsidRDefault="00FD77F0">
            <w:pPr>
              <w:jc w:val="right"/>
              <w:rPr>
                <w:rFonts w:cs="Arial"/>
                <w:b/>
                <w:bCs/>
                <w:i/>
                <w:color w:val="000000"/>
                <w:sz w:val="16"/>
                <w:szCs w:val="16"/>
              </w:rPr>
            </w:pPr>
            <w:r w:rsidRPr="00BA1EEC">
              <w:rPr>
                <w:rFonts w:cs="Arial"/>
                <w:b/>
                <w:bCs/>
                <w:i/>
                <w:color w:val="000000"/>
                <w:sz w:val="16"/>
                <w:szCs w:val="16"/>
              </w:rPr>
              <w:t>20,5</w:t>
            </w:r>
          </w:p>
        </w:tc>
        <w:tc>
          <w:tcPr>
            <w:tcW w:w="0" w:type="auto"/>
            <w:tcBorders>
              <w:top w:val="nil"/>
              <w:left w:val="nil"/>
              <w:bottom w:val="nil"/>
              <w:right w:val="nil"/>
            </w:tcBorders>
            <w:shd w:val="clear" w:color="auto" w:fill="auto"/>
            <w:noWrap/>
            <w:tcMar>
              <w:top w:w="15" w:type="dxa"/>
              <w:left w:w="15" w:type="dxa"/>
              <w:bottom w:w="0" w:type="dxa"/>
              <w:right w:w="57" w:type="dxa"/>
            </w:tcMar>
            <w:vAlign w:val="center"/>
            <w:hideMark/>
          </w:tcPr>
          <w:p w14:paraId="7349A4F0" w14:textId="77777777" w:rsidR="00FD77F0" w:rsidRPr="00BA1EEC" w:rsidRDefault="00FD77F0">
            <w:pPr>
              <w:jc w:val="right"/>
              <w:rPr>
                <w:rFonts w:cs="Arial"/>
                <w:b/>
                <w:bCs/>
                <w:i/>
                <w:color w:val="000000"/>
                <w:sz w:val="16"/>
                <w:szCs w:val="16"/>
              </w:rPr>
            </w:pPr>
            <w:r w:rsidRPr="00BA1EEC">
              <w:rPr>
                <w:rFonts w:cs="Arial"/>
                <w:b/>
                <w:bCs/>
                <w:i/>
                <w:color w:val="000000"/>
                <w:sz w:val="16"/>
                <w:szCs w:val="16"/>
              </w:rPr>
              <w:t>20,5</w:t>
            </w:r>
          </w:p>
        </w:tc>
        <w:tc>
          <w:tcPr>
            <w:tcW w:w="0" w:type="auto"/>
            <w:tcBorders>
              <w:top w:val="nil"/>
              <w:left w:val="nil"/>
              <w:bottom w:val="nil"/>
              <w:right w:val="nil"/>
            </w:tcBorders>
            <w:shd w:val="clear" w:color="auto" w:fill="auto"/>
            <w:noWrap/>
            <w:tcMar>
              <w:top w:w="15" w:type="dxa"/>
              <w:left w:w="15" w:type="dxa"/>
              <w:bottom w:w="0" w:type="dxa"/>
              <w:right w:w="57" w:type="dxa"/>
            </w:tcMar>
            <w:vAlign w:val="center"/>
            <w:hideMark/>
          </w:tcPr>
          <w:p w14:paraId="6B4976A2" w14:textId="77777777" w:rsidR="00FD77F0" w:rsidRPr="00BA1EEC" w:rsidRDefault="00FD77F0">
            <w:pPr>
              <w:jc w:val="right"/>
              <w:rPr>
                <w:rFonts w:cs="Arial"/>
                <w:b/>
                <w:bCs/>
                <w:i/>
                <w:color w:val="000000"/>
                <w:sz w:val="16"/>
                <w:szCs w:val="16"/>
              </w:rPr>
            </w:pPr>
            <w:r w:rsidRPr="00BA1EEC">
              <w:rPr>
                <w:rFonts w:cs="Arial"/>
                <w:b/>
                <w:bCs/>
                <w:i/>
                <w:color w:val="000000"/>
                <w:sz w:val="16"/>
                <w:szCs w:val="16"/>
              </w:rPr>
              <w:t>24,1</w:t>
            </w:r>
          </w:p>
        </w:tc>
        <w:tc>
          <w:tcPr>
            <w:tcW w:w="0" w:type="auto"/>
            <w:tcBorders>
              <w:top w:val="nil"/>
              <w:left w:val="nil"/>
              <w:bottom w:val="nil"/>
              <w:right w:val="nil"/>
            </w:tcBorders>
            <w:shd w:val="clear" w:color="auto" w:fill="auto"/>
            <w:noWrap/>
            <w:tcMar>
              <w:top w:w="15" w:type="dxa"/>
              <w:left w:w="15" w:type="dxa"/>
              <w:bottom w:w="0" w:type="dxa"/>
              <w:right w:w="57" w:type="dxa"/>
            </w:tcMar>
            <w:vAlign w:val="center"/>
            <w:hideMark/>
          </w:tcPr>
          <w:p w14:paraId="7C5910F8" w14:textId="77777777" w:rsidR="00FD77F0" w:rsidRPr="00BA1EEC" w:rsidRDefault="00FD77F0">
            <w:pPr>
              <w:jc w:val="right"/>
              <w:rPr>
                <w:rFonts w:cs="Arial"/>
                <w:b/>
                <w:bCs/>
                <w:i/>
                <w:color w:val="000000"/>
                <w:sz w:val="16"/>
                <w:szCs w:val="16"/>
              </w:rPr>
            </w:pPr>
            <w:r w:rsidRPr="00BA1EEC">
              <w:rPr>
                <w:rFonts w:cs="Arial"/>
                <w:b/>
                <w:bCs/>
                <w:i/>
                <w:color w:val="000000"/>
                <w:sz w:val="16"/>
                <w:szCs w:val="16"/>
              </w:rPr>
              <w:t>24,9</w:t>
            </w:r>
          </w:p>
        </w:tc>
        <w:tc>
          <w:tcPr>
            <w:tcW w:w="0" w:type="auto"/>
            <w:tcBorders>
              <w:top w:val="nil"/>
              <w:left w:val="nil"/>
              <w:bottom w:val="nil"/>
              <w:right w:val="nil"/>
            </w:tcBorders>
            <w:shd w:val="clear" w:color="auto" w:fill="auto"/>
            <w:noWrap/>
            <w:tcMar>
              <w:top w:w="15" w:type="dxa"/>
              <w:left w:w="15" w:type="dxa"/>
              <w:bottom w:w="0" w:type="dxa"/>
              <w:right w:w="57" w:type="dxa"/>
            </w:tcMar>
            <w:vAlign w:val="center"/>
            <w:hideMark/>
          </w:tcPr>
          <w:p w14:paraId="7FECFE7D" w14:textId="77777777" w:rsidR="00FD77F0" w:rsidRPr="00BA1EEC" w:rsidRDefault="00FD77F0">
            <w:pPr>
              <w:jc w:val="right"/>
              <w:rPr>
                <w:rFonts w:cs="Arial"/>
                <w:b/>
                <w:bCs/>
                <w:i/>
                <w:color w:val="000000"/>
                <w:sz w:val="16"/>
                <w:szCs w:val="16"/>
              </w:rPr>
            </w:pPr>
            <w:r w:rsidRPr="00BA1EEC">
              <w:rPr>
                <w:rFonts w:cs="Arial"/>
                <w:b/>
                <w:bCs/>
                <w:i/>
                <w:color w:val="000000"/>
                <w:sz w:val="16"/>
                <w:szCs w:val="16"/>
              </w:rPr>
              <w:t>37,5</w:t>
            </w:r>
          </w:p>
        </w:tc>
        <w:tc>
          <w:tcPr>
            <w:tcW w:w="0" w:type="auto"/>
            <w:tcBorders>
              <w:top w:val="nil"/>
              <w:left w:val="nil"/>
              <w:bottom w:val="nil"/>
              <w:right w:val="nil"/>
            </w:tcBorders>
            <w:shd w:val="clear" w:color="auto" w:fill="auto"/>
            <w:noWrap/>
            <w:tcMar>
              <w:top w:w="15" w:type="dxa"/>
              <w:left w:w="15" w:type="dxa"/>
              <w:bottom w:w="0" w:type="dxa"/>
              <w:right w:w="57" w:type="dxa"/>
            </w:tcMar>
            <w:vAlign w:val="center"/>
            <w:hideMark/>
          </w:tcPr>
          <w:p w14:paraId="41EC001D" w14:textId="77777777" w:rsidR="00FD77F0" w:rsidRPr="00BA1EEC" w:rsidRDefault="00FD77F0">
            <w:pPr>
              <w:jc w:val="right"/>
              <w:rPr>
                <w:rFonts w:cs="Arial"/>
                <w:b/>
                <w:bCs/>
                <w:i/>
                <w:iCs/>
                <w:sz w:val="16"/>
                <w:szCs w:val="16"/>
              </w:rPr>
            </w:pPr>
            <w:r w:rsidRPr="00BA1EEC">
              <w:rPr>
                <w:rFonts w:cs="Arial"/>
                <w:b/>
                <w:bCs/>
                <w:i/>
                <w:iCs/>
                <w:sz w:val="16"/>
                <w:szCs w:val="16"/>
              </w:rPr>
              <w:t>39,1</w:t>
            </w:r>
          </w:p>
        </w:tc>
        <w:tc>
          <w:tcPr>
            <w:tcW w:w="0" w:type="auto"/>
            <w:tcBorders>
              <w:top w:val="nil"/>
              <w:left w:val="nil"/>
              <w:bottom w:val="nil"/>
              <w:right w:val="nil"/>
            </w:tcBorders>
            <w:shd w:val="clear" w:color="auto" w:fill="auto"/>
            <w:noWrap/>
            <w:tcMar>
              <w:top w:w="15" w:type="dxa"/>
              <w:left w:w="15" w:type="dxa"/>
              <w:bottom w:w="0" w:type="dxa"/>
              <w:right w:w="57" w:type="dxa"/>
            </w:tcMar>
            <w:vAlign w:val="center"/>
            <w:hideMark/>
          </w:tcPr>
          <w:p w14:paraId="15CD385F" w14:textId="77777777" w:rsidR="00FD77F0" w:rsidRPr="00BA1EEC" w:rsidRDefault="00FD77F0">
            <w:pPr>
              <w:jc w:val="right"/>
              <w:rPr>
                <w:rFonts w:cs="Arial"/>
                <w:b/>
                <w:bCs/>
                <w:i/>
                <w:iCs/>
                <w:sz w:val="16"/>
                <w:szCs w:val="16"/>
              </w:rPr>
            </w:pPr>
            <w:r w:rsidRPr="00BA1EEC">
              <w:rPr>
                <w:rFonts w:cs="Arial"/>
                <w:b/>
                <w:bCs/>
                <w:i/>
                <w:iCs/>
                <w:sz w:val="16"/>
                <w:szCs w:val="16"/>
              </w:rPr>
              <w:t>39,8</w:t>
            </w:r>
          </w:p>
        </w:tc>
        <w:tc>
          <w:tcPr>
            <w:tcW w:w="0" w:type="auto"/>
            <w:tcBorders>
              <w:top w:val="nil"/>
              <w:left w:val="nil"/>
              <w:bottom w:val="nil"/>
              <w:right w:val="nil"/>
            </w:tcBorders>
            <w:shd w:val="clear" w:color="auto" w:fill="auto"/>
            <w:noWrap/>
            <w:tcMar>
              <w:top w:w="15" w:type="dxa"/>
              <w:left w:w="15" w:type="dxa"/>
              <w:bottom w:w="0" w:type="dxa"/>
              <w:right w:w="57" w:type="dxa"/>
            </w:tcMar>
            <w:vAlign w:val="center"/>
            <w:hideMark/>
          </w:tcPr>
          <w:p w14:paraId="7CF85433" w14:textId="77777777" w:rsidR="00FD77F0" w:rsidRPr="00BA1EEC" w:rsidRDefault="00FD77F0">
            <w:pPr>
              <w:jc w:val="right"/>
              <w:rPr>
                <w:rFonts w:cs="Arial"/>
                <w:b/>
                <w:bCs/>
                <w:i/>
                <w:iCs/>
                <w:sz w:val="16"/>
                <w:szCs w:val="16"/>
              </w:rPr>
            </w:pPr>
            <w:r w:rsidRPr="00BA1EEC">
              <w:rPr>
                <w:rFonts w:cs="Arial"/>
                <w:b/>
                <w:bCs/>
                <w:i/>
                <w:iCs/>
                <w:sz w:val="16"/>
                <w:szCs w:val="16"/>
              </w:rPr>
              <w:t>40,6</w:t>
            </w:r>
          </w:p>
        </w:tc>
        <w:tc>
          <w:tcPr>
            <w:tcW w:w="0" w:type="auto"/>
            <w:tcBorders>
              <w:top w:val="nil"/>
              <w:left w:val="nil"/>
              <w:bottom w:val="nil"/>
              <w:right w:val="nil"/>
            </w:tcBorders>
            <w:shd w:val="clear" w:color="auto" w:fill="auto"/>
            <w:noWrap/>
            <w:tcMar>
              <w:top w:w="15" w:type="dxa"/>
              <w:left w:w="15" w:type="dxa"/>
              <w:bottom w:w="0" w:type="dxa"/>
              <w:right w:w="57" w:type="dxa"/>
            </w:tcMar>
            <w:vAlign w:val="center"/>
            <w:hideMark/>
          </w:tcPr>
          <w:p w14:paraId="5DC31180" w14:textId="77777777" w:rsidR="00FD77F0" w:rsidRPr="00BA1EEC" w:rsidRDefault="00FD77F0">
            <w:pPr>
              <w:jc w:val="right"/>
              <w:rPr>
                <w:rFonts w:cs="Arial"/>
                <w:b/>
                <w:bCs/>
                <w:i/>
                <w:iCs/>
                <w:sz w:val="16"/>
                <w:szCs w:val="16"/>
              </w:rPr>
            </w:pPr>
            <w:r w:rsidRPr="00BA1EEC">
              <w:rPr>
                <w:rFonts w:cs="Arial"/>
                <w:b/>
                <w:bCs/>
                <w:i/>
                <w:iCs/>
                <w:sz w:val="16"/>
                <w:szCs w:val="16"/>
              </w:rPr>
              <w:t>42,0</w:t>
            </w:r>
          </w:p>
        </w:tc>
        <w:tc>
          <w:tcPr>
            <w:tcW w:w="0" w:type="auto"/>
            <w:tcBorders>
              <w:top w:val="nil"/>
              <w:left w:val="nil"/>
              <w:bottom w:val="nil"/>
              <w:right w:val="nil"/>
            </w:tcBorders>
            <w:shd w:val="clear" w:color="auto" w:fill="auto"/>
            <w:noWrap/>
            <w:tcMar>
              <w:top w:w="15" w:type="dxa"/>
              <w:left w:w="15" w:type="dxa"/>
              <w:bottom w:w="0" w:type="dxa"/>
              <w:right w:w="57" w:type="dxa"/>
            </w:tcMar>
            <w:vAlign w:val="center"/>
            <w:hideMark/>
          </w:tcPr>
          <w:p w14:paraId="1F8347C6" w14:textId="77777777" w:rsidR="00FD77F0" w:rsidRPr="00BA1EEC" w:rsidRDefault="00FD77F0">
            <w:pPr>
              <w:jc w:val="right"/>
              <w:rPr>
                <w:rFonts w:cs="Arial"/>
                <w:b/>
                <w:bCs/>
                <w:i/>
                <w:iCs/>
                <w:sz w:val="16"/>
                <w:szCs w:val="16"/>
              </w:rPr>
            </w:pPr>
            <w:r w:rsidRPr="00BA1EEC">
              <w:rPr>
                <w:rFonts w:cs="Arial"/>
                <w:b/>
                <w:bCs/>
                <w:i/>
                <w:iCs/>
                <w:sz w:val="16"/>
                <w:szCs w:val="16"/>
              </w:rPr>
              <w:t>30,7</w:t>
            </w:r>
          </w:p>
        </w:tc>
        <w:tc>
          <w:tcPr>
            <w:tcW w:w="0" w:type="auto"/>
            <w:tcBorders>
              <w:top w:val="nil"/>
              <w:left w:val="nil"/>
              <w:bottom w:val="nil"/>
              <w:right w:val="nil"/>
            </w:tcBorders>
            <w:shd w:val="clear" w:color="auto" w:fill="auto"/>
            <w:noWrap/>
            <w:tcMar>
              <w:top w:w="15" w:type="dxa"/>
              <w:left w:w="15" w:type="dxa"/>
              <w:bottom w:w="0" w:type="dxa"/>
              <w:right w:w="57" w:type="dxa"/>
            </w:tcMar>
            <w:vAlign w:val="center"/>
            <w:hideMark/>
          </w:tcPr>
          <w:p w14:paraId="0A653C77" w14:textId="77777777" w:rsidR="00FD77F0" w:rsidRPr="00BA1EEC" w:rsidRDefault="00FD77F0">
            <w:pPr>
              <w:jc w:val="right"/>
              <w:rPr>
                <w:rFonts w:cs="Arial"/>
                <w:b/>
                <w:bCs/>
                <w:i/>
                <w:iCs/>
                <w:sz w:val="16"/>
                <w:szCs w:val="16"/>
              </w:rPr>
            </w:pPr>
            <w:r w:rsidRPr="00BA1EEC">
              <w:rPr>
                <w:rFonts w:cs="Arial"/>
                <w:b/>
                <w:bCs/>
                <w:i/>
                <w:iCs/>
                <w:sz w:val="16"/>
                <w:szCs w:val="16"/>
              </w:rPr>
              <w:t>35,1</w:t>
            </w:r>
          </w:p>
        </w:tc>
      </w:tr>
      <w:tr w:rsidR="00FD77F0" w14:paraId="223568F6" w14:textId="77777777" w:rsidTr="00FD77F0">
        <w:trPr>
          <w:trHeight w:val="255"/>
        </w:trPr>
        <w:tc>
          <w:tcPr>
            <w:tcW w:w="0" w:type="auto"/>
            <w:gridSpan w:val="14"/>
            <w:tcBorders>
              <w:top w:val="single" w:sz="4" w:space="0" w:color="808080"/>
              <w:left w:val="nil"/>
              <w:bottom w:val="nil"/>
              <w:right w:val="nil"/>
            </w:tcBorders>
            <w:shd w:val="clear" w:color="auto" w:fill="auto"/>
            <w:noWrap/>
            <w:tcMar>
              <w:top w:w="15" w:type="dxa"/>
              <w:left w:w="15" w:type="dxa"/>
              <w:bottom w:w="0" w:type="dxa"/>
              <w:right w:w="15" w:type="dxa"/>
            </w:tcMar>
            <w:vAlign w:val="bottom"/>
            <w:hideMark/>
          </w:tcPr>
          <w:p w14:paraId="5F0371E6" w14:textId="75A4E83E" w:rsidR="00FD77F0" w:rsidRDefault="00FD77F0">
            <w:pPr>
              <w:rPr>
                <w:rFonts w:cs="Arial"/>
                <w:sz w:val="16"/>
                <w:szCs w:val="16"/>
              </w:rPr>
            </w:pPr>
            <w:r>
              <w:rPr>
                <w:rFonts w:cs="Arial"/>
                <w:sz w:val="16"/>
                <w:szCs w:val="16"/>
              </w:rPr>
              <w:t>* zahrnují výdaje na předfinancování zahraničních programů krytých příjmy z EU a finančního mechanismu EHP/ Norsko</w:t>
            </w:r>
          </w:p>
        </w:tc>
      </w:tr>
    </w:tbl>
    <w:p w14:paraId="76086820" w14:textId="28682B8B" w:rsidR="00F83898" w:rsidRDefault="00EB0B89" w:rsidP="00604542">
      <w:pPr>
        <w:spacing w:before="120"/>
        <w:jc w:val="both"/>
      </w:pPr>
      <w:r>
        <w:t>Za posledních deset let (</w:t>
      </w:r>
      <w:r w:rsidR="002C30CA" w:rsidRPr="00DC4A40">
        <w:t>200</w:t>
      </w:r>
      <w:r w:rsidR="00D42598" w:rsidRPr="00DC4A40">
        <w:t>8</w:t>
      </w:r>
      <w:r w:rsidR="002C30CA" w:rsidRPr="00DC4A40">
        <w:t xml:space="preserve"> až 201</w:t>
      </w:r>
      <w:r w:rsidR="00D42598" w:rsidRPr="00DC4A40">
        <w:t>7</w:t>
      </w:r>
      <w:r>
        <w:t>)</w:t>
      </w:r>
      <w:r w:rsidR="002C30CA" w:rsidRPr="00DC4A40">
        <w:t xml:space="preserve"> bylo ze státního rozpočtu </w:t>
      </w:r>
      <w:r w:rsidR="00343938" w:rsidRPr="00DC4A40">
        <w:t xml:space="preserve">ČR </w:t>
      </w:r>
      <w:r w:rsidR="002C30CA" w:rsidRPr="00DC4A40">
        <w:t>čerpáno na VaV prováděný ve vládním, vysokoškolském, podnikatelském a soukromém neziskovém sektoru celkem 2</w:t>
      </w:r>
      <w:r w:rsidR="00D42598" w:rsidRPr="00DC4A40">
        <w:t>59</w:t>
      </w:r>
      <w:r w:rsidR="002C30CA" w:rsidRPr="00DC4A40">
        <w:t xml:space="preserve"> mld. Kč, přičemž v</w:t>
      </w:r>
      <w:r w:rsidR="00D26FE8">
        <w:t> </w:t>
      </w:r>
      <w:r w:rsidR="002C30CA" w:rsidRPr="00DC4A40">
        <w:t>posledních pěti letech (201</w:t>
      </w:r>
      <w:r w:rsidR="00D42598" w:rsidRPr="00DC4A40">
        <w:t>3</w:t>
      </w:r>
      <w:r w:rsidR="002C30CA" w:rsidRPr="00DC4A40">
        <w:t xml:space="preserve"> až 201</w:t>
      </w:r>
      <w:r w:rsidR="00D42598" w:rsidRPr="00DC4A40">
        <w:t>7</w:t>
      </w:r>
      <w:r w:rsidR="002C30CA" w:rsidRPr="00DC4A40">
        <w:t>) to bylo 1</w:t>
      </w:r>
      <w:r w:rsidR="00D42598" w:rsidRPr="00DC4A40">
        <w:t>41</w:t>
      </w:r>
      <w:r w:rsidR="002C30CA" w:rsidRPr="00DC4A40">
        <w:t xml:space="preserve"> miliard.</w:t>
      </w:r>
      <w:r w:rsidR="000509B6">
        <w:t xml:space="preserve"> </w:t>
      </w:r>
    </w:p>
    <w:p w14:paraId="3B8F8DC2" w14:textId="1574BCA8" w:rsidR="00B40138" w:rsidRDefault="00B40138" w:rsidP="00604542">
      <w:pPr>
        <w:spacing w:before="120"/>
        <w:jc w:val="both"/>
        <w:rPr>
          <w:b/>
        </w:rPr>
      </w:pPr>
      <w:r w:rsidRPr="00B40138">
        <w:rPr>
          <w:b/>
        </w:rPr>
        <w:t xml:space="preserve">GRAF 1-1: </w:t>
      </w:r>
      <w:r w:rsidR="007E575C">
        <w:rPr>
          <w:b/>
        </w:rPr>
        <w:t>Státní</w:t>
      </w:r>
      <w:r w:rsidR="007E575C" w:rsidRPr="00142861">
        <w:rPr>
          <w:b/>
        </w:rPr>
        <w:t xml:space="preserve"> </w:t>
      </w:r>
      <w:r w:rsidR="007E575C">
        <w:rPr>
          <w:b/>
        </w:rPr>
        <w:t xml:space="preserve">rozpočtové výdaje na VaV </w:t>
      </w:r>
      <w:r w:rsidR="00446A05">
        <w:rPr>
          <w:b/>
        </w:rPr>
        <w:t>v</w:t>
      </w:r>
      <w:r w:rsidR="00E44D4D">
        <w:rPr>
          <w:b/>
        </w:rPr>
        <w:t> </w:t>
      </w:r>
      <w:r w:rsidR="00446A05">
        <w:rPr>
          <w:b/>
        </w:rPr>
        <w:t>ČR</w:t>
      </w:r>
      <w:r w:rsidR="00E44D4D">
        <w:rPr>
          <w:b/>
        </w:rPr>
        <w:t xml:space="preserve"> (GBARD)</w:t>
      </w:r>
      <w:r w:rsidR="00CA3422">
        <w:rPr>
          <w:b/>
        </w:rPr>
        <w:t>;</w:t>
      </w:r>
      <w:r w:rsidR="00446A05">
        <w:rPr>
          <w:b/>
        </w:rPr>
        <w:t xml:space="preserve"> </w:t>
      </w:r>
      <w:r w:rsidR="00446A05" w:rsidRPr="00FC33C0">
        <w:rPr>
          <w:b/>
        </w:rPr>
        <w:t>200</w:t>
      </w:r>
      <w:r w:rsidR="00D42598">
        <w:rPr>
          <w:b/>
        </w:rPr>
        <w:t>5</w:t>
      </w:r>
      <w:r w:rsidR="00446A05" w:rsidRPr="00FC33C0">
        <w:rPr>
          <w:b/>
        </w:rPr>
        <w:t>–201</w:t>
      </w:r>
      <w:r w:rsidR="00D42598">
        <w:rPr>
          <w:b/>
        </w:rPr>
        <w:t>7</w:t>
      </w:r>
    </w:p>
    <w:p w14:paraId="0D3E2851" w14:textId="77777777" w:rsidR="00B40138" w:rsidRDefault="000D6EF6" w:rsidP="00604542">
      <w:pPr>
        <w:spacing w:before="120"/>
        <w:jc w:val="both"/>
        <w:rPr>
          <w:b/>
        </w:rPr>
      </w:pPr>
      <w:r>
        <w:rPr>
          <w:noProof/>
        </w:rPr>
        <w:drawing>
          <wp:inline distT="0" distB="0" distL="0" distR="0" wp14:anchorId="07C67674" wp14:editId="1471C6F6">
            <wp:extent cx="6120130" cy="2880000"/>
            <wp:effectExtent l="0" t="0" r="0" b="0"/>
            <wp:docPr id="11" name="Graf 1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49D60ED" w14:textId="1552D060" w:rsidR="00065F81" w:rsidRPr="00065F81" w:rsidRDefault="00065F81" w:rsidP="00604542">
      <w:pPr>
        <w:spacing w:before="120"/>
        <w:jc w:val="both"/>
      </w:pPr>
      <w:r w:rsidRPr="00D26FE8">
        <w:lastRenderedPageBreak/>
        <w:t xml:space="preserve">Uvedená částka </w:t>
      </w:r>
      <w:r w:rsidR="006248C6" w:rsidRPr="00D26FE8">
        <w:t xml:space="preserve">státních rozpočtových </w:t>
      </w:r>
      <w:r w:rsidRPr="00D26FE8">
        <w:t>výdajů</w:t>
      </w:r>
      <w:r w:rsidR="006248C6" w:rsidRPr="00D26FE8">
        <w:t xml:space="preserve"> na VaV</w:t>
      </w:r>
      <w:r w:rsidR="00F34844" w:rsidRPr="00D26FE8">
        <w:t xml:space="preserve"> (ukazatel GBARD)</w:t>
      </w:r>
      <w:r w:rsidRPr="00D26FE8">
        <w:t xml:space="preserve"> v roce 201</w:t>
      </w:r>
      <w:r w:rsidR="004932C0" w:rsidRPr="00D26FE8">
        <w:t>7</w:t>
      </w:r>
      <w:r w:rsidRPr="00D26FE8">
        <w:t xml:space="preserve"> </w:t>
      </w:r>
      <w:r w:rsidR="009204DF" w:rsidRPr="00D26FE8">
        <w:t>odpovídala 0,61</w:t>
      </w:r>
      <w:r w:rsidR="00D26FE8" w:rsidRPr="00D26FE8">
        <w:t> </w:t>
      </w:r>
      <w:r w:rsidR="009204DF" w:rsidRPr="00D26FE8">
        <w:t>% hrubého domácího</w:t>
      </w:r>
      <w:r w:rsidR="00662351" w:rsidRPr="00D26FE8">
        <w:t xml:space="preserve"> produktu (HDP)</w:t>
      </w:r>
      <w:r w:rsidR="004F2DFF" w:rsidRPr="00D26FE8">
        <w:t>.</w:t>
      </w:r>
      <w:r w:rsidRPr="00D26FE8">
        <w:t xml:space="preserve"> </w:t>
      </w:r>
      <w:r w:rsidR="004F2DFF" w:rsidRPr="00D26FE8">
        <w:t>V</w:t>
      </w:r>
      <w:r w:rsidRPr="00D26FE8">
        <w:t xml:space="preserve"> roce 201</w:t>
      </w:r>
      <w:r w:rsidR="004932C0" w:rsidRPr="00D26FE8">
        <w:t>6</w:t>
      </w:r>
      <w:r w:rsidRPr="00D26FE8">
        <w:t xml:space="preserve"> byl podíl GBARD na HDP 0,</w:t>
      </w:r>
      <w:r w:rsidR="004932C0" w:rsidRPr="00D26FE8">
        <w:t>59</w:t>
      </w:r>
      <w:r w:rsidR="004F2DFF" w:rsidRPr="00D26FE8">
        <w:t xml:space="preserve"> %</w:t>
      </w:r>
      <w:r w:rsidRPr="00D26FE8">
        <w:t xml:space="preserve">. Na celkových výdajích státního rozpočtu se </w:t>
      </w:r>
      <w:r w:rsidR="00F34844" w:rsidRPr="00D26FE8">
        <w:t xml:space="preserve">výdaje na VaV </w:t>
      </w:r>
      <w:r w:rsidRPr="00D26FE8">
        <w:t>v roce 201</w:t>
      </w:r>
      <w:r w:rsidR="004932C0" w:rsidRPr="00D26FE8">
        <w:t>7</w:t>
      </w:r>
      <w:r w:rsidRPr="00D26FE8">
        <w:t xml:space="preserve"> podílely 2,</w:t>
      </w:r>
      <w:r w:rsidR="004932C0" w:rsidRPr="00D26FE8">
        <w:t>4</w:t>
      </w:r>
      <w:r w:rsidR="00F34844" w:rsidRPr="00D26FE8">
        <w:t>0</w:t>
      </w:r>
      <w:r w:rsidRPr="00D26FE8">
        <w:t xml:space="preserve"> % </w:t>
      </w:r>
      <w:r w:rsidR="00E44D4D">
        <w:t>(</w:t>
      </w:r>
      <w:r w:rsidRPr="00D26FE8">
        <w:t>2,</w:t>
      </w:r>
      <w:r w:rsidR="004932C0" w:rsidRPr="00D26FE8">
        <w:t>29</w:t>
      </w:r>
      <w:r w:rsidRPr="00D26FE8">
        <w:t xml:space="preserve"> % v roce 201</w:t>
      </w:r>
      <w:r w:rsidR="004932C0" w:rsidRPr="00D26FE8">
        <w:t>6</w:t>
      </w:r>
      <w:r w:rsidR="00E44D4D">
        <w:t xml:space="preserve">) </w:t>
      </w:r>
      <w:r w:rsidR="009204DF" w:rsidRPr="00D26FE8">
        <w:t>a n</w:t>
      </w:r>
      <w:r w:rsidRPr="00D26FE8">
        <w:t>a celkových veřejných</w:t>
      </w:r>
      <w:r w:rsidRPr="00D83E8E">
        <w:t xml:space="preserve"> rozpočtech </w:t>
      </w:r>
      <w:r w:rsidR="009204DF">
        <w:t>pak</w:t>
      </w:r>
      <w:r w:rsidRPr="00D83E8E">
        <w:t xml:space="preserve"> 1,</w:t>
      </w:r>
      <w:r w:rsidR="004932C0">
        <w:t>56</w:t>
      </w:r>
      <w:r w:rsidRPr="00D83E8E">
        <w:t xml:space="preserve"> %. Ve schválené verzi státního rozpočtu </w:t>
      </w:r>
      <w:r w:rsidR="002145E1">
        <w:t xml:space="preserve">ČR </w:t>
      </w:r>
      <w:r w:rsidRPr="00D83E8E">
        <w:t>na rok 201</w:t>
      </w:r>
      <w:r w:rsidR="004932C0">
        <w:t>7</w:t>
      </w:r>
      <w:r w:rsidRPr="00D83E8E">
        <w:t xml:space="preserve"> se počítalo s</w:t>
      </w:r>
      <w:r w:rsidR="00A82C45">
        <w:t> </w:t>
      </w:r>
      <w:r w:rsidRPr="00D83E8E">
        <w:t xml:space="preserve">částkou státní rozpočtové podpory na VaV ve výši </w:t>
      </w:r>
      <w:r w:rsidR="004932C0">
        <w:t>32,7 mld.</w:t>
      </w:r>
      <w:r w:rsidRPr="00D83E8E">
        <w:t xml:space="preserve"> Kč. Skutečné čerpání bylo </w:t>
      </w:r>
      <w:r w:rsidR="00E62D51">
        <w:t>nižší</w:t>
      </w:r>
      <w:r w:rsidRPr="00D83E8E">
        <w:t>, a to o</w:t>
      </w:r>
      <w:r w:rsidR="00732A53">
        <w:t> </w:t>
      </w:r>
      <w:r w:rsidR="004932C0">
        <w:t>2,1</w:t>
      </w:r>
      <w:r w:rsidR="00C63539">
        <w:t> </w:t>
      </w:r>
      <w:r w:rsidR="004932C0">
        <w:t>mld</w:t>
      </w:r>
      <w:r w:rsidRPr="00D83E8E">
        <w:t>.</w:t>
      </w:r>
      <w:r w:rsidR="00732A53">
        <w:t> </w:t>
      </w:r>
      <w:r w:rsidRPr="00D83E8E">
        <w:t>Kč</w:t>
      </w:r>
      <w:r>
        <w:t xml:space="preserve"> </w:t>
      </w:r>
      <w:r w:rsidRPr="00946240">
        <w:t>(</w:t>
      </w:r>
      <w:r w:rsidR="004932C0">
        <w:t>6,7</w:t>
      </w:r>
      <w:r w:rsidRPr="00946240">
        <w:t xml:space="preserve"> %)</w:t>
      </w:r>
      <w:r w:rsidRPr="00D83E8E">
        <w:t>.</w:t>
      </w:r>
      <w:r w:rsidR="00CF502D">
        <w:t xml:space="preserve"> Hlavním důvodem bylo nižší spolufinancování projektů </w:t>
      </w:r>
      <w:r w:rsidR="004663E3">
        <w:t>VaV z</w:t>
      </w:r>
      <w:r w:rsidR="00D26FE8">
        <w:t> </w:t>
      </w:r>
      <w:r w:rsidR="00B0768F">
        <w:t>o</w:t>
      </w:r>
      <w:r w:rsidR="00CF502D">
        <w:t xml:space="preserve">peračních programů </w:t>
      </w:r>
      <w:r w:rsidR="00C10A5A">
        <w:t>pro období 2014 až 2020</w:t>
      </w:r>
      <w:r w:rsidR="004932C0">
        <w:t xml:space="preserve">, související s pomalým náběhem čerpání </w:t>
      </w:r>
      <w:r w:rsidR="00E44D4D">
        <w:t>z </w:t>
      </w:r>
      <w:r w:rsidR="004932C0">
        <w:t>fondů</w:t>
      </w:r>
      <w:r w:rsidR="00E44D4D">
        <w:t xml:space="preserve"> EU</w:t>
      </w:r>
      <w:r w:rsidR="004932C0">
        <w:t>.</w:t>
      </w:r>
      <w:r w:rsidR="00CF502D">
        <w:t xml:space="preserve"> </w:t>
      </w:r>
    </w:p>
    <w:p w14:paraId="449C3219" w14:textId="69A43B87" w:rsidR="002F2B9F" w:rsidRDefault="002F2B9F" w:rsidP="00604542">
      <w:pPr>
        <w:spacing w:before="120"/>
        <w:jc w:val="both"/>
        <w:rPr>
          <w:b/>
        </w:rPr>
      </w:pPr>
      <w:r w:rsidRPr="002F2B9F">
        <w:rPr>
          <w:b/>
        </w:rPr>
        <w:t xml:space="preserve">TAB 1-2: </w:t>
      </w:r>
      <w:r w:rsidR="00CE0B54">
        <w:rPr>
          <w:b/>
        </w:rPr>
        <w:t>S</w:t>
      </w:r>
      <w:r w:rsidR="007E575C">
        <w:rPr>
          <w:b/>
        </w:rPr>
        <w:t>tátní</w:t>
      </w:r>
      <w:r w:rsidR="00FE32DB">
        <w:rPr>
          <w:b/>
        </w:rPr>
        <w:t xml:space="preserve"> r</w:t>
      </w:r>
      <w:r w:rsidR="002C7784">
        <w:rPr>
          <w:b/>
        </w:rPr>
        <w:t>ozpočtov</w:t>
      </w:r>
      <w:r w:rsidR="00CE0B54">
        <w:rPr>
          <w:b/>
        </w:rPr>
        <w:t>é</w:t>
      </w:r>
      <w:r w:rsidR="007E575C">
        <w:rPr>
          <w:b/>
        </w:rPr>
        <w:t xml:space="preserve"> výdaj</w:t>
      </w:r>
      <w:r w:rsidR="00CE0B54">
        <w:rPr>
          <w:b/>
        </w:rPr>
        <w:t>e</w:t>
      </w:r>
      <w:r w:rsidR="007E575C">
        <w:rPr>
          <w:b/>
        </w:rPr>
        <w:t xml:space="preserve"> na VaV </w:t>
      </w:r>
      <w:r>
        <w:rPr>
          <w:b/>
        </w:rPr>
        <w:t>v</w:t>
      </w:r>
      <w:r w:rsidR="0074315B">
        <w:rPr>
          <w:b/>
        </w:rPr>
        <w:t> </w:t>
      </w:r>
      <w:r>
        <w:rPr>
          <w:b/>
        </w:rPr>
        <w:t>ČR</w:t>
      </w:r>
      <w:r w:rsidR="0074315B">
        <w:rPr>
          <w:b/>
        </w:rPr>
        <w:t xml:space="preserve"> – základní ukazatele</w:t>
      </w:r>
      <w:r w:rsidR="00141C52">
        <w:rPr>
          <w:b/>
        </w:rPr>
        <w:t xml:space="preserve"> GBARD</w:t>
      </w:r>
    </w:p>
    <w:tbl>
      <w:tblPr>
        <w:tblW w:w="9583" w:type="dxa"/>
        <w:tblInd w:w="70" w:type="dxa"/>
        <w:tblCellMar>
          <w:left w:w="70" w:type="dxa"/>
          <w:right w:w="70" w:type="dxa"/>
        </w:tblCellMar>
        <w:tblLook w:val="04A0" w:firstRow="1" w:lastRow="0" w:firstColumn="1" w:lastColumn="0" w:noHBand="0" w:noVBand="1"/>
      </w:tblPr>
      <w:tblGrid>
        <w:gridCol w:w="1536"/>
        <w:gridCol w:w="619"/>
        <w:gridCol w:w="619"/>
        <w:gridCol w:w="619"/>
        <w:gridCol w:w="619"/>
        <w:gridCol w:w="619"/>
        <w:gridCol w:w="619"/>
        <w:gridCol w:w="619"/>
        <w:gridCol w:w="619"/>
        <w:gridCol w:w="619"/>
        <w:gridCol w:w="619"/>
        <w:gridCol w:w="619"/>
        <w:gridCol w:w="619"/>
        <w:gridCol w:w="619"/>
      </w:tblGrid>
      <w:tr w:rsidR="00CE0B54" w:rsidRPr="00A56BD4" w14:paraId="4A3E818E" w14:textId="77777777" w:rsidTr="00D26FE8">
        <w:trPr>
          <w:trHeight w:val="293"/>
        </w:trPr>
        <w:tc>
          <w:tcPr>
            <w:tcW w:w="1536" w:type="dxa"/>
            <w:tcBorders>
              <w:top w:val="single" w:sz="4" w:space="0" w:color="808080"/>
              <w:left w:val="nil"/>
              <w:bottom w:val="single" w:sz="4" w:space="0" w:color="808080"/>
              <w:right w:val="nil"/>
            </w:tcBorders>
            <w:shd w:val="clear" w:color="000000" w:fill="DAEEF3"/>
            <w:noWrap/>
            <w:vAlign w:val="center"/>
            <w:hideMark/>
          </w:tcPr>
          <w:p w14:paraId="373AC64B" w14:textId="7E1AD003" w:rsidR="00A56BD4" w:rsidRPr="00D26FE8" w:rsidRDefault="00A56BD4" w:rsidP="00A56BD4">
            <w:pPr>
              <w:spacing w:line="240" w:lineRule="auto"/>
              <w:jc w:val="center"/>
              <w:rPr>
                <w:rFonts w:cs="Arial"/>
                <w:b/>
                <w:bCs/>
                <w:sz w:val="16"/>
                <w:szCs w:val="16"/>
              </w:rPr>
            </w:pPr>
          </w:p>
        </w:tc>
        <w:tc>
          <w:tcPr>
            <w:tcW w:w="619" w:type="dxa"/>
            <w:tcBorders>
              <w:top w:val="single" w:sz="4" w:space="0" w:color="808080"/>
              <w:left w:val="single" w:sz="4" w:space="0" w:color="808080"/>
              <w:bottom w:val="single" w:sz="4" w:space="0" w:color="808080"/>
              <w:right w:val="single" w:sz="4" w:space="0" w:color="808080"/>
            </w:tcBorders>
            <w:shd w:val="clear" w:color="000000" w:fill="DAEEF3"/>
            <w:noWrap/>
            <w:vAlign w:val="center"/>
            <w:hideMark/>
          </w:tcPr>
          <w:p w14:paraId="64D60396" w14:textId="77777777" w:rsidR="00A56BD4" w:rsidRPr="00D26FE8" w:rsidRDefault="00A56BD4" w:rsidP="00A56BD4">
            <w:pPr>
              <w:spacing w:line="240" w:lineRule="auto"/>
              <w:jc w:val="right"/>
              <w:rPr>
                <w:rFonts w:cs="Arial"/>
                <w:b/>
                <w:bCs/>
                <w:sz w:val="16"/>
                <w:szCs w:val="16"/>
              </w:rPr>
            </w:pPr>
            <w:r w:rsidRPr="00D26FE8">
              <w:rPr>
                <w:rFonts w:cs="Arial"/>
                <w:b/>
                <w:bCs/>
                <w:sz w:val="16"/>
                <w:szCs w:val="16"/>
              </w:rPr>
              <w:t>2000</w:t>
            </w:r>
          </w:p>
        </w:tc>
        <w:tc>
          <w:tcPr>
            <w:tcW w:w="619" w:type="dxa"/>
            <w:tcBorders>
              <w:top w:val="single" w:sz="4" w:space="0" w:color="808080"/>
              <w:left w:val="nil"/>
              <w:bottom w:val="single" w:sz="4" w:space="0" w:color="808080"/>
              <w:right w:val="single" w:sz="4" w:space="0" w:color="808080"/>
            </w:tcBorders>
            <w:shd w:val="clear" w:color="000000" w:fill="DAEEF3"/>
            <w:noWrap/>
            <w:vAlign w:val="center"/>
            <w:hideMark/>
          </w:tcPr>
          <w:p w14:paraId="01547141" w14:textId="77777777" w:rsidR="00A56BD4" w:rsidRPr="00D26FE8" w:rsidRDefault="00A56BD4" w:rsidP="00A56BD4">
            <w:pPr>
              <w:spacing w:line="240" w:lineRule="auto"/>
              <w:jc w:val="right"/>
              <w:rPr>
                <w:rFonts w:cs="Arial"/>
                <w:b/>
                <w:bCs/>
                <w:sz w:val="16"/>
                <w:szCs w:val="16"/>
              </w:rPr>
            </w:pPr>
            <w:r w:rsidRPr="00D26FE8">
              <w:rPr>
                <w:rFonts w:cs="Arial"/>
                <w:b/>
                <w:bCs/>
                <w:sz w:val="16"/>
                <w:szCs w:val="16"/>
              </w:rPr>
              <w:t>2005</w:t>
            </w:r>
          </w:p>
        </w:tc>
        <w:tc>
          <w:tcPr>
            <w:tcW w:w="619" w:type="dxa"/>
            <w:tcBorders>
              <w:top w:val="single" w:sz="4" w:space="0" w:color="808080"/>
              <w:left w:val="nil"/>
              <w:bottom w:val="single" w:sz="4" w:space="0" w:color="808080"/>
              <w:right w:val="nil"/>
            </w:tcBorders>
            <w:shd w:val="clear" w:color="000000" w:fill="DAEEF3"/>
            <w:noWrap/>
            <w:vAlign w:val="center"/>
            <w:hideMark/>
          </w:tcPr>
          <w:p w14:paraId="1F898356" w14:textId="77777777" w:rsidR="00A56BD4" w:rsidRPr="00D26FE8" w:rsidRDefault="00A56BD4" w:rsidP="00A56BD4">
            <w:pPr>
              <w:spacing w:line="240" w:lineRule="auto"/>
              <w:jc w:val="right"/>
              <w:rPr>
                <w:rFonts w:cs="Arial"/>
                <w:b/>
                <w:bCs/>
                <w:sz w:val="16"/>
                <w:szCs w:val="16"/>
              </w:rPr>
            </w:pPr>
            <w:r w:rsidRPr="00D26FE8">
              <w:rPr>
                <w:rFonts w:cs="Arial"/>
                <w:b/>
                <w:bCs/>
                <w:sz w:val="16"/>
                <w:szCs w:val="16"/>
              </w:rPr>
              <w:t>2007</w:t>
            </w:r>
          </w:p>
        </w:tc>
        <w:tc>
          <w:tcPr>
            <w:tcW w:w="619" w:type="dxa"/>
            <w:tcBorders>
              <w:top w:val="single" w:sz="4" w:space="0" w:color="808080"/>
              <w:left w:val="nil"/>
              <w:bottom w:val="single" w:sz="4" w:space="0" w:color="808080"/>
              <w:right w:val="nil"/>
            </w:tcBorders>
            <w:shd w:val="clear" w:color="000000" w:fill="DAEEF3"/>
            <w:noWrap/>
            <w:vAlign w:val="center"/>
            <w:hideMark/>
          </w:tcPr>
          <w:p w14:paraId="798040F9" w14:textId="77777777" w:rsidR="00A56BD4" w:rsidRPr="00D26FE8" w:rsidRDefault="00A56BD4" w:rsidP="00A56BD4">
            <w:pPr>
              <w:spacing w:line="240" w:lineRule="auto"/>
              <w:jc w:val="right"/>
              <w:rPr>
                <w:rFonts w:cs="Arial"/>
                <w:b/>
                <w:bCs/>
                <w:sz w:val="16"/>
                <w:szCs w:val="16"/>
              </w:rPr>
            </w:pPr>
            <w:r w:rsidRPr="00D26FE8">
              <w:rPr>
                <w:rFonts w:cs="Arial"/>
                <w:b/>
                <w:bCs/>
                <w:sz w:val="16"/>
                <w:szCs w:val="16"/>
              </w:rPr>
              <w:t>2008</w:t>
            </w:r>
          </w:p>
        </w:tc>
        <w:tc>
          <w:tcPr>
            <w:tcW w:w="619" w:type="dxa"/>
            <w:tcBorders>
              <w:top w:val="single" w:sz="4" w:space="0" w:color="808080"/>
              <w:left w:val="nil"/>
              <w:bottom w:val="single" w:sz="4" w:space="0" w:color="808080"/>
              <w:right w:val="nil"/>
            </w:tcBorders>
            <w:shd w:val="clear" w:color="000000" w:fill="DAEEF3"/>
            <w:noWrap/>
            <w:vAlign w:val="center"/>
            <w:hideMark/>
          </w:tcPr>
          <w:p w14:paraId="484987C8" w14:textId="77777777" w:rsidR="00A56BD4" w:rsidRPr="00D26FE8" w:rsidRDefault="00A56BD4" w:rsidP="00A56BD4">
            <w:pPr>
              <w:spacing w:line="240" w:lineRule="auto"/>
              <w:jc w:val="right"/>
              <w:rPr>
                <w:rFonts w:cs="Arial"/>
                <w:b/>
                <w:bCs/>
                <w:sz w:val="16"/>
                <w:szCs w:val="16"/>
              </w:rPr>
            </w:pPr>
            <w:r w:rsidRPr="00D26FE8">
              <w:rPr>
                <w:rFonts w:cs="Arial"/>
                <w:b/>
                <w:bCs/>
                <w:sz w:val="16"/>
                <w:szCs w:val="16"/>
              </w:rPr>
              <w:t>2009</w:t>
            </w:r>
          </w:p>
        </w:tc>
        <w:tc>
          <w:tcPr>
            <w:tcW w:w="619" w:type="dxa"/>
            <w:tcBorders>
              <w:top w:val="single" w:sz="4" w:space="0" w:color="808080"/>
              <w:left w:val="nil"/>
              <w:bottom w:val="single" w:sz="4" w:space="0" w:color="808080"/>
              <w:right w:val="nil"/>
            </w:tcBorders>
            <w:shd w:val="clear" w:color="000000" w:fill="DAEEF3"/>
            <w:noWrap/>
            <w:vAlign w:val="center"/>
            <w:hideMark/>
          </w:tcPr>
          <w:p w14:paraId="47EAD481" w14:textId="77777777" w:rsidR="00A56BD4" w:rsidRPr="00D26FE8" w:rsidRDefault="00A56BD4" w:rsidP="00A56BD4">
            <w:pPr>
              <w:spacing w:line="240" w:lineRule="auto"/>
              <w:jc w:val="right"/>
              <w:rPr>
                <w:rFonts w:cs="Arial"/>
                <w:b/>
                <w:bCs/>
                <w:sz w:val="16"/>
                <w:szCs w:val="16"/>
              </w:rPr>
            </w:pPr>
            <w:r w:rsidRPr="00D26FE8">
              <w:rPr>
                <w:rFonts w:cs="Arial"/>
                <w:b/>
                <w:bCs/>
                <w:sz w:val="16"/>
                <w:szCs w:val="16"/>
              </w:rPr>
              <w:t>2010</w:t>
            </w:r>
          </w:p>
        </w:tc>
        <w:tc>
          <w:tcPr>
            <w:tcW w:w="619" w:type="dxa"/>
            <w:tcBorders>
              <w:top w:val="single" w:sz="4" w:space="0" w:color="808080"/>
              <w:left w:val="nil"/>
              <w:bottom w:val="single" w:sz="4" w:space="0" w:color="808080"/>
              <w:right w:val="nil"/>
            </w:tcBorders>
            <w:shd w:val="clear" w:color="000000" w:fill="DAEEF3"/>
            <w:noWrap/>
            <w:vAlign w:val="center"/>
            <w:hideMark/>
          </w:tcPr>
          <w:p w14:paraId="16E73255" w14:textId="77777777" w:rsidR="00A56BD4" w:rsidRPr="00D26FE8" w:rsidRDefault="00A56BD4" w:rsidP="00A56BD4">
            <w:pPr>
              <w:spacing w:line="240" w:lineRule="auto"/>
              <w:jc w:val="center"/>
              <w:rPr>
                <w:rFonts w:cs="Arial"/>
                <w:b/>
                <w:bCs/>
                <w:sz w:val="16"/>
                <w:szCs w:val="16"/>
              </w:rPr>
            </w:pPr>
            <w:r w:rsidRPr="00D26FE8">
              <w:rPr>
                <w:rFonts w:cs="Arial"/>
                <w:b/>
                <w:bCs/>
                <w:sz w:val="16"/>
                <w:szCs w:val="16"/>
              </w:rPr>
              <w:t>2011</w:t>
            </w:r>
          </w:p>
        </w:tc>
        <w:tc>
          <w:tcPr>
            <w:tcW w:w="619" w:type="dxa"/>
            <w:tcBorders>
              <w:top w:val="single" w:sz="4" w:space="0" w:color="808080"/>
              <w:left w:val="nil"/>
              <w:bottom w:val="single" w:sz="4" w:space="0" w:color="808080"/>
              <w:right w:val="nil"/>
            </w:tcBorders>
            <w:shd w:val="clear" w:color="000000" w:fill="DAEEF3"/>
            <w:noWrap/>
            <w:vAlign w:val="center"/>
            <w:hideMark/>
          </w:tcPr>
          <w:p w14:paraId="3E8295B6" w14:textId="77777777" w:rsidR="00A56BD4" w:rsidRPr="00D26FE8" w:rsidRDefault="00A56BD4" w:rsidP="00A56BD4">
            <w:pPr>
              <w:spacing w:line="240" w:lineRule="auto"/>
              <w:jc w:val="center"/>
              <w:rPr>
                <w:rFonts w:cs="Arial"/>
                <w:b/>
                <w:bCs/>
                <w:sz w:val="16"/>
                <w:szCs w:val="16"/>
              </w:rPr>
            </w:pPr>
            <w:r w:rsidRPr="00D26FE8">
              <w:rPr>
                <w:rFonts w:cs="Arial"/>
                <w:b/>
                <w:bCs/>
                <w:sz w:val="16"/>
                <w:szCs w:val="16"/>
              </w:rPr>
              <w:t>2012</w:t>
            </w:r>
          </w:p>
        </w:tc>
        <w:tc>
          <w:tcPr>
            <w:tcW w:w="619" w:type="dxa"/>
            <w:tcBorders>
              <w:top w:val="single" w:sz="4" w:space="0" w:color="808080"/>
              <w:left w:val="nil"/>
              <w:bottom w:val="single" w:sz="4" w:space="0" w:color="808080"/>
              <w:right w:val="nil"/>
            </w:tcBorders>
            <w:shd w:val="clear" w:color="000000" w:fill="DAEEF3"/>
            <w:noWrap/>
            <w:vAlign w:val="center"/>
            <w:hideMark/>
          </w:tcPr>
          <w:p w14:paraId="32B62EC0" w14:textId="77777777" w:rsidR="00A56BD4" w:rsidRPr="00D26FE8" w:rsidRDefault="00A56BD4" w:rsidP="00A56BD4">
            <w:pPr>
              <w:spacing w:line="240" w:lineRule="auto"/>
              <w:jc w:val="center"/>
              <w:rPr>
                <w:rFonts w:cs="Arial"/>
                <w:b/>
                <w:bCs/>
                <w:sz w:val="16"/>
                <w:szCs w:val="16"/>
              </w:rPr>
            </w:pPr>
            <w:r w:rsidRPr="00D26FE8">
              <w:rPr>
                <w:rFonts w:cs="Arial"/>
                <w:b/>
                <w:bCs/>
                <w:sz w:val="16"/>
                <w:szCs w:val="16"/>
              </w:rPr>
              <w:t>2013</w:t>
            </w:r>
          </w:p>
        </w:tc>
        <w:tc>
          <w:tcPr>
            <w:tcW w:w="619" w:type="dxa"/>
            <w:tcBorders>
              <w:top w:val="single" w:sz="4" w:space="0" w:color="808080"/>
              <w:left w:val="nil"/>
              <w:bottom w:val="single" w:sz="4" w:space="0" w:color="808080"/>
              <w:right w:val="nil"/>
            </w:tcBorders>
            <w:shd w:val="clear" w:color="000000" w:fill="DAEEF3"/>
            <w:noWrap/>
            <w:vAlign w:val="center"/>
            <w:hideMark/>
          </w:tcPr>
          <w:p w14:paraId="122C481B" w14:textId="77777777" w:rsidR="00A56BD4" w:rsidRPr="00D26FE8" w:rsidRDefault="00A56BD4" w:rsidP="00A56BD4">
            <w:pPr>
              <w:spacing w:line="240" w:lineRule="auto"/>
              <w:jc w:val="center"/>
              <w:rPr>
                <w:rFonts w:cs="Arial"/>
                <w:b/>
                <w:bCs/>
                <w:sz w:val="16"/>
                <w:szCs w:val="16"/>
              </w:rPr>
            </w:pPr>
            <w:r w:rsidRPr="00D26FE8">
              <w:rPr>
                <w:rFonts w:cs="Arial"/>
                <w:b/>
                <w:bCs/>
                <w:sz w:val="16"/>
                <w:szCs w:val="16"/>
              </w:rPr>
              <w:t>2014</w:t>
            </w:r>
          </w:p>
        </w:tc>
        <w:tc>
          <w:tcPr>
            <w:tcW w:w="619" w:type="dxa"/>
            <w:tcBorders>
              <w:top w:val="single" w:sz="4" w:space="0" w:color="808080"/>
              <w:left w:val="nil"/>
              <w:bottom w:val="single" w:sz="4" w:space="0" w:color="808080"/>
              <w:right w:val="nil"/>
            </w:tcBorders>
            <w:shd w:val="clear" w:color="000000" w:fill="DAEEF3"/>
            <w:noWrap/>
            <w:vAlign w:val="center"/>
            <w:hideMark/>
          </w:tcPr>
          <w:p w14:paraId="47D6EACE" w14:textId="77777777" w:rsidR="00A56BD4" w:rsidRPr="00D26FE8" w:rsidRDefault="00A56BD4" w:rsidP="00A56BD4">
            <w:pPr>
              <w:spacing w:line="240" w:lineRule="auto"/>
              <w:jc w:val="center"/>
              <w:rPr>
                <w:rFonts w:cs="Arial"/>
                <w:b/>
                <w:bCs/>
                <w:sz w:val="16"/>
                <w:szCs w:val="16"/>
              </w:rPr>
            </w:pPr>
            <w:r w:rsidRPr="00D26FE8">
              <w:rPr>
                <w:rFonts w:cs="Arial"/>
                <w:b/>
                <w:bCs/>
                <w:sz w:val="16"/>
                <w:szCs w:val="16"/>
              </w:rPr>
              <w:t>2015</w:t>
            </w:r>
          </w:p>
        </w:tc>
        <w:tc>
          <w:tcPr>
            <w:tcW w:w="619" w:type="dxa"/>
            <w:tcBorders>
              <w:top w:val="single" w:sz="4" w:space="0" w:color="808080"/>
              <w:left w:val="nil"/>
              <w:bottom w:val="single" w:sz="4" w:space="0" w:color="808080"/>
              <w:right w:val="nil"/>
            </w:tcBorders>
            <w:shd w:val="clear" w:color="000000" w:fill="DAEEF3"/>
            <w:noWrap/>
            <w:vAlign w:val="center"/>
            <w:hideMark/>
          </w:tcPr>
          <w:p w14:paraId="1AFAC71E" w14:textId="77777777" w:rsidR="00A56BD4" w:rsidRPr="00D26FE8" w:rsidRDefault="00A56BD4" w:rsidP="00A56BD4">
            <w:pPr>
              <w:spacing w:line="240" w:lineRule="auto"/>
              <w:jc w:val="center"/>
              <w:rPr>
                <w:rFonts w:cs="Arial"/>
                <w:b/>
                <w:bCs/>
                <w:sz w:val="16"/>
                <w:szCs w:val="16"/>
              </w:rPr>
            </w:pPr>
            <w:r w:rsidRPr="00D26FE8">
              <w:rPr>
                <w:rFonts w:cs="Arial"/>
                <w:b/>
                <w:bCs/>
                <w:sz w:val="16"/>
                <w:szCs w:val="16"/>
              </w:rPr>
              <w:t>2016</w:t>
            </w:r>
          </w:p>
        </w:tc>
        <w:tc>
          <w:tcPr>
            <w:tcW w:w="619" w:type="dxa"/>
            <w:tcBorders>
              <w:top w:val="single" w:sz="4" w:space="0" w:color="808080"/>
              <w:left w:val="nil"/>
              <w:bottom w:val="single" w:sz="4" w:space="0" w:color="808080"/>
              <w:right w:val="nil"/>
            </w:tcBorders>
            <w:shd w:val="clear" w:color="000000" w:fill="DAEEF3"/>
            <w:noWrap/>
            <w:vAlign w:val="center"/>
            <w:hideMark/>
          </w:tcPr>
          <w:p w14:paraId="21B57B0E" w14:textId="77777777" w:rsidR="00A56BD4" w:rsidRPr="00D26FE8" w:rsidRDefault="00A56BD4" w:rsidP="00A56BD4">
            <w:pPr>
              <w:spacing w:line="240" w:lineRule="auto"/>
              <w:jc w:val="center"/>
              <w:rPr>
                <w:rFonts w:cs="Arial"/>
                <w:b/>
                <w:bCs/>
                <w:sz w:val="16"/>
                <w:szCs w:val="16"/>
              </w:rPr>
            </w:pPr>
            <w:r w:rsidRPr="00D26FE8">
              <w:rPr>
                <w:rFonts w:cs="Arial"/>
                <w:b/>
                <w:bCs/>
                <w:sz w:val="16"/>
                <w:szCs w:val="16"/>
              </w:rPr>
              <w:t>2017</w:t>
            </w:r>
          </w:p>
        </w:tc>
      </w:tr>
      <w:tr w:rsidR="00CE0B54" w:rsidRPr="00A56BD4" w14:paraId="238D07E4" w14:textId="77777777" w:rsidTr="00D26FE8">
        <w:trPr>
          <w:trHeight w:val="378"/>
        </w:trPr>
        <w:tc>
          <w:tcPr>
            <w:tcW w:w="1536" w:type="dxa"/>
            <w:tcBorders>
              <w:top w:val="nil"/>
              <w:left w:val="nil"/>
              <w:bottom w:val="nil"/>
              <w:right w:val="nil"/>
            </w:tcBorders>
            <w:shd w:val="clear" w:color="auto" w:fill="auto"/>
            <w:vAlign w:val="center"/>
            <w:hideMark/>
          </w:tcPr>
          <w:p w14:paraId="5AFD0AA3" w14:textId="5B1756A0" w:rsidR="00A56BD4" w:rsidRPr="00D26FE8" w:rsidRDefault="00A56BD4" w:rsidP="00CE0B54">
            <w:pPr>
              <w:spacing w:line="240" w:lineRule="auto"/>
              <w:rPr>
                <w:rFonts w:cs="Arial"/>
                <w:color w:val="000000"/>
                <w:sz w:val="16"/>
                <w:szCs w:val="16"/>
              </w:rPr>
            </w:pPr>
            <w:r w:rsidRPr="00D26FE8">
              <w:rPr>
                <w:rFonts w:cs="Arial"/>
                <w:color w:val="000000"/>
                <w:sz w:val="16"/>
                <w:szCs w:val="16"/>
              </w:rPr>
              <w:t>Celk</w:t>
            </w:r>
            <w:r w:rsidR="00CE0B54" w:rsidRPr="00D26FE8">
              <w:rPr>
                <w:rFonts w:cs="Arial"/>
                <w:color w:val="000000"/>
                <w:sz w:val="16"/>
                <w:szCs w:val="16"/>
              </w:rPr>
              <w:t xml:space="preserve">em </w:t>
            </w:r>
            <w:r w:rsidRPr="00D26FE8">
              <w:rPr>
                <w:rFonts w:cs="Arial"/>
                <w:color w:val="000000"/>
                <w:sz w:val="16"/>
                <w:szCs w:val="16"/>
              </w:rPr>
              <w:t>v mld. Kč</w:t>
            </w:r>
          </w:p>
        </w:tc>
        <w:tc>
          <w:tcPr>
            <w:tcW w:w="619" w:type="dxa"/>
            <w:tcBorders>
              <w:top w:val="nil"/>
              <w:left w:val="single" w:sz="4" w:space="0" w:color="808080"/>
              <w:bottom w:val="nil"/>
              <w:right w:val="single" w:sz="4" w:space="0" w:color="808080"/>
            </w:tcBorders>
            <w:shd w:val="clear" w:color="auto" w:fill="auto"/>
            <w:noWrap/>
            <w:vAlign w:val="center"/>
            <w:hideMark/>
          </w:tcPr>
          <w:p w14:paraId="388DF831" w14:textId="77777777" w:rsidR="00A56BD4" w:rsidRPr="00D26FE8" w:rsidRDefault="00A56BD4" w:rsidP="00A56BD4">
            <w:pPr>
              <w:spacing w:line="240" w:lineRule="auto"/>
              <w:jc w:val="right"/>
              <w:rPr>
                <w:rFonts w:cs="Arial"/>
                <w:color w:val="000000"/>
                <w:sz w:val="16"/>
                <w:szCs w:val="16"/>
              </w:rPr>
            </w:pPr>
            <w:r w:rsidRPr="00D26FE8">
              <w:rPr>
                <w:rFonts w:cs="Arial"/>
                <w:color w:val="000000"/>
                <w:sz w:val="16"/>
                <w:szCs w:val="16"/>
              </w:rPr>
              <w:t>11,9</w:t>
            </w:r>
          </w:p>
        </w:tc>
        <w:tc>
          <w:tcPr>
            <w:tcW w:w="619" w:type="dxa"/>
            <w:tcBorders>
              <w:top w:val="nil"/>
              <w:left w:val="nil"/>
              <w:bottom w:val="nil"/>
              <w:right w:val="single" w:sz="4" w:space="0" w:color="808080"/>
            </w:tcBorders>
            <w:shd w:val="clear" w:color="auto" w:fill="auto"/>
            <w:noWrap/>
            <w:vAlign w:val="center"/>
            <w:hideMark/>
          </w:tcPr>
          <w:p w14:paraId="397735A2" w14:textId="77777777" w:rsidR="00A56BD4" w:rsidRPr="00D26FE8" w:rsidRDefault="00A56BD4" w:rsidP="00A56BD4">
            <w:pPr>
              <w:spacing w:line="240" w:lineRule="auto"/>
              <w:jc w:val="right"/>
              <w:rPr>
                <w:rFonts w:cs="Arial"/>
                <w:color w:val="000000"/>
                <w:sz w:val="16"/>
                <w:szCs w:val="16"/>
              </w:rPr>
            </w:pPr>
            <w:r w:rsidRPr="00D26FE8">
              <w:rPr>
                <w:rFonts w:cs="Arial"/>
                <w:color w:val="000000"/>
                <w:sz w:val="16"/>
                <w:szCs w:val="16"/>
              </w:rPr>
              <w:t>16,4</w:t>
            </w:r>
          </w:p>
        </w:tc>
        <w:tc>
          <w:tcPr>
            <w:tcW w:w="619" w:type="dxa"/>
            <w:tcBorders>
              <w:top w:val="nil"/>
              <w:left w:val="nil"/>
              <w:bottom w:val="nil"/>
              <w:right w:val="nil"/>
            </w:tcBorders>
            <w:shd w:val="clear" w:color="auto" w:fill="auto"/>
            <w:noWrap/>
            <w:vAlign w:val="center"/>
            <w:hideMark/>
          </w:tcPr>
          <w:p w14:paraId="2D516CC8" w14:textId="77777777" w:rsidR="00A56BD4" w:rsidRPr="00D26FE8" w:rsidRDefault="00A56BD4" w:rsidP="00A56BD4">
            <w:pPr>
              <w:spacing w:line="240" w:lineRule="auto"/>
              <w:jc w:val="right"/>
              <w:rPr>
                <w:rFonts w:cs="Arial"/>
                <w:color w:val="000000"/>
                <w:sz w:val="16"/>
                <w:szCs w:val="16"/>
              </w:rPr>
            </w:pPr>
            <w:r w:rsidRPr="00D26FE8">
              <w:rPr>
                <w:rFonts w:cs="Arial"/>
                <w:color w:val="000000"/>
                <w:sz w:val="16"/>
                <w:szCs w:val="16"/>
              </w:rPr>
              <w:t>20,5</w:t>
            </w:r>
          </w:p>
        </w:tc>
        <w:tc>
          <w:tcPr>
            <w:tcW w:w="619" w:type="dxa"/>
            <w:tcBorders>
              <w:top w:val="nil"/>
              <w:left w:val="nil"/>
              <w:bottom w:val="nil"/>
              <w:right w:val="nil"/>
            </w:tcBorders>
            <w:shd w:val="clear" w:color="auto" w:fill="auto"/>
            <w:noWrap/>
            <w:vAlign w:val="center"/>
            <w:hideMark/>
          </w:tcPr>
          <w:p w14:paraId="27C701D6" w14:textId="77777777" w:rsidR="00A56BD4" w:rsidRPr="00D26FE8" w:rsidRDefault="00A56BD4" w:rsidP="00A56BD4">
            <w:pPr>
              <w:spacing w:line="240" w:lineRule="auto"/>
              <w:jc w:val="right"/>
              <w:rPr>
                <w:rFonts w:cs="Arial"/>
                <w:color w:val="000000"/>
                <w:sz w:val="16"/>
                <w:szCs w:val="16"/>
              </w:rPr>
            </w:pPr>
            <w:r w:rsidRPr="00D26FE8">
              <w:rPr>
                <w:rFonts w:cs="Arial"/>
                <w:color w:val="000000"/>
                <w:sz w:val="16"/>
                <w:szCs w:val="16"/>
              </w:rPr>
              <w:t>20,5</w:t>
            </w:r>
          </w:p>
        </w:tc>
        <w:tc>
          <w:tcPr>
            <w:tcW w:w="619" w:type="dxa"/>
            <w:tcBorders>
              <w:top w:val="nil"/>
              <w:left w:val="nil"/>
              <w:bottom w:val="nil"/>
              <w:right w:val="nil"/>
            </w:tcBorders>
            <w:shd w:val="clear" w:color="auto" w:fill="auto"/>
            <w:noWrap/>
            <w:vAlign w:val="center"/>
            <w:hideMark/>
          </w:tcPr>
          <w:p w14:paraId="189E25AB" w14:textId="77777777" w:rsidR="00A56BD4" w:rsidRPr="00D26FE8" w:rsidRDefault="00A56BD4" w:rsidP="00A56BD4">
            <w:pPr>
              <w:spacing w:line="240" w:lineRule="auto"/>
              <w:jc w:val="right"/>
              <w:rPr>
                <w:rFonts w:cs="Arial"/>
                <w:color w:val="000000"/>
                <w:sz w:val="16"/>
                <w:szCs w:val="16"/>
              </w:rPr>
            </w:pPr>
            <w:r w:rsidRPr="00D26FE8">
              <w:rPr>
                <w:rFonts w:cs="Arial"/>
                <w:color w:val="000000"/>
                <w:sz w:val="16"/>
                <w:szCs w:val="16"/>
              </w:rPr>
              <w:t>23,0</w:t>
            </w:r>
          </w:p>
        </w:tc>
        <w:tc>
          <w:tcPr>
            <w:tcW w:w="619" w:type="dxa"/>
            <w:tcBorders>
              <w:top w:val="nil"/>
              <w:left w:val="nil"/>
              <w:bottom w:val="nil"/>
              <w:right w:val="nil"/>
            </w:tcBorders>
            <w:shd w:val="clear" w:color="auto" w:fill="auto"/>
            <w:noWrap/>
            <w:vAlign w:val="center"/>
            <w:hideMark/>
          </w:tcPr>
          <w:p w14:paraId="0617CA12" w14:textId="77777777" w:rsidR="00A56BD4" w:rsidRPr="00D26FE8" w:rsidRDefault="00A56BD4" w:rsidP="00A56BD4">
            <w:pPr>
              <w:spacing w:line="240" w:lineRule="auto"/>
              <w:jc w:val="right"/>
              <w:rPr>
                <w:rFonts w:cs="Arial"/>
                <w:color w:val="000000"/>
                <w:sz w:val="16"/>
                <w:szCs w:val="16"/>
              </w:rPr>
            </w:pPr>
            <w:r w:rsidRPr="00D26FE8">
              <w:rPr>
                <w:rFonts w:cs="Arial"/>
                <w:color w:val="000000"/>
                <w:sz w:val="16"/>
                <w:szCs w:val="16"/>
              </w:rPr>
              <w:t>22,6</w:t>
            </w:r>
          </w:p>
        </w:tc>
        <w:tc>
          <w:tcPr>
            <w:tcW w:w="619" w:type="dxa"/>
            <w:tcBorders>
              <w:top w:val="nil"/>
              <w:left w:val="nil"/>
              <w:bottom w:val="nil"/>
              <w:right w:val="nil"/>
            </w:tcBorders>
            <w:shd w:val="clear" w:color="auto" w:fill="auto"/>
            <w:noWrap/>
            <w:vAlign w:val="center"/>
            <w:hideMark/>
          </w:tcPr>
          <w:p w14:paraId="59AFC9D0" w14:textId="77777777" w:rsidR="00A56BD4" w:rsidRPr="00D26FE8" w:rsidRDefault="00A56BD4" w:rsidP="00A56BD4">
            <w:pPr>
              <w:spacing w:line="240" w:lineRule="auto"/>
              <w:jc w:val="right"/>
              <w:rPr>
                <w:rFonts w:cs="Arial"/>
                <w:color w:val="000000"/>
                <w:sz w:val="16"/>
                <w:szCs w:val="16"/>
              </w:rPr>
            </w:pPr>
            <w:r w:rsidRPr="00D26FE8">
              <w:rPr>
                <w:rFonts w:cs="Arial"/>
                <w:color w:val="000000"/>
                <w:sz w:val="16"/>
                <w:szCs w:val="16"/>
              </w:rPr>
              <w:t>25,8</w:t>
            </w:r>
          </w:p>
        </w:tc>
        <w:tc>
          <w:tcPr>
            <w:tcW w:w="619" w:type="dxa"/>
            <w:tcBorders>
              <w:top w:val="nil"/>
              <w:left w:val="nil"/>
              <w:bottom w:val="nil"/>
              <w:right w:val="nil"/>
            </w:tcBorders>
            <w:shd w:val="clear" w:color="auto" w:fill="auto"/>
            <w:noWrap/>
            <w:vAlign w:val="center"/>
            <w:hideMark/>
          </w:tcPr>
          <w:p w14:paraId="47DE1005" w14:textId="77777777" w:rsidR="00A56BD4" w:rsidRPr="00D26FE8" w:rsidRDefault="00A56BD4" w:rsidP="00A56BD4">
            <w:pPr>
              <w:spacing w:line="240" w:lineRule="auto"/>
              <w:jc w:val="right"/>
              <w:rPr>
                <w:rFonts w:cs="Arial"/>
                <w:color w:val="000000"/>
                <w:sz w:val="16"/>
                <w:szCs w:val="16"/>
              </w:rPr>
            </w:pPr>
            <w:r w:rsidRPr="00D26FE8">
              <w:rPr>
                <w:rFonts w:cs="Arial"/>
                <w:color w:val="000000"/>
                <w:sz w:val="16"/>
                <w:szCs w:val="16"/>
              </w:rPr>
              <w:t>26,2</w:t>
            </w:r>
          </w:p>
        </w:tc>
        <w:tc>
          <w:tcPr>
            <w:tcW w:w="619" w:type="dxa"/>
            <w:tcBorders>
              <w:top w:val="nil"/>
              <w:left w:val="nil"/>
              <w:bottom w:val="nil"/>
              <w:right w:val="nil"/>
            </w:tcBorders>
            <w:shd w:val="clear" w:color="auto" w:fill="auto"/>
            <w:noWrap/>
            <w:vAlign w:val="center"/>
            <w:hideMark/>
          </w:tcPr>
          <w:p w14:paraId="2D197964" w14:textId="77777777" w:rsidR="00A56BD4" w:rsidRPr="00D26FE8" w:rsidRDefault="00A56BD4" w:rsidP="00A56BD4">
            <w:pPr>
              <w:spacing w:line="240" w:lineRule="auto"/>
              <w:jc w:val="right"/>
              <w:rPr>
                <w:rFonts w:cs="Arial"/>
                <w:color w:val="000000"/>
                <w:sz w:val="16"/>
                <w:szCs w:val="16"/>
              </w:rPr>
            </w:pPr>
            <w:r w:rsidRPr="00D26FE8">
              <w:rPr>
                <w:rFonts w:cs="Arial"/>
                <w:color w:val="000000"/>
                <w:sz w:val="16"/>
                <w:szCs w:val="16"/>
              </w:rPr>
              <w:t>26,7</w:t>
            </w:r>
          </w:p>
        </w:tc>
        <w:tc>
          <w:tcPr>
            <w:tcW w:w="619" w:type="dxa"/>
            <w:tcBorders>
              <w:top w:val="nil"/>
              <w:left w:val="nil"/>
              <w:bottom w:val="nil"/>
              <w:right w:val="nil"/>
            </w:tcBorders>
            <w:shd w:val="clear" w:color="auto" w:fill="auto"/>
            <w:noWrap/>
            <w:vAlign w:val="center"/>
            <w:hideMark/>
          </w:tcPr>
          <w:p w14:paraId="4552C88B" w14:textId="77777777" w:rsidR="00A56BD4" w:rsidRPr="00D26FE8" w:rsidRDefault="00A56BD4" w:rsidP="00A56BD4">
            <w:pPr>
              <w:spacing w:line="240" w:lineRule="auto"/>
              <w:jc w:val="right"/>
              <w:rPr>
                <w:rFonts w:cs="Arial"/>
                <w:color w:val="000000"/>
                <w:sz w:val="16"/>
                <w:szCs w:val="16"/>
              </w:rPr>
            </w:pPr>
            <w:r w:rsidRPr="00D26FE8">
              <w:rPr>
                <w:rFonts w:cs="Arial"/>
                <w:color w:val="000000"/>
                <w:sz w:val="16"/>
                <w:szCs w:val="16"/>
              </w:rPr>
              <w:t>27,3</w:t>
            </w:r>
          </w:p>
        </w:tc>
        <w:tc>
          <w:tcPr>
            <w:tcW w:w="619" w:type="dxa"/>
            <w:tcBorders>
              <w:top w:val="nil"/>
              <w:left w:val="nil"/>
              <w:bottom w:val="nil"/>
              <w:right w:val="nil"/>
            </w:tcBorders>
            <w:shd w:val="clear" w:color="auto" w:fill="auto"/>
            <w:noWrap/>
            <w:vAlign w:val="center"/>
            <w:hideMark/>
          </w:tcPr>
          <w:p w14:paraId="13E466D3" w14:textId="77777777" w:rsidR="00A56BD4" w:rsidRPr="00D26FE8" w:rsidRDefault="00A56BD4" w:rsidP="00A56BD4">
            <w:pPr>
              <w:spacing w:line="240" w:lineRule="auto"/>
              <w:jc w:val="right"/>
              <w:rPr>
                <w:rFonts w:cs="Arial"/>
                <w:color w:val="000000"/>
                <w:sz w:val="16"/>
                <w:szCs w:val="16"/>
              </w:rPr>
            </w:pPr>
            <w:r w:rsidRPr="00D26FE8">
              <w:rPr>
                <w:rFonts w:cs="Arial"/>
                <w:color w:val="000000"/>
                <w:sz w:val="16"/>
                <w:szCs w:val="16"/>
              </w:rPr>
              <w:t>27,9</w:t>
            </w:r>
          </w:p>
        </w:tc>
        <w:tc>
          <w:tcPr>
            <w:tcW w:w="619" w:type="dxa"/>
            <w:tcBorders>
              <w:top w:val="nil"/>
              <w:left w:val="nil"/>
              <w:bottom w:val="nil"/>
              <w:right w:val="nil"/>
            </w:tcBorders>
            <w:shd w:val="clear" w:color="auto" w:fill="auto"/>
            <w:noWrap/>
            <w:vAlign w:val="center"/>
            <w:hideMark/>
          </w:tcPr>
          <w:p w14:paraId="3C495676" w14:textId="77777777" w:rsidR="00A56BD4" w:rsidRPr="00D26FE8" w:rsidRDefault="00A56BD4" w:rsidP="00A56BD4">
            <w:pPr>
              <w:spacing w:line="240" w:lineRule="auto"/>
              <w:jc w:val="right"/>
              <w:rPr>
                <w:rFonts w:cs="Arial"/>
                <w:color w:val="000000"/>
                <w:sz w:val="16"/>
                <w:szCs w:val="16"/>
              </w:rPr>
            </w:pPr>
            <w:r w:rsidRPr="00D26FE8">
              <w:rPr>
                <w:rFonts w:cs="Arial"/>
                <w:color w:val="000000"/>
                <w:sz w:val="16"/>
                <w:szCs w:val="16"/>
              </w:rPr>
              <w:t>28,0</w:t>
            </w:r>
          </w:p>
        </w:tc>
        <w:tc>
          <w:tcPr>
            <w:tcW w:w="619" w:type="dxa"/>
            <w:tcBorders>
              <w:top w:val="nil"/>
              <w:left w:val="nil"/>
              <w:bottom w:val="nil"/>
              <w:right w:val="nil"/>
            </w:tcBorders>
            <w:shd w:val="clear" w:color="auto" w:fill="auto"/>
            <w:noWrap/>
            <w:vAlign w:val="center"/>
            <w:hideMark/>
          </w:tcPr>
          <w:p w14:paraId="6486D457" w14:textId="77777777" w:rsidR="00A56BD4" w:rsidRPr="00D26FE8" w:rsidRDefault="00A56BD4" w:rsidP="00A56BD4">
            <w:pPr>
              <w:spacing w:line="240" w:lineRule="auto"/>
              <w:jc w:val="right"/>
              <w:rPr>
                <w:rFonts w:cs="Arial"/>
                <w:color w:val="000000"/>
                <w:sz w:val="16"/>
                <w:szCs w:val="16"/>
              </w:rPr>
            </w:pPr>
            <w:r w:rsidRPr="00D26FE8">
              <w:rPr>
                <w:rFonts w:cs="Arial"/>
                <w:color w:val="000000"/>
                <w:sz w:val="16"/>
                <w:szCs w:val="16"/>
              </w:rPr>
              <w:t>30,7</w:t>
            </w:r>
          </w:p>
        </w:tc>
      </w:tr>
      <w:tr w:rsidR="00CE0B54" w:rsidRPr="00A56BD4" w14:paraId="0993340B" w14:textId="77777777" w:rsidTr="00D26FE8">
        <w:trPr>
          <w:trHeight w:val="378"/>
        </w:trPr>
        <w:tc>
          <w:tcPr>
            <w:tcW w:w="1536" w:type="dxa"/>
            <w:tcBorders>
              <w:top w:val="nil"/>
              <w:left w:val="nil"/>
              <w:bottom w:val="nil"/>
              <w:right w:val="nil"/>
            </w:tcBorders>
            <w:shd w:val="clear" w:color="auto" w:fill="auto"/>
            <w:vAlign w:val="center"/>
            <w:hideMark/>
          </w:tcPr>
          <w:p w14:paraId="74747A16" w14:textId="15CD70E5" w:rsidR="00A56BD4" w:rsidRPr="00D26FE8" w:rsidRDefault="00A33985" w:rsidP="00A56BD4">
            <w:pPr>
              <w:spacing w:line="240" w:lineRule="auto"/>
              <w:rPr>
                <w:rFonts w:cs="Arial"/>
                <w:color w:val="000000"/>
                <w:sz w:val="16"/>
                <w:szCs w:val="16"/>
              </w:rPr>
            </w:pPr>
            <w:r w:rsidRPr="00D26FE8">
              <w:rPr>
                <w:rFonts w:cs="Arial"/>
                <w:color w:val="000000"/>
                <w:sz w:val="16"/>
                <w:szCs w:val="16"/>
              </w:rPr>
              <w:t>P</w:t>
            </w:r>
            <w:r w:rsidR="00A56BD4" w:rsidRPr="00D26FE8">
              <w:rPr>
                <w:rFonts w:cs="Arial"/>
                <w:color w:val="000000"/>
                <w:sz w:val="16"/>
                <w:szCs w:val="16"/>
              </w:rPr>
              <w:t>odíl na HDP</w:t>
            </w:r>
          </w:p>
        </w:tc>
        <w:tc>
          <w:tcPr>
            <w:tcW w:w="619" w:type="dxa"/>
            <w:tcBorders>
              <w:top w:val="nil"/>
              <w:left w:val="single" w:sz="4" w:space="0" w:color="808080"/>
              <w:bottom w:val="nil"/>
              <w:right w:val="single" w:sz="4" w:space="0" w:color="808080"/>
            </w:tcBorders>
            <w:shd w:val="clear" w:color="auto" w:fill="auto"/>
            <w:noWrap/>
            <w:vAlign w:val="center"/>
            <w:hideMark/>
          </w:tcPr>
          <w:p w14:paraId="337C8A0A" w14:textId="77777777" w:rsidR="00A56BD4" w:rsidRPr="00D26FE8" w:rsidRDefault="00A56BD4" w:rsidP="00A56BD4">
            <w:pPr>
              <w:spacing w:line="240" w:lineRule="auto"/>
              <w:jc w:val="right"/>
              <w:rPr>
                <w:rFonts w:cs="Arial"/>
                <w:color w:val="000000"/>
                <w:sz w:val="16"/>
                <w:szCs w:val="16"/>
              </w:rPr>
            </w:pPr>
            <w:r w:rsidRPr="00D26FE8">
              <w:rPr>
                <w:rFonts w:cs="Arial"/>
                <w:color w:val="000000"/>
                <w:sz w:val="16"/>
                <w:szCs w:val="16"/>
              </w:rPr>
              <w:t>0,50%</w:t>
            </w:r>
          </w:p>
        </w:tc>
        <w:tc>
          <w:tcPr>
            <w:tcW w:w="619" w:type="dxa"/>
            <w:tcBorders>
              <w:top w:val="nil"/>
              <w:left w:val="nil"/>
              <w:bottom w:val="nil"/>
              <w:right w:val="single" w:sz="4" w:space="0" w:color="808080"/>
            </w:tcBorders>
            <w:shd w:val="clear" w:color="auto" w:fill="auto"/>
            <w:noWrap/>
            <w:vAlign w:val="center"/>
            <w:hideMark/>
          </w:tcPr>
          <w:p w14:paraId="4BC878C6" w14:textId="77777777" w:rsidR="00A56BD4" w:rsidRPr="00D26FE8" w:rsidRDefault="00A56BD4" w:rsidP="00A56BD4">
            <w:pPr>
              <w:spacing w:line="240" w:lineRule="auto"/>
              <w:jc w:val="right"/>
              <w:rPr>
                <w:rFonts w:cs="Arial"/>
                <w:color w:val="000000"/>
                <w:sz w:val="16"/>
                <w:szCs w:val="16"/>
              </w:rPr>
            </w:pPr>
            <w:r w:rsidRPr="00D26FE8">
              <w:rPr>
                <w:rFonts w:cs="Arial"/>
                <w:color w:val="000000"/>
                <w:sz w:val="16"/>
                <w:szCs w:val="16"/>
              </w:rPr>
              <w:t>0,50%</w:t>
            </w:r>
          </w:p>
        </w:tc>
        <w:tc>
          <w:tcPr>
            <w:tcW w:w="619" w:type="dxa"/>
            <w:tcBorders>
              <w:top w:val="nil"/>
              <w:left w:val="nil"/>
              <w:bottom w:val="nil"/>
              <w:right w:val="nil"/>
            </w:tcBorders>
            <w:shd w:val="clear" w:color="auto" w:fill="auto"/>
            <w:noWrap/>
            <w:vAlign w:val="center"/>
            <w:hideMark/>
          </w:tcPr>
          <w:p w14:paraId="64CE2748" w14:textId="77777777" w:rsidR="00A56BD4" w:rsidRPr="00D26FE8" w:rsidRDefault="00A56BD4" w:rsidP="00A56BD4">
            <w:pPr>
              <w:spacing w:line="240" w:lineRule="auto"/>
              <w:jc w:val="right"/>
              <w:rPr>
                <w:rFonts w:cs="Arial"/>
                <w:color w:val="000000"/>
                <w:sz w:val="16"/>
                <w:szCs w:val="16"/>
              </w:rPr>
            </w:pPr>
            <w:r w:rsidRPr="00D26FE8">
              <w:rPr>
                <w:rFonts w:cs="Arial"/>
                <w:color w:val="000000"/>
                <w:sz w:val="16"/>
                <w:szCs w:val="16"/>
              </w:rPr>
              <w:t>0,53%</w:t>
            </w:r>
          </w:p>
        </w:tc>
        <w:tc>
          <w:tcPr>
            <w:tcW w:w="619" w:type="dxa"/>
            <w:tcBorders>
              <w:top w:val="nil"/>
              <w:left w:val="nil"/>
              <w:bottom w:val="nil"/>
              <w:right w:val="nil"/>
            </w:tcBorders>
            <w:shd w:val="clear" w:color="auto" w:fill="auto"/>
            <w:noWrap/>
            <w:vAlign w:val="center"/>
            <w:hideMark/>
          </w:tcPr>
          <w:p w14:paraId="53C5EFD0" w14:textId="77777777" w:rsidR="00A56BD4" w:rsidRPr="00D26FE8" w:rsidRDefault="00A56BD4" w:rsidP="00A56BD4">
            <w:pPr>
              <w:spacing w:line="240" w:lineRule="auto"/>
              <w:jc w:val="right"/>
              <w:rPr>
                <w:rFonts w:cs="Arial"/>
                <w:color w:val="000000"/>
                <w:sz w:val="16"/>
                <w:szCs w:val="16"/>
              </w:rPr>
            </w:pPr>
            <w:r w:rsidRPr="00D26FE8">
              <w:rPr>
                <w:rFonts w:cs="Arial"/>
                <w:color w:val="000000"/>
                <w:sz w:val="16"/>
                <w:szCs w:val="16"/>
              </w:rPr>
              <w:t>0,51%</w:t>
            </w:r>
          </w:p>
        </w:tc>
        <w:tc>
          <w:tcPr>
            <w:tcW w:w="619" w:type="dxa"/>
            <w:tcBorders>
              <w:top w:val="nil"/>
              <w:left w:val="nil"/>
              <w:bottom w:val="nil"/>
              <w:right w:val="nil"/>
            </w:tcBorders>
            <w:shd w:val="clear" w:color="auto" w:fill="auto"/>
            <w:noWrap/>
            <w:vAlign w:val="center"/>
            <w:hideMark/>
          </w:tcPr>
          <w:p w14:paraId="6B8DE5A9" w14:textId="77777777" w:rsidR="00A56BD4" w:rsidRPr="00D26FE8" w:rsidRDefault="00A56BD4" w:rsidP="00A56BD4">
            <w:pPr>
              <w:spacing w:line="240" w:lineRule="auto"/>
              <w:jc w:val="right"/>
              <w:rPr>
                <w:rFonts w:cs="Arial"/>
                <w:color w:val="000000"/>
                <w:sz w:val="16"/>
                <w:szCs w:val="16"/>
              </w:rPr>
            </w:pPr>
            <w:r w:rsidRPr="00D26FE8">
              <w:rPr>
                <w:rFonts w:cs="Arial"/>
                <w:color w:val="000000"/>
                <w:sz w:val="16"/>
                <w:szCs w:val="16"/>
              </w:rPr>
              <w:t>0,59%</w:t>
            </w:r>
          </w:p>
        </w:tc>
        <w:tc>
          <w:tcPr>
            <w:tcW w:w="619" w:type="dxa"/>
            <w:tcBorders>
              <w:top w:val="nil"/>
              <w:left w:val="nil"/>
              <w:bottom w:val="nil"/>
              <w:right w:val="nil"/>
            </w:tcBorders>
            <w:shd w:val="clear" w:color="auto" w:fill="auto"/>
            <w:noWrap/>
            <w:vAlign w:val="center"/>
            <w:hideMark/>
          </w:tcPr>
          <w:p w14:paraId="3DB08233" w14:textId="77777777" w:rsidR="00A56BD4" w:rsidRPr="00D26FE8" w:rsidRDefault="00A56BD4" w:rsidP="00A56BD4">
            <w:pPr>
              <w:spacing w:line="240" w:lineRule="auto"/>
              <w:jc w:val="right"/>
              <w:rPr>
                <w:rFonts w:cs="Arial"/>
                <w:color w:val="000000"/>
                <w:sz w:val="16"/>
                <w:szCs w:val="16"/>
              </w:rPr>
            </w:pPr>
            <w:r w:rsidRPr="00D26FE8">
              <w:rPr>
                <w:rFonts w:cs="Arial"/>
                <w:color w:val="000000"/>
                <w:sz w:val="16"/>
                <w:szCs w:val="16"/>
              </w:rPr>
              <w:t>0,57%</w:t>
            </w:r>
          </w:p>
        </w:tc>
        <w:tc>
          <w:tcPr>
            <w:tcW w:w="619" w:type="dxa"/>
            <w:tcBorders>
              <w:top w:val="nil"/>
              <w:left w:val="nil"/>
              <w:bottom w:val="nil"/>
              <w:right w:val="nil"/>
            </w:tcBorders>
            <w:shd w:val="clear" w:color="auto" w:fill="auto"/>
            <w:noWrap/>
            <w:vAlign w:val="center"/>
            <w:hideMark/>
          </w:tcPr>
          <w:p w14:paraId="377FB778" w14:textId="77777777" w:rsidR="00A56BD4" w:rsidRPr="00D26FE8" w:rsidRDefault="00A56BD4" w:rsidP="00A56BD4">
            <w:pPr>
              <w:spacing w:line="240" w:lineRule="auto"/>
              <w:jc w:val="right"/>
              <w:rPr>
                <w:rFonts w:cs="Arial"/>
                <w:color w:val="000000"/>
                <w:sz w:val="16"/>
                <w:szCs w:val="16"/>
              </w:rPr>
            </w:pPr>
            <w:r w:rsidRPr="00D26FE8">
              <w:rPr>
                <w:rFonts w:cs="Arial"/>
                <w:color w:val="000000"/>
                <w:sz w:val="16"/>
                <w:szCs w:val="16"/>
              </w:rPr>
              <w:t>0,64%</w:t>
            </w:r>
          </w:p>
        </w:tc>
        <w:tc>
          <w:tcPr>
            <w:tcW w:w="619" w:type="dxa"/>
            <w:tcBorders>
              <w:top w:val="nil"/>
              <w:left w:val="nil"/>
              <w:bottom w:val="nil"/>
              <w:right w:val="nil"/>
            </w:tcBorders>
            <w:shd w:val="clear" w:color="auto" w:fill="auto"/>
            <w:noWrap/>
            <w:vAlign w:val="center"/>
            <w:hideMark/>
          </w:tcPr>
          <w:p w14:paraId="39AE415F" w14:textId="77777777" w:rsidR="00A56BD4" w:rsidRPr="00D26FE8" w:rsidRDefault="00A56BD4" w:rsidP="00A56BD4">
            <w:pPr>
              <w:spacing w:line="240" w:lineRule="auto"/>
              <w:jc w:val="right"/>
              <w:rPr>
                <w:rFonts w:cs="Arial"/>
                <w:color w:val="000000"/>
                <w:sz w:val="16"/>
                <w:szCs w:val="16"/>
              </w:rPr>
            </w:pPr>
            <w:r w:rsidRPr="00D26FE8">
              <w:rPr>
                <w:rFonts w:cs="Arial"/>
                <w:color w:val="000000"/>
                <w:sz w:val="16"/>
                <w:szCs w:val="16"/>
              </w:rPr>
              <w:t>0,64%</w:t>
            </w:r>
          </w:p>
        </w:tc>
        <w:tc>
          <w:tcPr>
            <w:tcW w:w="619" w:type="dxa"/>
            <w:tcBorders>
              <w:top w:val="nil"/>
              <w:left w:val="nil"/>
              <w:bottom w:val="nil"/>
              <w:right w:val="nil"/>
            </w:tcBorders>
            <w:shd w:val="clear" w:color="auto" w:fill="auto"/>
            <w:noWrap/>
            <w:vAlign w:val="center"/>
            <w:hideMark/>
          </w:tcPr>
          <w:p w14:paraId="6D0EBDFD" w14:textId="77777777" w:rsidR="00A56BD4" w:rsidRPr="00D26FE8" w:rsidRDefault="00A56BD4" w:rsidP="00A56BD4">
            <w:pPr>
              <w:spacing w:line="240" w:lineRule="auto"/>
              <w:jc w:val="right"/>
              <w:rPr>
                <w:rFonts w:cs="Arial"/>
                <w:color w:val="000000"/>
                <w:sz w:val="16"/>
                <w:szCs w:val="16"/>
              </w:rPr>
            </w:pPr>
            <w:r w:rsidRPr="00D26FE8">
              <w:rPr>
                <w:rFonts w:cs="Arial"/>
                <w:color w:val="000000"/>
                <w:sz w:val="16"/>
                <w:szCs w:val="16"/>
              </w:rPr>
              <w:t>0,65%</w:t>
            </w:r>
          </w:p>
        </w:tc>
        <w:tc>
          <w:tcPr>
            <w:tcW w:w="619" w:type="dxa"/>
            <w:tcBorders>
              <w:top w:val="nil"/>
              <w:left w:val="nil"/>
              <w:bottom w:val="nil"/>
              <w:right w:val="nil"/>
            </w:tcBorders>
            <w:shd w:val="clear" w:color="auto" w:fill="auto"/>
            <w:noWrap/>
            <w:vAlign w:val="center"/>
            <w:hideMark/>
          </w:tcPr>
          <w:p w14:paraId="699B8300" w14:textId="77777777" w:rsidR="00A56BD4" w:rsidRPr="00D26FE8" w:rsidRDefault="00A56BD4" w:rsidP="00A56BD4">
            <w:pPr>
              <w:spacing w:line="240" w:lineRule="auto"/>
              <w:jc w:val="right"/>
              <w:rPr>
                <w:rFonts w:cs="Arial"/>
                <w:color w:val="000000"/>
                <w:sz w:val="16"/>
                <w:szCs w:val="16"/>
              </w:rPr>
            </w:pPr>
            <w:r w:rsidRPr="00D26FE8">
              <w:rPr>
                <w:rFonts w:cs="Arial"/>
                <w:color w:val="000000"/>
                <w:sz w:val="16"/>
                <w:szCs w:val="16"/>
              </w:rPr>
              <w:t>0,63%</w:t>
            </w:r>
          </w:p>
        </w:tc>
        <w:tc>
          <w:tcPr>
            <w:tcW w:w="619" w:type="dxa"/>
            <w:tcBorders>
              <w:top w:val="nil"/>
              <w:left w:val="nil"/>
              <w:bottom w:val="nil"/>
              <w:right w:val="nil"/>
            </w:tcBorders>
            <w:shd w:val="clear" w:color="auto" w:fill="auto"/>
            <w:noWrap/>
            <w:vAlign w:val="center"/>
            <w:hideMark/>
          </w:tcPr>
          <w:p w14:paraId="0DFD8D04" w14:textId="77777777" w:rsidR="00A56BD4" w:rsidRPr="00D26FE8" w:rsidRDefault="00A56BD4" w:rsidP="00A56BD4">
            <w:pPr>
              <w:spacing w:line="240" w:lineRule="auto"/>
              <w:jc w:val="right"/>
              <w:rPr>
                <w:rFonts w:cs="Arial"/>
                <w:color w:val="000000"/>
                <w:sz w:val="16"/>
                <w:szCs w:val="16"/>
              </w:rPr>
            </w:pPr>
            <w:r w:rsidRPr="00D26FE8">
              <w:rPr>
                <w:rFonts w:cs="Arial"/>
                <w:color w:val="000000"/>
                <w:sz w:val="16"/>
                <w:szCs w:val="16"/>
              </w:rPr>
              <w:t>0,61%</w:t>
            </w:r>
          </w:p>
        </w:tc>
        <w:tc>
          <w:tcPr>
            <w:tcW w:w="619" w:type="dxa"/>
            <w:tcBorders>
              <w:top w:val="nil"/>
              <w:left w:val="nil"/>
              <w:bottom w:val="nil"/>
              <w:right w:val="nil"/>
            </w:tcBorders>
            <w:shd w:val="clear" w:color="auto" w:fill="auto"/>
            <w:noWrap/>
            <w:vAlign w:val="center"/>
            <w:hideMark/>
          </w:tcPr>
          <w:p w14:paraId="53178926" w14:textId="77777777" w:rsidR="00A56BD4" w:rsidRPr="00D26FE8" w:rsidRDefault="00A56BD4" w:rsidP="00A56BD4">
            <w:pPr>
              <w:spacing w:line="240" w:lineRule="auto"/>
              <w:jc w:val="right"/>
              <w:rPr>
                <w:rFonts w:cs="Arial"/>
                <w:color w:val="000000"/>
                <w:sz w:val="16"/>
                <w:szCs w:val="16"/>
              </w:rPr>
            </w:pPr>
            <w:r w:rsidRPr="00D26FE8">
              <w:rPr>
                <w:rFonts w:cs="Arial"/>
                <w:color w:val="000000"/>
                <w:sz w:val="16"/>
                <w:szCs w:val="16"/>
              </w:rPr>
              <w:t>0,59%</w:t>
            </w:r>
          </w:p>
        </w:tc>
        <w:tc>
          <w:tcPr>
            <w:tcW w:w="619" w:type="dxa"/>
            <w:tcBorders>
              <w:top w:val="nil"/>
              <w:left w:val="nil"/>
              <w:bottom w:val="nil"/>
              <w:right w:val="nil"/>
            </w:tcBorders>
            <w:shd w:val="clear" w:color="auto" w:fill="auto"/>
            <w:noWrap/>
            <w:vAlign w:val="center"/>
            <w:hideMark/>
          </w:tcPr>
          <w:p w14:paraId="48F56792" w14:textId="77777777" w:rsidR="00A56BD4" w:rsidRPr="00D26FE8" w:rsidRDefault="00A56BD4" w:rsidP="00A56BD4">
            <w:pPr>
              <w:spacing w:line="240" w:lineRule="auto"/>
              <w:jc w:val="right"/>
              <w:rPr>
                <w:rFonts w:cs="Arial"/>
                <w:color w:val="000000"/>
                <w:sz w:val="16"/>
                <w:szCs w:val="16"/>
              </w:rPr>
            </w:pPr>
            <w:r w:rsidRPr="00D26FE8">
              <w:rPr>
                <w:rFonts w:cs="Arial"/>
                <w:color w:val="000000"/>
                <w:sz w:val="16"/>
                <w:szCs w:val="16"/>
              </w:rPr>
              <w:t>0,61%</w:t>
            </w:r>
          </w:p>
        </w:tc>
      </w:tr>
      <w:tr w:rsidR="00CE0B54" w:rsidRPr="00A56BD4" w14:paraId="2C68C247" w14:textId="77777777" w:rsidTr="00D26FE8">
        <w:trPr>
          <w:trHeight w:val="378"/>
        </w:trPr>
        <w:tc>
          <w:tcPr>
            <w:tcW w:w="1536" w:type="dxa"/>
            <w:tcBorders>
              <w:top w:val="nil"/>
              <w:left w:val="nil"/>
              <w:bottom w:val="nil"/>
              <w:right w:val="nil"/>
            </w:tcBorders>
            <w:shd w:val="clear" w:color="auto" w:fill="auto"/>
            <w:vAlign w:val="center"/>
            <w:hideMark/>
          </w:tcPr>
          <w:p w14:paraId="6F4041F7" w14:textId="116E4B4A" w:rsidR="00A56BD4" w:rsidRPr="00D26FE8" w:rsidRDefault="00A56BD4" w:rsidP="00CE0B54">
            <w:pPr>
              <w:spacing w:line="240" w:lineRule="auto"/>
              <w:rPr>
                <w:rFonts w:cs="Arial"/>
                <w:color w:val="000000"/>
                <w:sz w:val="16"/>
                <w:szCs w:val="16"/>
              </w:rPr>
            </w:pPr>
            <w:r w:rsidRPr="00D26FE8">
              <w:rPr>
                <w:rFonts w:cs="Arial"/>
                <w:color w:val="000000"/>
                <w:sz w:val="16"/>
                <w:szCs w:val="16"/>
              </w:rPr>
              <w:t xml:space="preserve">Podíl na státním rozpočtu </w:t>
            </w:r>
            <w:r w:rsidR="00CE0B54" w:rsidRPr="00D26FE8">
              <w:rPr>
                <w:rFonts w:cs="Arial"/>
                <w:color w:val="000000"/>
                <w:sz w:val="16"/>
                <w:szCs w:val="16"/>
              </w:rPr>
              <w:t>ČR</w:t>
            </w:r>
          </w:p>
        </w:tc>
        <w:tc>
          <w:tcPr>
            <w:tcW w:w="619" w:type="dxa"/>
            <w:tcBorders>
              <w:top w:val="nil"/>
              <w:left w:val="single" w:sz="4" w:space="0" w:color="808080"/>
              <w:bottom w:val="nil"/>
              <w:right w:val="single" w:sz="4" w:space="0" w:color="808080"/>
            </w:tcBorders>
            <w:shd w:val="clear" w:color="auto" w:fill="auto"/>
            <w:noWrap/>
            <w:vAlign w:val="center"/>
            <w:hideMark/>
          </w:tcPr>
          <w:p w14:paraId="0F2F94DF" w14:textId="77777777" w:rsidR="00A56BD4" w:rsidRPr="00D26FE8" w:rsidRDefault="00A56BD4" w:rsidP="00A56BD4">
            <w:pPr>
              <w:spacing w:line="240" w:lineRule="auto"/>
              <w:jc w:val="right"/>
              <w:rPr>
                <w:rFonts w:cs="Arial"/>
                <w:color w:val="000000"/>
                <w:sz w:val="16"/>
                <w:szCs w:val="16"/>
              </w:rPr>
            </w:pPr>
            <w:r w:rsidRPr="00D26FE8">
              <w:rPr>
                <w:rFonts w:cs="Arial"/>
                <w:color w:val="000000"/>
                <w:sz w:val="16"/>
                <w:szCs w:val="16"/>
              </w:rPr>
              <w:t>1,88%</w:t>
            </w:r>
          </w:p>
        </w:tc>
        <w:tc>
          <w:tcPr>
            <w:tcW w:w="619" w:type="dxa"/>
            <w:tcBorders>
              <w:top w:val="nil"/>
              <w:left w:val="nil"/>
              <w:bottom w:val="nil"/>
              <w:right w:val="single" w:sz="4" w:space="0" w:color="808080"/>
            </w:tcBorders>
            <w:shd w:val="clear" w:color="auto" w:fill="auto"/>
            <w:noWrap/>
            <w:vAlign w:val="center"/>
            <w:hideMark/>
          </w:tcPr>
          <w:p w14:paraId="2F6EF778" w14:textId="77777777" w:rsidR="00A56BD4" w:rsidRPr="00D26FE8" w:rsidRDefault="00A56BD4" w:rsidP="00A56BD4">
            <w:pPr>
              <w:spacing w:line="240" w:lineRule="auto"/>
              <w:jc w:val="right"/>
              <w:rPr>
                <w:rFonts w:cs="Arial"/>
                <w:color w:val="000000"/>
                <w:sz w:val="16"/>
                <w:szCs w:val="16"/>
              </w:rPr>
            </w:pPr>
            <w:r w:rsidRPr="00D26FE8">
              <w:rPr>
                <w:rFonts w:cs="Arial"/>
                <w:color w:val="000000"/>
                <w:sz w:val="16"/>
                <w:szCs w:val="16"/>
              </w:rPr>
              <w:t>1,78%</w:t>
            </w:r>
          </w:p>
        </w:tc>
        <w:tc>
          <w:tcPr>
            <w:tcW w:w="619" w:type="dxa"/>
            <w:tcBorders>
              <w:top w:val="nil"/>
              <w:left w:val="nil"/>
              <w:bottom w:val="nil"/>
              <w:right w:val="nil"/>
            </w:tcBorders>
            <w:shd w:val="clear" w:color="auto" w:fill="auto"/>
            <w:noWrap/>
            <w:vAlign w:val="center"/>
            <w:hideMark/>
          </w:tcPr>
          <w:p w14:paraId="4F1882DF" w14:textId="77777777" w:rsidR="00A56BD4" w:rsidRPr="00D26FE8" w:rsidRDefault="00A56BD4" w:rsidP="00A56BD4">
            <w:pPr>
              <w:spacing w:line="240" w:lineRule="auto"/>
              <w:jc w:val="right"/>
              <w:rPr>
                <w:rFonts w:cs="Arial"/>
                <w:color w:val="000000"/>
                <w:sz w:val="16"/>
                <w:szCs w:val="16"/>
              </w:rPr>
            </w:pPr>
            <w:r w:rsidRPr="00D26FE8">
              <w:rPr>
                <w:rFonts w:cs="Arial"/>
                <w:color w:val="000000"/>
                <w:sz w:val="16"/>
                <w:szCs w:val="16"/>
              </w:rPr>
              <w:t>1,87%</w:t>
            </w:r>
          </w:p>
        </w:tc>
        <w:tc>
          <w:tcPr>
            <w:tcW w:w="619" w:type="dxa"/>
            <w:tcBorders>
              <w:top w:val="nil"/>
              <w:left w:val="nil"/>
              <w:bottom w:val="nil"/>
              <w:right w:val="nil"/>
            </w:tcBorders>
            <w:shd w:val="clear" w:color="auto" w:fill="auto"/>
            <w:noWrap/>
            <w:vAlign w:val="center"/>
            <w:hideMark/>
          </w:tcPr>
          <w:p w14:paraId="7A617B67" w14:textId="77777777" w:rsidR="00A56BD4" w:rsidRPr="00D26FE8" w:rsidRDefault="00A56BD4" w:rsidP="00A56BD4">
            <w:pPr>
              <w:spacing w:line="240" w:lineRule="auto"/>
              <w:jc w:val="right"/>
              <w:rPr>
                <w:rFonts w:cs="Arial"/>
                <w:color w:val="000000"/>
                <w:sz w:val="16"/>
                <w:szCs w:val="16"/>
              </w:rPr>
            </w:pPr>
            <w:r w:rsidRPr="00D26FE8">
              <w:rPr>
                <w:rFonts w:cs="Arial"/>
                <w:color w:val="000000"/>
                <w:sz w:val="16"/>
                <w:szCs w:val="16"/>
              </w:rPr>
              <w:t>1,89%</w:t>
            </w:r>
          </w:p>
        </w:tc>
        <w:tc>
          <w:tcPr>
            <w:tcW w:w="619" w:type="dxa"/>
            <w:tcBorders>
              <w:top w:val="nil"/>
              <w:left w:val="nil"/>
              <w:bottom w:val="nil"/>
              <w:right w:val="nil"/>
            </w:tcBorders>
            <w:shd w:val="clear" w:color="auto" w:fill="auto"/>
            <w:noWrap/>
            <w:vAlign w:val="center"/>
            <w:hideMark/>
          </w:tcPr>
          <w:p w14:paraId="08C808D2" w14:textId="77777777" w:rsidR="00A56BD4" w:rsidRPr="00D26FE8" w:rsidRDefault="00A56BD4" w:rsidP="00A56BD4">
            <w:pPr>
              <w:spacing w:line="240" w:lineRule="auto"/>
              <w:jc w:val="right"/>
              <w:rPr>
                <w:rFonts w:cs="Arial"/>
                <w:color w:val="000000"/>
                <w:sz w:val="16"/>
                <w:szCs w:val="16"/>
              </w:rPr>
            </w:pPr>
            <w:r w:rsidRPr="00D26FE8">
              <w:rPr>
                <w:rFonts w:cs="Arial"/>
                <w:color w:val="000000"/>
                <w:sz w:val="16"/>
                <w:szCs w:val="16"/>
              </w:rPr>
              <w:t>1,97%</w:t>
            </w:r>
          </w:p>
        </w:tc>
        <w:tc>
          <w:tcPr>
            <w:tcW w:w="619" w:type="dxa"/>
            <w:tcBorders>
              <w:top w:val="nil"/>
              <w:left w:val="nil"/>
              <w:bottom w:val="nil"/>
              <w:right w:val="nil"/>
            </w:tcBorders>
            <w:shd w:val="clear" w:color="auto" w:fill="auto"/>
            <w:noWrap/>
            <w:vAlign w:val="center"/>
            <w:hideMark/>
          </w:tcPr>
          <w:p w14:paraId="7D071110" w14:textId="77777777" w:rsidR="00A56BD4" w:rsidRPr="00D26FE8" w:rsidRDefault="00A56BD4" w:rsidP="00A56BD4">
            <w:pPr>
              <w:spacing w:line="240" w:lineRule="auto"/>
              <w:jc w:val="right"/>
              <w:rPr>
                <w:rFonts w:cs="Arial"/>
                <w:color w:val="000000"/>
                <w:sz w:val="16"/>
                <w:szCs w:val="16"/>
              </w:rPr>
            </w:pPr>
            <w:r w:rsidRPr="00D26FE8">
              <w:rPr>
                <w:rFonts w:cs="Arial"/>
                <w:color w:val="000000"/>
                <w:sz w:val="16"/>
                <w:szCs w:val="16"/>
              </w:rPr>
              <w:t>1,95%</w:t>
            </w:r>
          </w:p>
        </w:tc>
        <w:tc>
          <w:tcPr>
            <w:tcW w:w="619" w:type="dxa"/>
            <w:tcBorders>
              <w:top w:val="nil"/>
              <w:left w:val="nil"/>
              <w:bottom w:val="nil"/>
              <w:right w:val="nil"/>
            </w:tcBorders>
            <w:shd w:val="clear" w:color="auto" w:fill="auto"/>
            <w:noWrap/>
            <w:vAlign w:val="center"/>
            <w:hideMark/>
          </w:tcPr>
          <w:p w14:paraId="13269C89" w14:textId="77777777" w:rsidR="00A56BD4" w:rsidRPr="00D26FE8" w:rsidRDefault="00A56BD4" w:rsidP="00A56BD4">
            <w:pPr>
              <w:spacing w:line="240" w:lineRule="auto"/>
              <w:jc w:val="right"/>
              <w:rPr>
                <w:rFonts w:cs="Arial"/>
                <w:color w:val="000000"/>
                <w:sz w:val="16"/>
                <w:szCs w:val="16"/>
              </w:rPr>
            </w:pPr>
            <w:r w:rsidRPr="00D26FE8">
              <w:rPr>
                <w:rFonts w:cs="Arial"/>
                <w:color w:val="000000"/>
                <w:sz w:val="16"/>
                <w:szCs w:val="16"/>
              </w:rPr>
              <w:t>2,24%</w:t>
            </w:r>
          </w:p>
        </w:tc>
        <w:tc>
          <w:tcPr>
            <w:tcW w:w="619" w:type="dxa"/>
            <w:tcBorders>
              <w:top w:val="nil"/>
              <w:left w:val="nil"/>
              <w:bottom w:val="nil"/>
              <w:right w:val="nil"/>
            </w:tcBorders>
            <w:shd w:val="clear" w:color="auto" w:fill="auto"/>
            <w:noWrap/>
            <w:vAlign w:val="center"/>
            <w:hideMark/>
          </w:tcPr>
          <w:p w14:paraId="4B4FE1DA" w14:textId="77777777" w:rsidR="00A56BD4" w:rsidRPr="00D26FE8" w:rsidRDefault="00A56BD4" w:rsidP="00A56BD4">
            <w:pPr>
              <w:spacing w:line="240" w:lineRule="auto"/>
              <w:jc w:val="right"/>
              <w:rPr>
                <w:rFonts w:cs="Arial"/>
                <w:color w:val="000000"/>
                <w:sz w:val="16"/>
                <w:szCs w:val="16"/>
              </w:rPr>
            </w:pPr>
            <w:r w:rsidRPr="00D26FE8">
              <w:rPr>
                <w:rFonts w:cs="Arial"/>
                <w:color w:val="000000"/>
                <w:sz w:val="16"/>
                <w:szCs w:val="16"/>
              </w:rPr>
              <w:t>2,27%</w:t>
            </w:r>
          </w:p>
        </w:tc>
        <w:tc>
          <w:tcPr>
            <w:tcW w:w="619" w:type="dxa"/>
            <w:tcBorders>
              <w:top w:val="nil"/>
              <w:left w:val="nil"/>
              <w:bottom w:val="nil"/>
              <w:right w:val="nil"/>
            </w:tcBorders>
            <w:shd w:val="clear" w:color="auto" w:fill="auto"/>
            <w:noWrap/>
            <w:vAlign w:val="center"/>
            <w:hideMark/>
          </w:tcPr>
          <w:p w14:paraId="529836DF" w14:textId="77777777" w:rsidR="00A56BD4" w:rsidRPr="00D26FE8" w:rsidRDefault="00A56BD4" w:rsidP="00A56BD4">
            <w:pPr>
              <w:spacing w:line="240" w:lineRule="auto"/>
              <w:jc w:val="right"/>
              <w:rPr>
                <w:rFonts w:cs="Arial"/>
                <w:color w:val="000000"/>
                <w:sz w:val="16"/>
                <w:szCs w:val="16"/>
              </w:rPr>
            </w:pPr>
            <w:r w:rsidRPr="00D26FE8">
              <w:rPr>
                <w:rFonts w:cs="Arial"/>
                <w:color w:val="000000"/>
                <w:sz w:val="16"/>
                <w:szCs w:val="16"/>
              </w:rPr>
              <w:t>2,28%</w:t>
            </w:r>
          </w:p>
        </w:tc>
        <w:tc>
          <w:tcPr>
            <w:tcW w:w="619" w:type="dxa"/>
            <w:tcBorders>
              <w:top w:val="nil"/>
              <w:left w:val="nil"/>
              <w:bottom w:val="nil"/>
              <w:right w:val="nil"/>
            </w:tcBorders>
            <w:shd w:val="clear" w:color="auto" w:fill="auto"/>
            <w:noWrap/>
            <w:vAlign w:val="center"/>
            <w:hideMark/>
          </w:tcPr>
          <w:p w14:paraId="347DD836" w14:textId="77777777" w:rsidR="00A56BD4" w:rsidRPr="00D26FE8" w:rsidRDefault="00A56BD4" w:rsidP="00A56BD4">
            <w:pPr>
              <w:spacing w:line="240" w:lineRule="auto"/>
              <w:jc w:val="right"/>
              <w:rPr>
                <w:rFonts w:cs="Arial"/>
                <w:color w:val="000000"/>
                <w:sz w:val="16"/>
                <w:szCs w:val="16"/>
              </w:rPr>
            </w:pPr>
            <w:r w:rsidRPr="00D26FE8">
              <w:rPr>
                <w:rFonts w:cs="Arial"/>
                <w:color w:val="000000"/>
                <w:sz w:val="16"/>
                <w:szCs w:val="16"/>
              </w:rPr>
              <w:t>2,25%</w:t>
            </w:r>
          </w:p>
        </w:tc>
        <w:tc>
          <w:tcPr>
            <w:tcW w:w="619" w:type="dxa"/>
            <w:tcBorders>
              <w:top w:val="nil"/>
              <w:left w:val="nil"/>
              <w:bottom w:val="nil"/>
              <w:right w:val="nil"/>
            </w:tcBorders>
            <w:shd w:val="clear" w:color="auto" w:fill="auto"/>
            <w:noWrap/>
            <w:vAlign w:val="center"/>
            <w:hideMark/>
          </w:tcPr>
          <w:p w14:paraId="5ADC693B" w14:textId="77777777" w:rsidR="00A56BD4" w:rsidRPr="00D26FE8" w:rsidRDefault="00A56BD4" w:rsidP="00A56BD4">
            <w:pPr>
              <w:spacing w:line="240" w:lineRule="auto"/>
              <w:jc w:val="right"/>
              <w:rPr>
                <w:rFonts w:cs="Arial"/>
                <w:color w:val="000000"/>
                <w:sz w:val="16"/>
                <w:szCs w:val="16"/>
              </w:rPr>
            </w:pPr>
            <w:r w:rsidRPr="00D26FE8">
              <w:rPr>
                <w:rFonts w:cs="Arial"/>
                <w:color w:val="000000"/>
                <w:sz w:val="16"/>
                <w:szCs w:val="16"/>
              </w:rPr>
              <w:t>2,15%</w:t>
            </w:r>
          </w:p>
        </w:tc>
        <w:tc>
          <w:tcPr>
            <w:tcW w:w="619" w:type="dxa"/>
            <w:tcBorders>
              <w:top w:val="nil"/>
              <w:left w:val="nil"/>
              <w:bottom w:val="nil"/>
              <w:right w:val="nil"/>
            </w:tcBorders>
            <w:shd w:val="clear" w:color="auto" w:fill="auto"/>
            <w:noWrap/>
            <w:vAlign w:val="center"/>
            <w:hideMark/>
          </w:tcPr>
          <w:p w14:paraId="54BDDF90" w14:textId="77777777" w:rsidR="00A56BD4" w:rsidRPr="00D26FE8" w:rsidRDefault="00A56BD4" w:rsidP="00A56BD4">
            <w:pPr>
              <w:spacing w:line="240" w:lineRule="auto"/>
              <w:jc w:val="right"/>
              <w:rPr>
                <w:rFonts w:cs="Arial"/>
                <w:color w:val="000000"/>
                <w:sz w:val="16"/>
                <w:szCs w:val="16"/>
              </w:rPr>
            </w:pPr>
            <w:r w:rsidRPr="00D26FE8">
              <w:rPr>
                <w:rFonts w:cs="Arial"/>
                <w:color w:val="000000"/>
                <w:sz w:val="16"/>
                <w:szCs w:val="16"/>
              </w:rPr>
              <w:t>2,29%</w:t>
            </w:r>
          </w:p>
        </w:tc>
        <w:tc>
          <w:tcPr>
            <w:tcW w:w="619" w:type="dxa"/>
            <w:tcBorders>
              <w:top w:val="nil"/>
              <w:left w:val="nil"/>
              <w:bottom w:val="nil"/>
              <w:right w:val="nil"/>
            </w:tcBorders>
            <w:shd w:val="clear" w:color="auto" w:fill="auto"/>
            <w:noWrap/>
            <w:vAlign w:val="center"/>
            <w:hideMark/>
          </w:tcPr>
          <w:p w14:paraId="13367D11" w14:textId="77777777" w:rsidR="00A56BD4" w:rsidRPr="00D26FE8" w:rsidRDefault="00A56BD4" w:rsidP="00A56BD4">
            <w:pPr>
              <w:spacing w:line="240" w:lineRule="auto"/>
              <w:jc w:val="right"/>
              <w:rPr>
                <w:rFonts w:cs="Arial"/>
                <w:color w:val="000000"/>
                <w:sz w:val="16"/>
                <w:szCs w:val="16"/>
              </w:rPr>
            </w:pPr>
            <w:r w:rsidRPr="00D26FE8">
              <w:rPr>
                <w:rFonts w:cs="Arial"/>
                <w:color w:val="000000"/>
                <w:sz w:val="16"/>
                <w:szCs w:val="16"/>
              </w:rPr>
              <w:t>2,40%</w:t>
            </w:r>
          </w:p>
        </w:tc>
      </w:tr>
      <w:tr w:rsidR="00CE0B54" w:rsidRPr="00A56BD4" w14:paraId="3E5212D3" w14:textId="77777777" w:rsidTr="00D26FE8">
        <w:trPr>
          <w:trHeight w:val="378"/>
        </w:trPr>
        <w:tc>
          <w:tcPr>
            <w:tcW w:w="1536" w:type="dxa"/>
            <w:tcBorders>
              <w:top w:val="nil"/>
              <w:left w:val="nil"/>
              <w:bottom w:val="single" w:sz="4" w:space="0" w:color="808080"/>
              <w:right w:val="nil"/>
            </w:tcBorders>
            <w:shd w:val="clear" w:color="auto" w:fill="auto"/>
            <w:vAlign w:val="center"/>
            <w:hideMark/>
          </w:tcPr>
          <w:p w14:paraId="49F1F41C" w14:textId="54E4326D" w:rsidR="00A56BD4" w:rsidRPr="00D26FE8" w:rsidRDefault="00A56BD4" w:rsidP="00CE0B54">
            <w:pPr>
              <w:spacing w:line="240" w:lineRule="auto"/>
              <w:rPr>
                <w:rFonts w:cs="Arial"/>
                <w:color w:val="000000"/>
                <w:sz w:val="16"/>
                <w:szCs w:val="16"/>
              </w:rPr>
            </w:pPr>
            <w:r w:rsidRPr="00D26FE8">
              <w:rPr>
                <w:rFonts w:cs="Arial"/>
                <w:color w:val="000000"/>
                <w:sz w:val="16"/>
                <w:szCs w:val="16"/>
              </w:rPr>
              <w:t>Podíl na veřejných rozpočtech</w:t>
            </w:r>
            <w:r w:rsidR="00CE0B54" w:rsidRPr="00D26FE8">
              <w:rPr>
                <w:rFonts w:cs="Arial"/>
                <w:color w:val="000000"/>
                <w:sz w:val="16"/>
                <w:szCs w:val="16"/>
              </w:rPr>
              <w:t xml:space="preserve"> ČR</w:t>
            </w:r>
          </w:p>
        </w:tc>
        <w:tc>
          <w:tcPr>
            <w:tcW w:w="619" w:type="dxa"/>
            <w:tcBorders>
              <w:top w:val="nil"/>
              <w:left w:val="single" w:sz="4" w:space="0" w:color="808080"/>
              <w:bottom w:val="single" w:sz="4" w:space="0" w:color="808080"/>
              <w:right w:val="single" w:sz="4" w:space="0" w:color="808080"/>
            </w:tcBorders>
            <w:shd w:val="clear" w:color="auto" w:fill="auto"/>
            <w:noWrap/>
            <w:vAlign w:val="center"/>
            <w:hideMark/>
          </w:tcPr>
          <w:p w14:paraId="622EB99A" w14:textId="77777777" w:rsidR="00A56BD4" w:rsidRPr="00D26FE8" w:rsidRDefault="00A56BD4" w:rsidP="00A56BD4">
            <w:pPr>
              <w:spacing w:line="240" w:lineRule="auto"/>
              <w:jc w:val="right"/>
              <w:rPr>
                <w:rFonts w:cs="Arial"/>
                <w:color w:val="000000"/>
                <w:sz w:val="16"/>
                <w:szCs w:val="16"/>
              </w:rPr>
            </w:pPr>
            <w:r w:rsidRPr="00D26FE8">
              <w:rPr>
                <w:rFonts w:cs="Arial"/>
                <w:color w:val="000000"/>
                <w:sz w:val="16"/>
                <w:szCs w:val="16"/>
              </w:rPr>
              <w:t>1,22%</w:t>
            </w:r>
          </w:p>
        </w:tc>
        <w:tc>
          <w:tcPr>
            <w:tcW w:w="619" w:type="dxa"/>
            <w:tcBorders>
              <w:top w:val="nil"/>
              <w:left w:val="nil"/>
              <w:bottom w:val="single" w:sz="4" w:space="0" w:color="808080"/>
              <w:right w:val="single" w:sz="4" w:space="0" w:color="808080"/>
            </w:tcBorders>
            <w:shd w:val="clear" w:color="auto" w:fill="auto"/>
            <w:noWrap/>
            <w:vAlign w:val="center"/>
            <w:hideMark/>
          </w:tcPr>
          <w:p w14:paraId="35932435" w14:textId="77777777" w:rsidR="00A56BD4" w:rsidRPr="00D26FE8" w:rsidRDefault="00A56BD4" w:rsidP="00A56BD4">
            <w:pPr>
              <w:spacing w:line="240" w:lineRule="auto"/>
              <w:jc w:val="right"/>
              <w:rPr>
                <w:rFonts w:cs="Arial"/>
                <w:color w:val="000000"/>
                <w:sz w:val="16"/>
                <w:szCs w:val="16"/>
              </w:rPr>
            </w:pPr>
            <w:r w:rsidRPr="00D26FE8">
              <w:rPr>
                <w:rFonts w:cs="Arial"/>
                <w:color w:val="000000"/>
                <w:sz w:val="16"/>
                <w:szCs w:val="16"/>
              </w:rPr>
              <w:t>1,19%</w:t>
            </w:r>
          </w:p>
        </w:tc>
        <w:tc>
          <w:tcPr>
            <w:tcW w:w="619" w:type="dxa"/>
            <w:tcBorders>
              <w:top w:val="nil"/>
              <w:left w:val="nil"/>
              <w:bottom w:val="single" w:sz="4" w:space="0" w:color="808080"/>
              <w:right w:val="nil"/>
            </w:tcBorders>
            <w:shd w:val="clear" w:color="auto" w:fill="auto"/>
            <w:noWrap/>
            <w:vAlign w:val="center"/>
            <w:hideMark/>
          </w:tcPr>
          <w:p w14:paraId="68E0E83B" w14:textId="77777777" w:rsidR="00A56BD4" w:rsidRPr="00D26FE8" w:rsidRDefault="00A56BD4" w:rsidP="00A56BD4">
            <w:pPr>
              <w:spacing w:line="240" w:lineRule="auto"/>
              <w:jc w:val="right"/>
              <w:rPr>
                <w:rFonts w:cs="Arial"/>
                <w:color w:val="000000"/>
                <w:sz w:val="16"/>
                <w:szCs w:val="16"/>
              </w:rPr>
            </w:pPr>
            <w:r w:rsidRPr="00D26FE8">
              <w:rPr>
                <w:rFonts w:cs="Arial"/>
                <w:color w:val="000000"/>
                <w:sz w:val="16"/>
                <w:szCs w:val="16"/>
              </w:rPr>
              <w:t>1,32%</w:t>
            </w:r>
          </w:p>
        </w:tc>
        <w:tc>
          <w:tcPr>
            <w:tcW w:w="619" w:type="dxa"/>
            <w:tcBorders>
              <w:top w:val="nil"/>
              <w:left w:val="nil"/>
              <w:bottom w:val="single" w:sz="4" w:space="0" w:color="808080"/>
              <w:right w:val="nil"/>
            </w:tcBorders>
            <w:shd w:val="clear" w:color="auto" w:fill="auto"/>
            <w:noWrap/>
            <w:vAlign w:val="center"/>
            <w:hideMark/>
          </w:tcPr>
          <w:p w14:paraId="173A1D9E" w14:textId="77777777" w:rsidR="00A56BD4" w:rsidRPr="00D26FE8" w:rsidRDefault="00A56BD4" w:rsidP="00A56BD4">
            <w:pPr>
              <w:spacing w:line="240" w:lineRule="auto"/>
              <w:jc w:val="right"/>
              <w:rPr>
                <w:rFonts w:cs="Arial"/>
                <w:color w:val="000000"/>
                <w:sz w:val="16"/>
                <w:szCs w:val="16"/>
              </w:rPr>
            </w:pPr>
            <w:r w:rsidRPr="00D26FE8">
              <w:rPr>
                <w:rFonts w:cs="Arial"/>
                <w:color w:val="000000"/>
                <w:sz w:val="16"/>
                <w:szCs w:val="16"/>
              </w:rPr>
              <w:t>1,25%</w:t>
            </w:r>
          </w:p>
        </w:tc>
        <w:tc>
          <w:tcPr>
            <w:tcW w:w="619" w:type="dxa"/>
            <w:tcBorders>
              <w:top w:val="nil"/>
              <w:left w:val="nil"/>
              <w:bottom w:val="single" w:sz="4" w:space="0" w:color="808080"/>
              <w:right w:val="nil"/>
            </w:tcBorders>
            <w:shd w:val="clear" w:color="auto" w:fill="auto"/>
            <w:noWrap/>
            <w:vAlign w:val="center"/>
            <w:hideMark/>
          </w:tcPr>
          <w:p w14:paraId="2B8EE561" w14:textId="77777777" w:rsidR="00A56BD4" w:rsidRPr="00D26FE8" w:rsidRDefault="00A56BD4" w:rsidP="00A56BD4">
            <w:pPr>
              <w:spacing w:line="240" w:lineRule="auto"/>
              <w:jc w:val="right"/>
              <w:rPr>
                <w:rFonts w:cs="Arial"/>
                <w:color w:val="000000"/>
                <w:sz w:val="16"/>
                <w:szCs w:val="16"/>
              </w:rPr>
            </w:pPr>
            <w:r w:rsidRPr="00D26FE8">
              <w:rPr>
                <w:rFonts w:cs="Arial"/>
                <w:color w:val="000000"/>
                <w:sz w:val="16"/>
                <w:szCs w:val="16"/>
              </w:rPr>
              <w:t>1,32%</w:t>
            </w:r>
          </w:p>
        </w:tc>
        <w:tc>
          <w:tcPr>
            <w:tcW w:w="619" w:type="dxa"/>
            <w:tcBorders>
              <w:top w:val="nil"/>
              <w:left w:val="nil"/>
              <w:bottom w:val="single" w:sz="4" w:space="0" w:color="808080"/>
              <w:right w:val="nil"/>
            </w:tcBorders>
            <w:shd w:val="clear" w:color="auto" w:fill="auto"/>
            <w:noWrap/>
            <w:vAlign w:val="center"/>
            <w:hideMark/>
          </w:tcPr>
          <w:p w14:paraId="24028FCF" w14:textId="77777777" w:rsidR="00A56BD4" w:rsidRPr="00D26FE8" w:rsidRDefault="00A56BD4" w:rsidP="00A56BD4">
            <w:pPr>
              <w:spacing w:line="240" w:lineRule="auto"/>
              <w:jc w:val="right"/>
              <w:rPr>
                <w:rFonts w:cs="Arial"/>
                <w:color w:val="000000"/>
                <w:sz w:val="16"/>
                <w:szCs w:val="16"/>
              </w:rPr>
            </w:pPr>
            <w:r w:rsidRPr="00D26FE8">
              <w:rPr>
                <w:rFonts w:cs="Arial"/>
                <w:color w:val="000000"/>
                <w:sz w:val="16"/>
                <w:szCs w:val="16"/>
              </w:rPr>
              <w:t>1,31%</w:t>
            </w:r>
          </w:p>
        </w:tc>
        <w:tc>
          <w:tcPr>
            <w:tcW w:w="619" w:type="dxa"/>
            <w:tcBorders>
              <w:top w:val="nil"/>
              <w:left w:val="nil"/>
              <w:bottom w:val="single" w:sz="4" w:space="0" w:color="808080"/>
              <w:right w:val="nil"/>
            </w:tcBorders>
            <w:shd w:val="clear" w:color="auto" w:fill="auto"/>
            <w:noWrap/>
            <w:vAlign w:val="center"/>
            <w:hideMark/>
          </w:tcPr>
          <w:p w14:paraId="1153BC50" w14:textId="77777777" w:rsidR="00A56BD4" w:rsidRPr="00D26FE8" w:rsidRDefault="00A56BD4" w:rsidP="00A56BD4">
            <w:pPr>
              <w:spacing w:line="240" w:lineRule="auto"/>
              <w:jc w:val="right"/>
              <w:rPr>
                <w:rFonts w:cs="Arial"/>
                <w:color w:val="000000"/>
                <w:sz w:val="16"/>
                <w:szCs w:val="16"/>
              </w:rPr>
            </w:pPr>
            <w:r w:rsidRPr="00D26FE8">
              <w:rPr>
                <w:rFonts w:cs="Arial"/>
                <w:color w:val="000000"/>
                <w:sz w:val="16"/>
                <w:szCs w:val="16"/>
              </w:rPr>
              <w:t>1,49%</w:t>
            </w:r>
          </w:p>
        </w:tc>
        <w:tc>
          <w:tcPr>
            <w:tcW w:w="619" w:type="dxa"/>
            <w:tcBorders>
              <w:top w:val="nil"/>
              <w:left w:val="nil"/>
              <w:bottom w:val="single" w:sz="4" w:space="0" w:color="808080"/>
              <w:right w:val="nil"/>
            </w:tcBorders>
            <w:shd w:val="clear" w:color="auto" w:fill="auto"/>
            <w:noWrap/>
            <w:vAlign w:val="center"/>
            <w:hideMark/>
          </w:tcPr>
          <w:p w14:paraId="546C00CF" w14:textId="77777777" w:rsidR="00A56BD4" w:rsidRPr="00D26FE8" w:rsidRDefault="00A56BD4" w:rsidP="00A56BD4">
            <w:pPr>
              <w:spacing w:line="240" w:lineRule="auto"/>
              <w:jc w:val="right"/>
              <w:rPr>
                <w:rFonts w:cs="Arial"/>
                <w:color w:val="000000"/>
                <w:sz w:val="16"/>
                <w:szCs w:val="16"/>
              </w:rPr>
            </w:pPr>
            <w:r w:rsidRPr="00D26FE8">
              <w:rPr>
                <w:rFonts w:cs="Arial"/>
                <w:color w:val="000000"/>
                <w:sz w:val="16"/>
                <w:szCs w:val="16"/>
              </w:rPr>
              <w:t>1,45%</w:t>
            </w:r>
          </w:p>
        </w:tc>
        <w:tc>
          <w:tcPr>
            <w:tcW w:w="619" w:type="dxa"/>
            <w:tcBorders>
              <w:top w:val="nil"/>
              <w:left w:val="nil"/>
              <w:bottom w:val="single" w:sz="4" w:space="0" w:color="808080"/>
              <w:right w:val="nil"/>
            </w:tcBorders>
            <w:shd w:val="clear" w:color="auto" w:fill="auto"/>
            <w:noWrap/>
            <w:vAlign w:val="center"/>
            <w:hideMark/>
          </w:tcPr>
          <w:p w14:paraId="4E67E46F" w14:textId="77777777" w:rsidR="00A56BD4" w:rsidRPr="00D26FE8" w:rsidRDefault="00A56BD4" w:rsidP="00A56BD4">
            <w:pPr>
              <w:spacing w:line="240" w:lineRule="auto"/>
              <w:jc w:val="right"/>
              <w:rPr>
                <w:rFonts w:cs="Arial"/>
                <w:color w:val="000000"/>
                <w:sz w:val="16"/>
                <w:szCs w:val="16"/>
              </w:rPr>
            </w:pPr>
            <w:r w:rsidRPr="00D26FE8">
              <w:rPr>
                <w:rFonts w:cs="Arial"/>
                <w:color w:val="000000"/>
                <w:sz w:val="16"/>
                <w:szCs w:val="16"/>
              </w:rPr>
              <w:t>1,53%</w:t>
            </w:r>
          </w:p>
        </w:tc>
        <w:tc>
          <w:tcPr>
            <w:tcW w:w="619" w:type="dxa"/>
            <w:tcBorders>
              <w:top w:val="nil"/>
              <w:left w:val="nil"/>
              <w:bottom w:val="single" w:sz="4" w:space="0" w:color="808080"/>
              <w:right w:val="nil"/>
            </w:tcBorders>
            <w:shd w:val="clear" w:color="auto" w:fill="auto"/>
            <w:noWrap/>
            <w:vAlign w:val="center"/>
            <w:hideMark/>
          </w:tcPr>
          <w:p w14:paraId="02B34AFF" w14:textId="77777777" w:rsidR="00A56BD4" w:rsidRPr="00D26FE8" w:rsidRDefault="00A56BD4" w:rsidP="00A56BD4">
            <w:pPr>
              <w:spacing w:line="240" w:lineRule="auto"/>
              <w:jc w:val="right"/>
              <w:rPr>
                <w:rFonts w:cs="Arial"/>
                <w:color w:val="000000"/>
                <w:sz w:val="16"/>
                <w:szCs w:val="16"/>
              </w:rPr>
            </w:pPr>
            <w:r w:rsidRPr="00D26FE8">
              <w:rPr>
                <w:rFonts w:cs="Arial"/>
                <w:color w:val="000000"/>
                <w:sz w:val="16"/>
                <w:szCs w:val="16"/>
              </w:rPr>
              <w:t>1,50%</w:t>
            </w:r>
          </w:p>
        </w:tc>
        <w:tc>
          <w:tcPr>
            <w:tcW w:w="619" w:type="dxa"/>
            <w:tcBorders>
              <w:top w:val="nil"/>
              <w:left w:val="nil"/>
              <w:bottom w:val="single" w:sz="4" w:space="0" w:color="808080"/>
              <w:right w:val="nil"/>
            </w:tcBorders>
            <w:shd w:val="clear" w:color="auto" w:fill="auto"/>
            <w:noWrap/>
            <w:vAlign w:val="center"/>
            <w:hideMark/>
          </w:tcPr>
          <w:p w14:paraId="3350D5DB" w14:textId="77777777" w:rsidR="00A56BD4" w:rsidRPr="00D26FE8" w:rsidRDefault="00A56BD4" w:rsidP="00A56BD4">
            <w:pPr>
              <w:spacing w:line="240" w:lineRule="auto"/>
              <w:jc w:val="right"/>
              <w:rPr>
                <w:rFonts w:cs="Arial"/>
                <w:color w:val="000000"/>
                <w:sz w:val="16"/>
                <w:szCs w:val="16"/>
              </w:rPr>
            </w:pPr>
            <w:r w:rsidRPr="00D26FE8">
              <w:rPr>
                <w:rFonts w:cs="Arial"/>
                <w:color w:val="000000"/>
                <w:sz w:val="16"/>
                <w:szCs w:val="16"/>
              </w:rPr>
              <w:t>1,45%</w:t>
            </w:r>
          </w:p>
        </w:tc>
        <w:tc>
          <w:tcPr>
            <w:tcW w:w="619" w:type="dxa"/>
            <w:tcBorders>
              <w:top w:val="nil"/>
              <w:left w:val="nil"/>
              <w:bottom w:val="single" w:sz="4" w:space="0" w:color="808080"/>
              <w:right w:val="nil"/>
            </w:tcBorders>
            <w:shd w:val="clear" w:color="auto" w:fill="auto"/>
            <w:noWrap/>
            <w:vAlign w:val="center"/>
            <w:hideMark/>
          </w:tcPr>
          <w:p w14:paraId="3F28F566" w14:textId="77777777" w:rsidR="00A56BD4" w:rsidRPr="00D26FE8" w:rsidRDefault="00A56BD4" w:rsidP="00A56BD4">
            <w:pPr>
              <w:spacing w:line="240" w:lineRule="auto"/>
              <w:jc w:val="right"/>
              <w:rPr>
                <w:rFonts w:cs="Arial"/>
                <w:color w:val="000000"/>
                <w:sz w:val="16"/>
                <w:szCs w:val="16"/>
              </w:rPr>
            </w:pPr>
            <w:r w:rsidRPr="00D26FE8">
              <w:rPr>
                <w:rFonts w:cs="Arial"/>
                <w:color w:val="000000"/>
                <w:sz w:val="16"/>
                <w:szCs w:val="16"/>
              </w:rPr>
              <w:t>1,49%</w:t>
            </w:r>
          </w:p>
        </w:tc>
        <w:tc>
          <w:tcPr>
            <w:tcW w:w="619" w:type="dxa"/>
            <w:tcBorders>
              <w:top w:val="nil"/>
              <w:left w:val="nil"/>
              <w:bottom w:val="single" w:sz="4" w:space="0" w:color="808080"/>
              <w:right w:val="nil"/>
            </w:tcBorders>
            <w:shd w:val="clear" w:color="auto" w:fill="auto"/>
            <w:noWrap/>
            <w:vAlign w:val="center"/>
            <w:hideMark/>
          </w:tcPr>
          <w:p w14:paraId="215B156F" w14:textId="77777777" w:rsidR="00A56BD4" w:rsidRPr="00D26FE8" w:rsidRDefault="00A56BD4" w:rsidP="00A56BD4">
            <w:pPr>
              <w:spacing w:line="240" w:lineRule="auto"/>
              <w:jc w:val="right"/>
              <w:rPr>
                <w:rFonts w:cs="Arial"/>
                <w:color w:val="000000"/>
                <w:sz w:val="16"/>
                <w:szCs w:val="16"/>
              </w:rPr>
            </w:pPr>
            <w:r w:rsidRPr="00D26FE8">
              <w:rPr>
                <w:rFonts w:cs="Arial"/>
                <w:color w:val="000000"/>
                <w:sz w:val="16"/>
                <w:szCs w:val="16"/>
              </w:rPr>
              <w:t>1,56%</w:t>
            </w:r>
          </w:p>
        </w:tc>
      </w:tr>
    </w:tbl>
    <w:p w14:paraId="6DA8F7C6" w14:textId="79409062" w:rsidR="006E3865" w:rsidRPr="00FB5664" w:rsidRDefault="0021207D" w:rsidP="000319F1">
      <w:pPr>
        <w:pStyle w:val="Nadpis3"/>
        <w:spacing w:before="240"/>
      </w:pPr>
      <w:r>
        <w:t>Státní rozpočtové výdaje na VaV</w:t>
      </w:r>
      <w:r w:rsidR="006E3865" w:rsidRPr="006E3865">
        <w:t xml:space="preserve"> podle typu</w:t>
      </w:r>
      <w:r w:rsidR="000367B6">
        <w:t xml:space="preserve"> </w:t>
      </w:r>
      <w:r w:rsidR="00CE0B54">
        <w:t>těchto výdajů</w:t>
      </w:r>
    </w:p>
    <w:p w14:paraId="4B7BD6B7" w14:textId="77777777" w:rsidR="00EB0B89" w:rsidRDefault="00101A5E" w:rsidP="002B2B3E">
      <w:pPr>
        <w:spacing w:before="120" w:after="240"/>
        <w:jc w:val="both"/>
      </w:pPr>
      <w:r>
        <w:t>Převážná část státní rozpočtové podpory VaV spadá do kategorie běžných výdajů. Kapitálové výdaje úzce souvisí zejména s čerpáním unijních fondů</w:t>
      </w:r>
      <w:r w:rsidR="004D6D09">
        <w:t xml:space="preserve"> a budováním výzkumné infrastruktury</w:t>
      </w:r>
      <w:r>
        <w:t>.</w:t>
      </w:r>
      <w:r w:rsidR="00BA55A3">
        <w:t xml:space="preserve"> </w:t>
      </w:r>
    </w:p>
    <w:p w14:paraId="6F0B6183" w14:textId="1EE550B1" w:rsidR="00101A5E" w:rsidRDefault="00BA55A3" w:rsidP="002B2B3E">
      <w:pPr>
        <w:spacing w:before="120" w:after="240"/>
        <w:jc w:val="both"/>
      </w:pPr>
      <w:r>
        <w:t>V roce 2017 dosáhl podíl kapitálových výdajů 5,8 % z celkových státních rozpočtových výdajů na VaV</w:t>
      </w:r>
      <w:r w:rsidR="00CE0B54">
        <w:t xml:space="preserve"> </w:t>
      </w:r>
      <w:r w:rsidR="00B26352">
        <w:rPr>
          <w:rFonts w:cs="Arial"/>
        </w:rPr>
        <w:t>‒</w:t>
      </w:r>
      <w:r w:rsidR="00CE0B54">
        <w:t xml:space="preserve"> </w:t>
      </w:r>
      <w:r>
        <w:t>nejvyšší podíl (12 %) byl zaznamenán v roce 2012.</w:t>
      </w:r>
      <w:r w:rsidR="00D041AB">
        <w:t xml:space="preserve"> </w:t>
      </w:r>
      <w:r w:rsidR="00CE0B54">
        <w:t xml:space="preserve">V rámci jednotlivých rozpočtových kapitol podílejících se na financování VaV ze státního rozpočtu </w:t>
      </w:r>
      <w:r w:rsidR="00B26352">
        <w:rPr>
          <w:rFonts w:cs="Arial"/>
        </w:rPr>
        <w:t>‒</w:t>
      </w:r>
      <w:r w:rsidR="00CE0B54">
        <w:t xml:space="preserve"> p</w:t>
      </w:r>
      <w:r w:rsidR="00D041AB">
        <w:t xml:space="preserve">okud pomineme </w:t>
      </w:r>
      <w:r w:rsidR="00B74F86">
        <w:t>nově zařazené M</w:t>
      </w:r>
      <w:r w:rsidR="00D041AB">
        <w:t>inisterstvo dopravy</w:t>
      </w:r>
      <w:r w:rsidR="00CE0B54">
        <w:t xml:space="preserve"> – byl podíl </w:t>
      </w:r>
      <w:r w:rsidR="00D041AB">
        <w:t xml:space="preserve">kapitálových výdajů </w:t>
      </w:r>
      <w:r w:rsidR="00CE0B54">
        <w:t xml:space="preserve">nejvyšší </w:t>
      </w:r>
      <w:r w:rsidR="00D041AB">
        <w:t>v Akademii věd ČR (18,9 %</w:t>
      </w:r>
      <w:r w:rsidR="00CE0B54">
        <w:t xml:space="preserve"> v roce 2017</w:t>
      </w:r>
      <w:r w:rsidR="00D041AB">
        <w:t xml:space="preserve">). Vyšší podíl kapitálových výdajů na </w:t>
      </w:r>
      <w:r w:rsidR="00CE0B54">
        <w:t xml:space="preserve">celkových výdajích na </w:t>
      </w:r>
      <w:r w:rsidR="00D041AB">
        <w:t xml:space="preserve">VaV mělo také </w:t>
      </w:r>
      <w:r w:rsidR="003D2347">
        <w:t>M</w:t>
      </w:r>
      <w:r w:rsidR="00D041AB">
        <w:t xml:space="preserve">inisterstvo vnitra (7,1 %). V případě resortu, který rozděluje na VaV nejvíce peněz – </w:t>
      </w:r>
      <w:r w:rsidR="003D2347">
        <w:t>M</w:t>
      </w:r>
      <w:r w:rsidR="00D041AB">
        <w:t xml:space="preserve">inisterstvo školství, mládeže a tělovýchovy – dosáhl podíl kapitálových výdajů 4,4 %. </w:t>
      </w:r>
      <w:r w:rsidR="00075BDE">
        <w:t>Naopak nulové kapitálové výdaje na VaV jsou v</w:t>
      </w:r>
      <w:r w:rsidR="00CE0B54">
        <w:t xml:space="preserve"> subjektech </w:t>
      </w:r>
      <w:r w:rsidR="00075BDE">
        <w:t xml:space="preserve">poskytující převážně účelovou </w:t>
      </w:r>
      <w:r w:rsidR="00713FCC">
        <w:t>podporu, jako</w:t>
      </w:r>
      <w:r w:rsidR="00075BDE">
        <w:t xml:space="preserve"> jsou Grantová agentura, Technologická agentura a také </w:t>
      </w:r>
      <w:r w:rsidR="003D2347">
        <w:t>M</w:t>
      </w:r>
      <w:r w:rsidR="00075BDE">
        <w:t>inisterstvo průmyslu a obchodu</w:t>
      </w:r>
      <w:r w:rsidR="00713FCC">
        <w:rPr>
          <w:rStyle w:val="Znakapoznpodarou"/>
        </w:rPr>
        <w:footnoteReference w:id="4"/>
      </w:r>
      <w:r w:rsidR="00713FCC">
        <w:t>.</w:t>
      </w:r>
      <w:r w:rsidR="00101A5E">
        <w:t xml:space="preserve"> </w:t>
      </w:r>
    </w:p>
    <w:p w14:paraId="22A8CAF0" w14:textId="4F31D8E0" w:rsidR="00101A5E" w:rsidRDefault="00101A5E" w:rsidP="00101A5E">
      <w:pPr>
        <w:spacing w:before="120" w:after="60"/>
        <w:rPr>
          <w:b/>
        </w:rPr>
      </w:pPr>
      <w:r w:rsidRPr="006E3865">
        <w:rPr>
          <w:b/>
        </w:rPr>
        <w:t xml:space="preserve">GRAF 1-2: </w:t>
      </w:r>
      <w:r>
        <w:rPr>
          <w:b/>
        </w:rPr>
        <w:t>Státní</w:t>
      </w:r>
      <w:r w:rsidRPr="00142861">
        <w:rPr>
          <w:b/>
        </w:rPr>
        <w:t xml:space="preserve"> </w:t>
      </w:r>
      <w:r>
        <w:rPr>
          <w:b/>
        </w:rPr>
        <w:t xml:space="preserve">rozpočtové výdaje na VaV </w:t>
      </w:r>
      <w:r w:rsidR="00CE0B54">
        <w:rPr>
          <w:b/>
        </w:rPr>
        <w:t xml:space="preserve">v ČR </w:t>
      </w:r>
      <w:r w:rsidRPr="006E3865">
        <w:rPr>
          <w:b/>
        </w:rPr>
        <w:t>p</w:t>
      </w:r>
      <w:r>
        <w:rPr>
          <w:b/>
        </w:rPr>
        <w:t>odle typu výdajů (mld. Kč</w:t>
      </w:r>
      <w:r w:rsidR="00CE0B54">
        <w:rPr>
          <w:b/>
        </w:rPr>
        <w:t>; %</w:t>
      </w:r>
      <w:r>
        <w:rPr>
          <w:b/>
        </w:rPr>
        <w:t>)</w:t>
      </w:r>
      <w:r w:rsidR="00CA3422">
        <w:rPr>
          <w:b/>
        </w:rPr>
        <w:t>;</w:t>
      </w:r>
      <w:r>
        <w:rPr>
          <w:b/>
        </w:rPr>
        <w:t xml:space="preserve"> 2012</w:t>
      </w:r>
      <w:r w:rsidRPr="00703FAA">
        <w:rPr>
          <w:b/>
        </w:rPr>
        <w:t>–201</w:t>
      </w:r>
      <w:r>
        <w:rPr>
          <w:b/>
        </w:rPr>
        <w:t>7</w:t>
      </w:r>
    </w:p>
    <w:p w14:paraId="407E25D7" w14:textId="77777777" w:rsidR="00101A5E" w:rsidRDefault="00F769A1" w:rsidP="00D55EA3">
      <w:pPr>
        <w:spacing w:before="120" w:after="120"/>
        <w:jc w:val="both"/>
      </w:pPr>
      <w:r>
        <w:rPr>
          <w:noProof/>
        </w:rPr>
        <w:drawing>
          <wp:inline distT="0" distB="0" distL="0" distR="0" wp14:anchorId="15299132" wp14:editId="1299DC31">
            <wp:extent cx="6120130" cy="3240000"/>
            <wp:effectExtent l="0" t="0" r="0" b="0"/>
            <wp:docPr id="3" name="Graf 3">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456816A" w14:textId="23C85D0B" w:rsidR="00CE0B54" w:rsidRPr="00FB5664" w:rsidRDefault="00CE0B54" w:rsidP="00CE0B54">
      <w:pPr>
        <w:pStyle w:val="Nadpis3"/>
        <w:spacing w:before="240"/>
      </w:pPr>
      <w:r>
        <w:lastRenderedPageBreak/>
        <w:t>Státní rozpočtové výdaje na VaV</w:t>
      </w:r>
      <w:r w:rsidRPr="006E3865">
        <w:t xml:space="preserve"> podle </w:t>
      </w:r>
      <w:r>
        <w:t>formy</w:t>
      </w:r>
      <w:r w:rsidRPr="006E3865">
        <w:t xml:space="preserve"> financování</w:t>
      </w:r>
    </w:p>
    <w:p w14:paraId="427E7BFA" w14:textId="16BC40B4" w:rsidR="001D5849" w:rsidRDefault="001D5849" w:rsidP="00D55EA3">
      <w:pPr>
        <w:spacing w:before="120" w:after="120"/>
        <w:jc w:val="both"/>
      </w:pPr>
      <w:r>
        <w:t>Jiný pohled na státní rozpočtovou podporu VaV poskytuje členění podle formy</w:t>
      </w:r>
      <w:r w:rsidR="002B2B3E">
        <w:t xml:space="preserve"> této </w:t>
      </w:r>
      <w:r>
        <w:t xml:space="preserve">podpory </w:t>
      </w:r>
      <w:r w:rsidR="00B26352">
        <w:rPr>
          <w:rFonts w:cs="Arial"/>
        </w:rPr>
        <w:t>‒</w:t>
      </w:r>
      <w:r w:rsidR="002B2B3E">
        <w:t xml:space="preserve"> </w:t>
      </w:r>
      <w:r>
        <w:t>institucionální</w:t>
      </w:r>
      <w:r w:rsidRPr="002964D0">
        <w:rPr>
          <w:rStyle w:val="Znakapoznpodarou"/>
        </w:rPr>
        <w:footnoteReference w:id="5"/>
      </w:r>
      <w:r>
        <w:t xml:space="preserve"> </w:t>
      </w:r>
      <w:r w:rsidR="002B2B3E">
        <w:t xml:space="preserve">vs. </w:t>
      </w:r>
      <w:r>
        <w:t>účelov</w:t>
      </w:r>
      <w:r w:rsidR="002B2B3E">
        <w:t>á</w:t>
      </w:r>
      <w:r w:rsidRPr="002964D0">
        <w:rPr>
          <w:rStyle w:val="Znakapoznpodarou"/>
        </w:rPr>
        <w:footnoteReference w:id="6"/>
      </w:r>
      <w:r>
        <w:t xml:space="preserve">. </w:t>
      </w:r>
    </w:p>
    <w:p w14:paraId="0966FB9E" w14:textId="3E92B761" w:rsidR="00D87C76" w:rsidRDefault="00E44D4D" w:rsidP="00D55EA3">
      <w:pPr>
        <w:spacing w:before="120" w:after="120"/>
        <w:jc w:val="both"/>
      </w:pPr>
      <w:r>
        <w:t xml:space="preserve">Ještě v roce 2005 byla institucionální forma financování VaV o téměř třetinu vyšší než účelová. </w:t>
      </w:r>
      <w:r w:rsidR="002B2B3E">
        <w:t>V</w:t>
      </w:r>
      <w:r>
        <w:t> roce 2011</w:t>
      </w:r>
      <w:r w:rsidR="002B2B3E">
        <w:t xml:space="preserve"> </w:t>
      </w:r>
      <w:r w:rsidR="00B26352">
        <w:rPr>
          <w:rFonts w:cs="Arial"/>
        </w:rPr>
        <w:t>‒</w:t>
      </w:r>
      <w:r w:rsidR="002B2B3E">
        <w:t xml:space="preserve"> především </w:t>
      </w:r>
      <w:r w:rsidR="000B0280">
        <w:t>díky</w:t>
      </w:r>
      <w:r w:rsidR="006A6EDE">
        <w:t xml:space="preserve"> projektům z o</w:t>
      </w:r>
      <w:r w:rsidR="00AE4989">
        <w:t>peračních programů</w:t>
      </w:r>
      <w:r w:rsidR="00FB5664">
        <w:t xml:space="preserve"> </w:t>
      </w:r>
      <w:r w:rsidR="002B2B3E">
        <w:t xml:space="preserve">EU </w:t>
      </w:r>
      <w:r w:rsidR="00B26352">
        <w:rPr>
          <w:rFonts w:cs="Arial"/>
        </w:rPr>
        <w:t>‒</w:t>
      </w:r>
      <w:r w:rsidR="002B2B3E">
        <w:t xml:space="preserve"> </w:t>
      </w:r>
      <w:r w:rsidR="005916AD">
        <w:t>vz</w:t>
      </w:r>
      <w:r w:rsidR="00FB5664">
        <w:t xml:space="preserve">rostl </w:t>
      </w:r>
      <w:r w:rsidR="00FB5664" w:rsidRPr="002964D0">
        <w:t>podíl účelové podpory na úkor institucionálního financování</w:t>
      </w:r>
      <w:r w:rsidR="002B2B3E">
        <w:t xml:space="preserve">. V </w:t>
      </w:r>
      <w:r w:rsidR="00FB5664">
        <w:t>roce 2016</w:t>
      </w:r>
      <w:r w:rsidR="00BE7319">
        <w:t xml:space="preserve"> po skončení čerpání prostředků z </w:t>
      </w:r>
      <w:r w:rsidR="000B0280">
        <w:t>Operačních programů</w:t>
      </w:r>
      <w:r w:rsidR="00BE7319">
        <w:t xml:space="preserve"> pro období 2007 až 2014</w:t>
      </w:r>
      <w:r w:rsidR="00D744BC">
        <w:rPr>
          <w:rStyle w:val="Znakapoznpodarou"/>
        </w:rPr>
        <w:footnoteReference w:id="7"/>
      </w:r>
      <w:r w:rsidR="00BE7319">
        <w:t xml:space="preserve"> </w:t>
      </w:r>
      <w:r w:rsidR="00FB5664">
        <w:t xml:space="preserve">došlo k vyrovnání </w:t>
      </w:r>
      <w:r w:rsidR="000B0280">
        <w:t>podílu</w:t>
      </w:r>
      <w:r w:rsidR="00FB5664">
        <w:t xml:space="preserve"> účelového a institucionálního financování</w:t>
      </w:r>
      <w:r w:rsidR="0004310A">
        <w:t xml:space="preserve"> na úrovni 14 mld. Kč</w:t>
      </w:r>
      <w:r w:rsidR="006C1136">
        <w:t>, a to díky poklesu účelového financování</w:t>
      </w:r>
      <w:r w:rsidR="00FB5664">
        <w:t xml:space="preserve">. </w:t>
      </w:r>
      <w:r w:rsidR="0004310A">
        <w:t>V roce 2017 opět účelová podpora (15,5</w:t>
      </w:r>
      <w:r w:rsidR="00A82C45">
        <w:t> </w:t>
      </w:r>
      <w:r w:rsidR="0004310A">
        <w:t>mld.</w:t>
      </w:r>
      <w:r w:rsidR="00A82C45">
        <w:t> </w:t>
      </w:r>
      <w:r w:rsidR="0004310A">
        <w:t>Kč)</w:t>
      </w:r>
      <w:r w:rsidR="002B2B3E">
        <w:t xml:space="preserve"> </w:t>
      </w:r>
      <w:r w:rsidR="0004310A">
        <w:t xml:space="preserve">převýšila institucionální (15,1 mld. Kč). </w:t>
      </w:r>
    </w:p>
    <w:p w14:paraId="4ECF8F0D" w14:textId="70633175" w:rsidR="002F2B9F" w:rsidRDefault="00C06616" w:rsidP="00335304">
      <w:pPr>
        <w:spacing w:before="120" w:after="60"/>
        <w:rPr>
          <w:b/>
        </w:rPr>
      </w:pPr>
      <w:r>
        <w:rPr>
          <w:b/>
        </w:rPr>
        <w:t>GRAF 1-3</w:t>
      </w:r>
      <w:r w:rsidR="006E3865" w:rsidRPr="006E3865">
        <w:rPr>
          <w:b/>
        </w:rPr>
        <w:t xml:space="preserve">: </w:t>
      </w:r>
      <w:r w:rsidR="007E575C">
        <w:rPr>
          <w:b/>
        </w:rPr>
        <w:t>Státní</w:t>
      </w:r>
      <w:r w:rsidR="007E575C" w:rsidRPr="00142861">
        <w:rPr>
          <w:b/>
        </w:rPr>
        <w:t xml:space="preserve"> </w:t>
      </w:r>
      <w:r w:rsidR="007E575C">
        <w:rPr>
          <w:b/>
        </w:rPr>
        <w:t xml:space="preserve">rozpočtové výdaje na VaV </w:t>
      </w:r>
      <w:r w:rsidR="002B2B3E">
        <w:rPr>
          <w:b/>
        </w:rPr>
        <w:t xml:space="preserve">v ČR </w:t>
      </w:r>
      <w:r w:rsidR="006E3865" w:rsidRPr="006E3865">
        <w:rPr>
          <w:b/>
        </w:rPr>
        <w:t>p</w:t>
      </w:r>
      <w:r w:rsidR="00446A05">
        <w:rPr>
          <w:b/>
        </w:rPr>
        <w:t xml:space="preserve">odle </w:t>
      </w:r>
      <w:r w:rsidR="00F210CC">
        <w:rPr>
          <w:b/>
        </w:rPr>
        <w:t>formy</w:t>
      </w:r>
      <w:r w:rsidR="00446A05">
        <w:rPr>
          <w:b/>
        </w:rPr>
        <w:t xml:space="preserve"> financování</w:t>
      </w:r>
      <w:r w:rsidR="005568FC">
        <w:rPr>
          <w:b/>
        </w:rPr>
        <w:t xml:space="preserve"> (mld. Kč)</w:t>
      </w:r>
      <w:r w:rsidR="00CA3422">
        <w:rPr>
          <w:b/>
        </w:rPr>
        <w:t>;</w:t>
      </w:r>
      <w:r w:rsidR="00446A05">
        <w:rPr>
          <w:b/>
        </w:rPr>
        <w:t xml:space="preserve"> </w:t>
      </w:r>
      <w:r w:rsidR="00446A05" w:rsidRPr="00703FAA">
        <w:rPr>
          <w:b/>
        </w:rPr>
        <w:t>200</w:t>
      </w:r>
      <w:r w:rsidR="0004310A">
        <w:rPr>
          <w:b/>
        </w:rPr>
        <w:t>5</w:t>
      </w:r>
      <w:r w:rsidR="00446A05" w:rsidRPr="00703FAA">
        <w:rPr>
          <w:b/>
        </w:rPr>
        <w:t>–201</w:t>
      </w:r>
      <w:r w:rsidR="0004310A">
        <w:rPr>
          <w:b/>
        </w:rPr>
        <w:t>7</w:t>
      </w:r>
    </w:p>
    <w:p w14:paraId="0BAFB779" w14:textId="77777777" w:rsidR="004670EF" w:rsidRDefault="001D5849" w:rsidP="006E3865">
      <w:r w:rsidRPr="002B2B3E">
        <w:rPr>
          <w:noProof/>
          <w:shd w:val="clear" w:color="auto" w:fill="DAEEF3" w:themeFill="accent5" w:themeFillTint="33"/>
        </w:rPr>
        <w:drawing>
          <wp:inline distT="0" distB="0" distL="0" distR="0" wp14:anchorId="44F2DB75" wp14:editId="2730F368">
            <wp:extent cx="6120130" cy="2880000"/>
            <wp:effectExtent l="0" t="0" r="0" b="0"/>
            <wp:docPr id="1" name="Graf 1">
              <a:extLst xmlns:a="http://schemas.openxmlformats.org/drawingml/2006/main">
                <a:ext uri="{FF2B5EF4-FFF2-40B4-BE49-F238E27FC236}">
                  <a16:creationId xmlns:a16="http://schemas.microsoft.com/office/drawing/2014/main" id="{00000000-0008-0000-03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F1E56F3" w14:textId="434961D6" w:rsidR="00AC197B" w:rsidRPr="00085CBD" w:rsidRDefault="00AC197B" w:rsidP="00AC197B">
      <w:pPr>
        <w:spacing w:before="120" w:after="60"/>
        <w:jc w:val="both"/>
      </w:pPr>
      <w:r w:rsidRPr="00E20005">
        <w:t>V roce 201</w:t>
      </w:r>
      <w:r w:rsidR="005A0590" w:rsidRPr="00E20005">
        <w:t>7</w:t>
      </w:r>
      <w:r w:rsidRPr="00E20005">
        <w:t xml:space="preserve"> dosáhlo spolufinancování </w:t>
      </w:r>
      <w:r w:rsidR="00093F9D" w:rsidRPr="00E20005">
        <w:t xml:space="preserve">projektů hrazených ze </w:t>
      </w:r>
      <w:r w:rsidRPr="00E20005">
        <w:t xml:space="preserve">strukturálních fondů EU určených na </w:t>
      </w:r>
      <w:r w:rsidR="009E6321" w:rsidRPr="00E20005">
        <w:t>výzkum a</w:t>
      </w:r>
      <w:r w:rsidR="00264CC7">
        <w:t> </w:t>
      </w:r>
      <w:r w:rsidR="009E6321" w:rsidRPr="00E20005">
        <w:t>vývoj</w:t>
      </w:r>
      <w:r w:rsidRPr="00E20005">
        <w:t xml:space="preserve"> ze státního rozpočtu </w:t>
      </w:r>
      <w:r w:rsidR="005A0590" w:rsidRPr="00E20005">
        <w:t>664</w:t>
      </w:r>
      <w:r w:rsidR="00670A01" w:rsidRPr="00E20005">
        <w:t xml:space="preserve"> mil. Kč </w:t>
      </w:r>
      <w:r w:rsidRPr="00E20005">
        <w:t xml:space="preserve">a podílelo se tak </w:t>
      </w:r>
      <w:r w:rsidR="00670A01" w:rsidRPr="00E20005">
        <w:t>2</w:t>
      </w:r>
      <w:r w:rsidR="005A0590" w:rsidRPr="00E20005">
        <w:t>,2</w:t>
      </w:r>
      <w:r w:rsidR="00670A01" w:rsidRPr="00E20005">
        <w:t xml:space="preserve"> %</w:t>
      </w:r>
      <w:r w:rsidRPr="00E20005">
        <w:t xml:space="preserve"> na GBARD.</w:t>
      </w:r>
      <w:r w:rsidR="005A0590" w:rsidRPr="00E20005">
        <w:t xml:space="preserve"> Oproti roku 2016</w:t>
      </w:r>
      <w:r w:rsidR="00670A01" w:rsidRPr="00E20005">
        <w:t xml:space="preserve"> </w:t>
      </w:r>
      <w:r w:rsidR="00E20005" w:rsidRPr="00E20005">
        <w:t xml:space="preserve">spolufinancování narostlo o výrazných </w:t>
      </w:r>
      <w:r w:rsidR="005A0590" w:rsidRPr="00E20005">
        <w:t xml:space="preserve">50,6 % </w:t>
      </w:r>
      <w:r w:rsidR="00E20005" w:rsidRPr="00E20005">
        <w:t>(</w:t>
      </w:r>
      <w:r w:rsidR="005A0590" w:rsidRPr="00E20005">
        <w:t>z částky 438 mil. K</w:t>
      </w:r>
      <w:r w:rsidR="00E20005" w:rsidRPr="00E20005">
        <w:t xml:space="preserve">č). </w:t>
      </w:r>
      <w:r w:rsidRPr="00E20005">
        <w:t xml:space="preserve">Poplatky a příspěvky na mezinárodní spolupráci ve VaV jsou hrazeny formou institucionální podpory z rozpočtu </w:t>
      </w:r>
      <w:r w:rsidR="005A7DA5" w:rsidRPr="00E20005">
        <w:t>M</w:t>
      </w:r>
      <w:r w:rsidR="000239C2" w:rsidRPr="00E20005">
        <w:t>inisterstva školství, mládeže a</w:t>
      </w:r>
      <w:r w:rsidR="00A82C45">
        <w:t> </w:t>
      </w:r>
      <w:r w:rsidR="000239C2" w:rsidRPr="00E20005">
        <w:t>tělovýchovy</w:t>
      </w:r>
      <w:r w:rsidRPr="00E20005">
        <w:t>. V roce 201</w:t>
      </w:r>
      <w:r w:rsidR="006B616B" w:rsidRPr="00E20005">
        <w:t>7</w:t>
      </w:r>
      <w:r w:rsidRPr="00E20005">
        <w:t xml:space="preserve"> dosáhly </w:t>
      </w:r>
      <w:r w:rsidR="007669CA" w:rsidRPr="00E20005">
        <w:t>878</w:t>
      </w:r>
      <w:r w:rsidR="0016661D" w:rsidRPr="00E20005">
        <w:t> </w:t>
      </w:r>
      <w:r w:rsidRPr="00E20005">
        <w:t>mil.</w:t>
      </w:r>
      <w:r w:rsidR="00DE4256" w:rsidRPr="00E20005">
        <w:t> </w:t>
      </w:r>
      <w:r w:rsidRPr="00E20005">
        <w:t>Kč.</w:t>
      </w:r>
    </w:p>
    <w:p w14:paraId="79FA98BE" w14:textId="13B4AB35" w:rsidR="009230B4" w:rsidRPr="009230B4" w:rsidRDefault="009230B4" w:rsidP="00761AB3">
      <w:pPr>
        <w:spacing w:before="120" w:after="120"/>
        <w:jc w:val="both"/>
        <w:rPr>
          <w:color w:val="C00000"/>
        </w:rPr>
      </w:pPr>
      <w:r w:rsidRPr="000F4B6B">
        <w:t>V Č</w:t>
      </w:r>
      <w:r w:rsidR="002B2B3E">
        <w:t>R</w:t>
      </w:r>
      <w:r w:rsidRPr="000F4B6B">
        <w:t xml:space="preserve"> </w:t>
      </w:r>
      <w:r w:rsidR="005F5DA3" w:rsidRPr="000F4B6B">
        <w:t xml:space="preserve">patří </w:t>
      </w:r>
      <w:r w:rsidRPr="000F4B6B">
        <w:t>mezi největší poskytovatele institucionální podpory Ministerstvo školství, mládeže a</w:t>
      </w:r>
      <w:r w:rsidR="00264CC7">
        <w:t> </w:t>
      </w:r>
      <w:r w:rsidRPr="000F4B6B">
        <w:t>tělovýchovy (MŠMT) a Akademie věd České republiky (AV ČR).</w:t>
      </w:r>
      <w:r w:rsidR="00910A05" w:rsidRPr="000F4B6B">
        <w:t xml:space="preserve"> </w:t>
      </w:r>
      <w:r w:rsidR="00C76116" w:rsidRPr="000F4B6B">
        <w:t>V roce 201</w:t>
      </w:r>
      <w:r w:rsidR="00FC654F">
        <w:t>7</w:t>
      </w:r>
      <w:r w:rsidRPr="000F4B6B">
        <w:t xml:space="preserve"> </w:t>
      </w:r>
      <w:r w:rsidR="00625CD9" w:rsidRPr="000F4B6B">
        <w:t xml:space="preserve">pocházelo </w:t>
      </w:r>
      <w:r w:rsidR="00761AB3" w:rsidRPr="000F4B6B">
        <w:t>z</w:t>
      </w:r>
      <w:r w:rsidR="00625CD9" w:rsidRPr="000F4B6B">
        <w:t xml:space="preserve">e </w:t>
      </w:r>
      <w:r w:rsidR="00761AB3" w:rsidRPr="000F4B6B">
        <w:t>z</w:t>
      </w:r>
      <w:r w:rsidR="00625CD9" w:rsidRPr="000F4B6B">
        <w:t>droj</w:t>
      </w:r>
      <w:r w:rsidR="00761AB3" w:rsidRPr="000F4B6B">
        <w:t>ů</w:t>
      </w:r>
      <w:r w:rsidR="00C76116" w:rsidRPr="000F4B6B">
        <w:t xml:space="preserve"> obou institucí </w:t>
      </w:r>
      <w:r w:rsidR="00FC654F">
        <w:t>88,7</w:t>
      </w:r>
      <w:r w:rsidR="008A1102">
        <w:t> </w:t>
      </w:r>
      <w:r w:rsidR="00625CD9" w:rsidRPr="000F4B6B">
        <w:rPr>
          <w:lang w:val="en-US"/>
        </w:rPr>
        <w:t xml:space="preserve">% </w:t>
      </w:r>
      <w:r w:rsidR="00761AB3" w:rsidRPr="000F4B6B">
        <w:t>in</w:t>
      </w:r>
      <w:r w:rsidRPr="000F4B6B">
        <w:t>stitucionální</w:t>
      </w:r>
      <w:r w:rsidR="00625CD9" w:rsidRPr="000F4B6B">
        <w:t>ch</w:t>
      </w:r>
      <w:r w:rsidRPr="000F4B6B">
        <w:t xml:space="preserve"> </w:t>
      </w:r>
      <w:r w:rsidR="00625CD9" w:rsidRPr="000F4B6B">
        <w:t>výdajů na</w:t>
      </w:r>
      <w:r w:rsidRPr="000F4B6B">
        <w:t xml:space="preserve"> VaV v Č</w:t>
      </w:r>
      <w:r w:rsidR="002B2B3E">
        <w:t>R</w:t>
      </w:r>
      <w:r w:rsidRPr="000F4B6B">
        <w:t>. MŠMT podporuje v rámci svého institucionálního f</w:t>
      </w:r>
      <w:r w:rsidR="00FF41B5">
        <w:t xml:space="preserve">inancování především </w:t>
      </w:r>
      <w:r w:rsidR="00C46800">
        <w:t>veřejné vysoké školy (7</w:t>
      </w:r>
      <w:r w:rsidR="00C76116" w:rsidRPr="000F4B6B">
        <w:t xml:space="preserve"> mld. Kč v roce 201</w:t>
      </w:r>
      <w:r w:rsidR="00C46800">
        <w:t>7</w:t>
      </w:r>
      <w:r w:rsidR="00E50026">
        <w:t>).</w:t>
      </w:r>
      <w:r w:rsidRPr="000F4B6B">
        <w:t xml:space="preserve"> AV ČR </w:t>
      </w:r>
      <w:r w:rsidR="00434B73" w:rsidRPr="000F4B6B">
        <w:t xml:space="preserve">rozdělila mezi </w:t>
      </w:r>
      <w:r w:rsidRPr="000F4B6B">
        <w:t xml:space="preserve">své </w:t>
      </w:r>
      <w:r w:rsidR="00E50026">
        <w:t xml:space="preserve">výzkumné </w:t>
      </w:r>
      <w:r w:rsidRPr="000F4B6B">
        <w:t>ústavy</w:t>
      </w:r>
      <w:r w:rsidR="00354B78" w:rsidRPr="000F4B6B">
        <w:t xml:space="preserve"> 3</w:t>
      </w:r>
      <w:r w:rsidR="000F4B6B" w:rsidRPr="000F4B6B">
        <w:t>,</w:t>
      </w:r>
      <w:r w:rsidR="00C46800">
        <w:t>5</w:t>
      </w:r>
      <w:r w:rsidRPr="000F4B6B">
        <w:t xml:space="preserve"> mld. Kč</w:t>
      </w:r>
      <w:r w:rsidR="002B2B3E">
        <w:t xml:space="preserve"> a dalších 1,7 mld. Kč </w:t>
      </w:r>
      <w:r w:rsidR="009E03E5">
        <w:t>byl</w:t>
      </w:r>
      <w:r w:rsidR="00B26352">
        <w:t>o</w:t>
      </w:r>
      <w:r w:rsidR="009E03E5">
        <w:t xml:space="preserve"> vyčleněn</w:t>
      </w:r>
      <w:r w:rsidR="00B26352">
        <w:t>o</w:t>
      </w:r>
      <w:r w:rsidR="009E03E5">
        <w:t xml:space="preserve"> na financování </w:t>
      </w:r>
      <w:r w:rsidR="00A53AC9">
        <w:t>infrastruktury AV ČR</w:t>
      </w:r>
      <w:r w:rsidRPr="000F4B6B">
        <w:t>. Kromě dvou výše zmíněných subjektů poskytuj</w:t>
      </w:r>
      <w:r w:rsidR="00B26352">
        <w:t>e</w:t>
      </w:r>
      <w:r w:rsidRPr="000F4B6B">
        <w:t xml:space="preserve"> institucionální </w:t>
      </w:r>
      <w:r w:rsidR="00334AF9" w:rsidRPr="000F4B6B">
        <w:t xml:space="preserve">podporu vlastním </w:t>
      </w:r>
      <w:r w:rsidRPr="000F4B6B">
        <w:t>resortní</w:t>
      </w:r>
      <w:r w:rsidR="006B1DE7" w:rsidRPr="000F4B6B">
        <w:t>m</w:t>
      </w:r>
      <w:r w:rsidRPr="00354B78">
        <w:t xml:space="preserve"> výzkumn</w:t>
      </w:r>
      <w:r w:rsidR="006B1DE7">
        <w:t>ým</w:t>
      </w:r>
      <w:r w:rsidRPr="00354B78">
        <w:t xml:space="preserve"> organizac</w:t>
      </w:r>
      <w:r w:rsidR="006B1DE7">
        <w:t>ím</w:t>
      </w:r>
      <w:r w:rsidRPr="00354B78">
        <w:t xml:space="preserve"> </w:t>
      </w:r>
      <w:r w:rsidR="009E03E5">
        <w:t xml:space="preserve">i </w:t>
      </w:r>
      <w:r w:rsidR="00EC213E">
        <w:t xml:space="preserve">většina resortů, nově pak od roku 2017 také </w:t>
      </w:r>
      <w:r w:rsidR="002F3150">
        <w:t>M</w:t>
      </w:r>
      <w:r w:rsidR="00EC213E">
        <w:t xml:space="preserve">inisterstvo dopravy a </w:t>
      </w:r>
      <w:r w:rsidR="002F3150">
        <w:t>M</w:t>
      </w:r>
      <w:r w:rsidR="00EC213E">
        <w:t>inisterstvo životního prostředí</w:t>
      </w:r>
      <w:r w:rsidR="002F3150">
        <w:t>.</w:t>
      </w:r>
      <w:r w:rsidR="00EC213E">
        <w:t xml:space="preserve"> Pouze Grantová agentura a</w:t>
      </w:r>
      <w:r w:rsidR="00D26FE8">
        <w:t> </w:t>
      </w:r>
      <w:r w:rsidR="00EC213E">
        <w:t xml:space="preserve">Technologická agentura neposkytují žádnou institucionální podporu. </w:t>
      </w:r>
    </w:p>
    <w:p w14:paraId="4F0AA75B" w14:textId="34F62CF8" w:rsidR="00F80AD6" w:rsidRDefault="009230B4" w:rsidP="00761AB3">
      <w:pPr>
        <w:spacing w:before="120" w:after="120"/>
        <w:jc w:val="both"/>
      </w:pPr>
      <w:r w:rsidRPr="00910A05">
        <w:t>Účelová (projekto</w:t>
      </w:r>
      <w:r w:rsidR="00AD262F">
        <w:t>vá) podpora VaV byla v roce 201</w:t>
      </w:r>
      <w:r w:rsidR="00EC213E">
        <w:t>7</w:t>
      </w:r>
      <w:r w:rsidRPr="00910A05">
        <w:t xml:space="preserve"> financov</w:t>
      </w:r>
      <w:r w:rsidR="00321C29">
        <w:t>ána na území Č</w:t>
      </w:r>
      <w:r w:rsidR="009E03E5">
        <w:t>R</w:t>
      </w:r>
      <w:r w:rsidRPr="00910A05">
        <w:t xml:space="preserve"> </w:t>
      </w:r>
      <w:r w:rsidRPr="004618CF">
        <w:t xml:space="preserve">prostřednictvím </w:t>
      </w:r>
      <w:r w:rsidR="002F3150">
        <w:t>devíti</w:t>
      </w:r>
      <w:r w:rsidRPr="00910A05">
        <w:t xml:space="preserve"> rozpočtových kapitol</w:t>
      </w:r>
      <w:r w:rsidR="00321C29">
        <w:t xml:space="preserve">. V minulosti </w:t>
      </w:r>
      <w:r w:rsidR="002F3150">
        <w:t xml:space="preserve">bylo takových </w:t>
      </w:r>
      <w:r w:rsidR="00321C29">
        <w:t xml:space="preserve">rozpočtových kapitol </w:t>
      </w:r>
      <w:r w:rsidRPr="00910A05">
        <w:t>až 22.</w:t>
      </w:r>
      <w:r w:rsidR="009E03E5">
        <w:t xml:space="preserve"> Ne</w:t>
      </w:r>
      <w:r w:rsidR="00A6499A" w:rsidRPr="00372E02">
        <w:t xml:space="preserve">jvýznamnějším </w:t>
      </w:r>
      <w:r w:rsidR="00A6499A" w:rsidRPr="00372E02">
        <w:lastRenderedPageBreak/>
        <w:t xml:space="preserve">poskytovatelem </w:t>
      </w:r>
      <w:r w:rsidR="009E03E5">
        <w:t xml:space="preserve">této podpory je </w:t>
      </w:r>
      <w:r w:rsidR="00A6499A" w:rsidRPr="00372E02">
        <w:t>MŠMT</w:t>
      </w:r>
      <w:r w:rsidR="007E115D" w:rsidRPr="00372E02">
        <w:t>, jež rozdělilo</w:t>
      </w:r>
      <w:r w:rsidR="00A6499A" w:rsidRPr="00372E02">
        <w:t xml:space="preserve"> účelov</w:t>
      </w:r>
      <w:r w:rsidR="007E115D" w:rsidRPr="00372E02">
        <w:t>é</w:t>
      </w:r>
      <w:r w:rsidR="00A6499A" w:rsidRPr="00372E02">
        <w:t xml:space="preserve"> prostředky ve výši </w:t>
      </w:r>
      <w:r w:rsidR="00F80AD6">
        <w:t>rovných 5</w:t>
      </w:r>
      <w:r w:rsidR="00DD5673">
        <w:t>,</w:t>
      </w:r>
      <w:r w:rsidR="00E71FF0">
        <w:t>2</w:t>
      </w:r>
      <w:r w:rsidR="00A6499A" w:rsidRPr="00372E02">
        <w:t xml:space="preserve"> mld. Kč</w:t>
      </w:r>
      <w:r w:rsidR="00357632" w:rsidRPr="00372E02">
        <w:t>. Jednalo se o</w:t>
      </w:r>
      <w:r w:rsidR="00372E02" w:rsidRPr="00372E02">
        <w:t xml:space="preserve"> </w:t>
      </w:r>
      <w:r w:rsidR="009E03E5">
        <w:t>třetinu</w:t>
      </w:r>
      <w:r w:rsidR="00A6499A" w:rsidRPr="00372E02">
        <w:t xml:space="preserve"> </w:t>
      </w:r>
      <w:r w:rsidR="009E03E5">
        <w:t>z</w:t>
      </w:r>
      <w:r w:rsidR="00D26FE8">
        <w:t> </w:t>
      </w:r>
      <w:r w:rsidR="00A6499A" w:rsidRPr="00372E02">
        <w:t xml:space="preserve">celkových účelových </w:t>
      </w:r>
      <w:r w:rsidR="00543761" w:rsidRPr="00372E02">
        <w:t>státních rozpočtových výdajů</w:t>
      </w:r>
      <w:r w:rsidR="00A6499A" w:rsidRPr="00372E02">
        <w:t xml:space="preserve"> na VaV v ČR. MŠMT poskytuje podporu na </w:t>
      </w:r>
      <w:r w:rsidR="00AA177A" w:rsidRPr="00372E02">
        <w:t>základní a</w:t>
      </w:r>
      <w:r w:rsidR="00D26FE8">
        <w:t> </w:t>
      </w:r>
      <w:r w:rsidR="00A6499A" w:rsidRPr="00372E02">
        <w:t>aplikovaný VaV prováděný především na veřejných vysokých školách. Patří sem i</w:t>
      </w:r>
      <w:r w:rsidR="00A82C45">
        <w:t> </w:t>
      </w:r>
      <w:r w:rsidR="00761AB3" w:rsidRPr="00372E02">
        <w:t>spolu</w:t>
      </w:r>
      <w:r w:rsidR="00A6499A" w:rsidRPr="00372E02">
        <w:t>financování projektů hrazených ze strukturálních fondů</w:t>
      </w:r>
      <w:r w:rsidR="00E50D6C">
        <w:t xml:space="preserve"> EU</w:t>
      </w:r>
      <w:r w:rsidR="00A6499A" w:rsidRPr="00372E02">
        <w:t xml:space="preserve"> (dle metodiky OECD). </w:t>
      </w:r>
    </w:p>
    <w:p w14:paraId="66C31D2E" w14:textId="34CD591D" w:rsidR="00857CF9" w:rsidRPr="00372E02" w:rsidRDefault="00A6499A" w:rsidP="00761AB3">
      <w:pPr>
        <w:spacing w:before="120" w:after="120"/>
        <w:jc w:val="both"/>
      </w:pPr>
      <w:r w:rsidRPr="00372E02">
        <w:t xml:space="preserve">Druhým </w:t>
      </w:r>
      <w:r w:rsidR="00857CF9" w:rsidRPr="00372E02">
        <w:t>nejvýznamnějším poskytovatelem účelové podpory</w:t>
      </w:r>
      <w:r w:rsidR="001D7AC8" w:rsidRPr="00372E02">
        <w:t xml:space="preserve"> byla</w:t>
      </w:r>
      <w:r w:rsidR="00857CF9" w:rsidRPr="00372E02">
        <w:t xml:space="preserve"> Grantová agentura ČR (GA ČR)</w:t>
      </w:r>
      <w:r w:rsidR="009E03E5" w:rsidRPr="00372E02">
        <w:rPr>
          <w:rStyle w:val="Znakapoznpodarou"/>
        </w:rPr>
        <w:footnoteReference w:id="8"/>
      </w:r>
      <w:r w:rsidR="00857CF9" w:rsidRPr="00372E02">
        <w:t>, která podporuje každor</w:t>
      </w:r>
      <w:r w:rsidR="001B4D02">
        <w:t xml:space="preserve">očně granty na základní </w:t>
      </w:r>
      <w:r w:rsidR="00857CF9" w:rsidRPr="00372E02">
        <w:t xml:space="preserve">výzkum. Finance </w:t>
      </w:r>
      <w:r w:rsidR="0077546E" w:rsidRPr="00372E02">
        <w:t xml:space="preserve">jsou </w:t>
      </w:r>
      <w:r w:rsidR="00857CF9" w:rsidRPr="00372E02">
        <w:t>poskyt</w:t>
      </w:r>
      <w:r w:rsidR="0077546E" w:rsidRPr="00372E02">
        <w:t>ovány</w:t>
      </w:r>
      <w:r w:rsidR="00857CF9" w:rsidRPr="00372E02">
        <w:t xml:space="preserve"> nejlepším projektům ze všech oborů vědy na základě veřejné soutěže </w:t>
      </w:r>
      <w:r w:rsidRPr="00372E02">
        <w:t xml:space="preserve">ve výzkumu a vývoji. </w:t>
      </w:r>
      <w:r w:rsidR="00372E02" w:rsidRPr="00372E02">
        <w:t>V roce 201</w:t>
      </w:r>
      <w:r w:rsidR="007E32F3">
        <w:t>7</w:t>
      </w:r>
      <w:r w:rsidR="00857CF9" w:rsidRPr="00372E02">
        <w:t xml:space="preserve"> </w:t>
      </w:r>
      <w:r w:rsidRPr="00372E02">
        <w:t xml:space="preserve">GA ČR </w:t>
      </w:r>
      <w:r w:rsidR="00372E02" w:rsidRPr="00372E02">
        <w:t>rozdělila na grantové p</w:t>
      </w:r>
      <w:r w:rsidR="007E32F3">
        <w:t>rojekty rovné 4</w:t>
      </w:r>
      <w:r w:rsidR="00857CF9" w:rsidRPr="00372E02">
        <w:t> mld</w:t>
      </w:r>
      <w:r w:rsidRPr="00372E02">
        <w:t>. Kč, což o</w:t>
      </w:r>
      <w:r w:rsidR="00372E02" w:rsidRPr="00372E02">
        <w:t>dpovídalo 2</w:t>
      </w:r>
      <w:r w:rsidR="00B6506C">
        <w:t>7</w:t>
      </w:r>
      <w:r w:rsidR="00857CF9" w:rsidRPr="00372E02">
        <w:t xml:space="preserve">% podílu na účelovém </w:t>
      </w:r>
      <w:r w:rsidR="001D7AC8" w:rsidRPr="00372E02">
        <w:t xml:space="preserve">veřejném </w:t>
      </w:r>
      <w:r w:rsidR="00857CF9" w:rsidRPr="00372E02">
        <w:t>financování VaV v Č</w:t>
      </w:r>
      <w:r w:rsidR="009E03E5">
        <w:t>R</w:t>
      </w:r>
      <w:r w:rsidR="00857CF9" w:rsidRPr="00372E02">
        <w:t xml:space="preserve">.   </w:t>
      </w:r>
    </w:p>
    <w:p w14:paraId="664366B8" w14:textId="2C937981" w:rsidR="00857CF9" w:rsidRPr="00372E02" w:rsidRDefault="00857CF9" w:rsidP="00761AB3">
      <w:pPr>
        <w:spacing w:before="120" w:after="120"/>
        <w:jc w:val="both"/>
      </w:pPr>
      <w:r w:rsidRPr="00372E02">
        <w:t>Význam Technologické agentury ČR (TA ČR)</w:t>
      </w:r>
      <w:r w:rsidR="00346895" w:rsidRPr="00372E02">
        <w:rPr>
          <w:rStyle w:val="Znakapoznpodarou"/>
        </w:rPr>
        <w:footnoteReference w:id="9"/>
      </w:r>
      <w:r w:rsidRPr="00372E02">
        <w:t xml:space="preserve"> jako rozpočtové kapitoly financující VaV </w:t>
      </w:r>
      <w:r w:rsidR="00717608">
        <w:t>od roku 2010 výrazně</w:t>
      </w:r>
      <w:r w:rsidRPr="00372E02">
        <w:t xml:space="preserve"> </w:t>
      </w:r>
      <w:r w:rsidR="00717608">
        <w:t>vzrostl</w:t>
      </w:r>
      <w:r w:rsidRPr="00372E02">
        <w:t xml:space="preserve">. Agentura byla založena primárně na podporu aplikovaného výzkumu s důrazem na spolupráci mezi podniky, vysokými školami a veřejnými výzkumnými </w:t>
      </w:r>
      <w:r w:rsidR="009A7B85">
        <w:t>institucemi</w:t>
      </w:r>
      <w:r w:rsidRPr="00372E02">
        <w:t xml:space="preserve">. Financování projektů </w:t>
      </w:r>
      <w:r w:rsidR="00AA177A" w:rsidRPr="00372E02">
        <w:t xml:space="preserve">například </w:t>
      </w:r>
      <w:r w:rsidRPr="00372E02">
        <w:t>v programech „ALFA</w:t>
      </w:r>
      <w:r w:rsidR="00AA177A" w:rsidRPr="00372E02">
        <w:rPr>
          <w:rStyle w:val="Znakapoznpodarou"/>
        </w:rPr>
        <w:footnoteReference w:id="10"/>
      </w:r>
      <w:r w:rsidRPr="00372E02">
        <w:t>“, „</w:t>
      </w:r>
      <w:r w:rsidR="00F656A6">
        <w:t>BETA</w:t>
      </w:r>
      <w:r w:rsidR="00AA177A" w:rsidRPr="00372E02">
        <w:rPr>
          <w:rStyle w:val="Znakapoznpodarou"/>
        </w:rPr>
        <w:footnoteReference w:id="11"/>
      </w:r>
      <w:r w:rsidRPr="00372E02">
        <w:t xml:space="preserve">“, „Centra </w:t>
      </w:r>
      <w:r w:rsidR="00792D65" w:rsidRPr="00372E02">
        <w:t>kompetence“ je realizováno výhradně</w:t>
      </w:r>
      <w:r w:rsidRPr="00372E02">
        <w:t xml:space="preserve"> účel</w:t>
      </w:r>
      <w:r w:rsidR="009717A8" w:rsidRPr="00372E02">
        <w:t xml:space="preserve">ovou formou podpory. </w:t>
      </w:r>
      <w:r w:rsidR="00372E02" w:rsidRPr="00372E02">
        <w:t>V roce 201</w:t>
      </w:r>
      <w:r w:rsidR="00D2016A">
        <w:t>7</w:t>
      </w:r>
      <w:r w:rsidRPr="00372E02">
        <w:t xml:space="preserve"> TA ČR posky</w:t>
      </w:r>
      <w:r w:rsidR="00372E02" w:rsidRPr="00372E02">
        <w:t xml:space="preserve">tla </w:t>
      </w:r>
      <w:r w:rsidR="000D59D3">
        <w:t xml:space="preserve">na VaV </w:t>
      </w:r>
      <w:r w:rsidR="00372E02" w:rsidRPr="00372E02">
        <w:t xml:space="preserve">účelovou podporu ve výši </w:t>
      </w:r>
      <w:r w:rsidR="00D2016A">
        <w:t>2,8 mld. Kč, což odpovídá 18</w:t>
      </w:r>
      <w:r w:rsidRPr="00372E02">
        <w:t> %</w:t>
      </w:r>
      <w:r w:rsidR="00792D65" w:rsidRPr="00372E02">
        <w:t> </w:t>
      </w:r>
      <w:r w:rsidRPr="00372E02">
        <w:t>celkové účelové podpory poskytnuté na VaV v ČR v</w:t>
      </w:r>
      <w:r w:rsidR="00521533" w:rsidRPr="00372E02">
        <w:t xml:space="preserve"> daném</w:t>
      </w:r>
      <w:r w:rsidR="007A6182" w:rsidRPr="00372E02">
        <w:t xml:space="preserve"> </w:t>
      </w:r>
      <w:r w:rsidRPr="00372E02">
        <w:t xml:space="preserve">roce. </w:t>
      </w:r>
      <w:r w:rsidR="00150A46" w:rsidRPr="00150A46">
        <w:t>Hlavními příjemci účelové podpory TA ČR jsou</w:t>
      </w:r>
      <w:r w:rsidR="00150A46">
        <w:t xml:space="preserve"> </w:t>
      </w:r>
      <w:r w:rsidR="00D87C76">
        <w:t xml:space="preserve">soukromé </w:t>
      </w:r>
      <w:r w:rsidR="00150A46">
        <w:t>podniky</w:t>
      </w:r>
      <w:r w:rsidR="00D87C76">
        <w:t xml:space="preserve"> a dále veřejné vysoké školy</w:t>
      </w:r>
      <w:r w:rsidR="00150A46">
        <w:t>.</w:t>
      </w:r>
      <w:r w:rsidRPr="00372E02">
        <w:t xml:space="preserve"> </w:t>
      </w:r>
    </w:p>
    <w:p w14:paraId="42C88818" w14:textId="74A50052" w:rsidR="007C0251" w:rsidRDefault="00176360" w:rsidP="00AC197B">
      <w:pPr>
        <w:spacing w:before="120" w:after="120"/>
        <w:jc w:val="both"/>
      </w:pPr>
      <w:r w:rsidRPr="009600FD">
        <w:t>V období</w:t>
      </w:r>
      <w:r>
        <w:t xml:space="preserve"> 2000 až 2011</w:t>
      </w:r>
      <w:r w:rsidR="00857CF9" w:rsidRPr="003E22E9">
        <w:t xml:space="preserve"> bylo Ministerstvo průmyslu a obchodu (MPO) nejvýznamnějším poskytovatelem účel</w:t>
      </w:r>
      <w:r>
        <w:t>ové podpory. V roce 201</w:t>
      </w:r>
      <w:r w:rsidR="00386193">
        <w:t>7 bylo co do</w:t>
      </w:r>
      <w:r w:rsidR="00594A1D">
        <w:t xml:space="preserve"> výše</w:t>
      </w:r>
      <w:r w:rsidR="00386193">
        <w:t xml:space="preserve"> poskytované účelové podpory</w:t>
      </w:r>
      <w:r>
        <w:t xml:space="preserve"> až na </w:t>
      </w:r>
      <w:r w:rsidR="00386193">
        <w:t>pátém místě</w:t>
      </w:r>
      <w:r w:rsidR="00857CF9" w:rsidRPr="003E22E9">
        <w:t xml:space="preserve">. </w:t>
      </w:r>
      <w:r w:rsidR="00CB1D3F">
        <w:t>Část aplikovaného výzkumu je nyní hrazen</w:t>
      </w:r>
      <w:r w:rsidR="00F70D82">
        <w:t>a</w:t>
      </w:r>
      <w:r w:rsidR="00CB1D3F">
        <w:t xml:space="preserve"> z rozpočtové kapitoly TA ČR.</w:t>
      </w:r>
      <w:r w:rsidR="00857CF9" w:rsidRPr="003E22E9">
        <w:t xml:space="preserve"> MPO podporuje především aplikovaný výzkum a </w:t>
      </w:r>
      <w:r w:rsidR="00FD2708">
        <w:t xml:space="preserve">experimentální </w:t>
      </w:r>
      <w:r w:rsidR="00857CF9" w:rsidRPr="003E22E9">
        <w:t xml:space="preserve">vývoj. Hlavními příjemci účelové podpory MPO jsou soukromé </w:t>
      </w:r>
      <w:r w:rsidR="00383DD8">
        <w:t>národní</w:t>
      </w:r>
      <w:r w:rsidR="00857CF9" w:rsidRPr="003E22E9">
        <w:t xml:space="preserve"> podniky.</w:t>
      </w:r>
      <w:r w:rsidR="00BA1953" w:rsidRPr="003E22E9">
        <w:t xml:space="preserve"> V</w:t>
      </w:r>
      <w:r w:rsidR="00264CC7">
        <w:t> </w:t>
      </w:r>
      <w:r w:rsidR="00BA1953" w:rsidRPr="003E22E9">
        <w:t>roce 201</w:t>
      </w:r>
      <w:r w:rsidR="00386193">
        <w:t>7</w:t>
      </w:r>
      <w:r w:rsidR="00857CF9" w:rsidRPr="003E22E9">
        <w:t xml:space="preserve"> činil podíl MPO na celkovém účelovém financování VaV</w:t>
      </w:r>
      <w:r w:rsidR="00BA1953" w:rsidRPr="003E22E9">
        <w:t xml:space="preserve"> </w:t>
      </w:r>
      <w:r w:rsidR="007A7ED9">
        <w:t>5</w:t>
      </w:r>
      <w:r w:rsidR="00BA1953" w:rsidRPr="003E22E9">
        <w:t xml:space="preserve"> % (</w:t>
      </w:r>
      <w:r w:rsidR="00386193">
        <w:t xml:space="preserve">846 </w:t>
      </w:r>
      <w:r w:rsidR="000B703D">
        <w:t>mil</w:t>
      </w:r>
      <w:r w:rsidR="00857CF9" w:rsidRPr="003E22E9">
        <w:t>. Kč).</w:t>
      </w:r>
      <w:r>
        <w:t xml:space="preserve"> </w:t>
      </w:r>
      <w:r w:rsidR="00386193">
        <w:t xml:space="preserve">V roce </w:t>
      </w:r>
      <w:r w:rsidR="007A7ED9">
        <w:t xml:space="preserve">2016 MPO dosáhlo </w:t>
      </w:r>
      <w:r w:rsidR="00386193">
        <w:t>minima rozdělované částky účelové podpory (313 mil. Kč</w:t>
      </w:r>
      <w:r w:rsidR="007A7ED9">
        <w:t>, 2% podíl</w:t>
      </w:r>
      <w:r w:rsidR="00386193">
        <w:t xml:space="preserve">). </w:t>
      </w:r>
      <w:r w:rsidR="007A7ED9">
        <w:t>Svou roli zde hrálo i ukončení</w:t>
      </w:r>
      <w:r w:rsidR="009600FD">
        <w:t xml:space="preserve"> spolufinancování projektů hrazených ze Strukturálních fondů EU</w:t>
      </w:r>
      <w:r w:rsidR="004E2E1B">
        <w:t xml:space="preserve"> a velkého národního programu</w:t>
      </w:r>
      <w:r w:rsidR="009600FD">
        <w:t>.</w:t>
      </w:r>
      <w:r w:rsidR="004A735E">
        <w:t xml:space="preserve"> </w:t>
      </w:r>
      <w:r w:rsidR="00857CF9" w:rsidRPr="00857CF9">
        <w:tab/>
      </w:r>
    </w:p>
    <w:p w14:paraId="2219E619" w14:textId="77777777" w:rsidR="00857CF9" w:rsidRPr="00857CF9" w:rsidRDefault="004F4D12" w:rsidP="00376D7A">
      <w:pPr>
        <w:pStyle w:val="Nadpis3"/>
        <w:spacing w:before="240"/>
        <w:rPr>
          <w:b w:val="0"/>
          <w:bCs w:val="0"/>
        </w:rPr>
      </w:pPr>
      <w:r>
        <w:t>Státní rozpočtové výdaje na VaV</w:t>
      </w:r>
      <w:r w:rsidR="00857CF9" w:rsidRPr="00857CF9">
        <w:t xml:space="preserve"> podle poskytovatelů</w:t>
      </w:r>
    </w:p>
    <w:p w14:paraId="569D1DB4" w14:textId="6E0CB986" w:rsidR="00FD2708" w:rsidRPr="00AE6425" w:rsidRDefault="00857CF9" w:rsidP="00AA177A">
      <w:pPr>
        <w:spacing w:before="120" w:after="120"/>
        <w:jc w:val="both"/>
      </w:pPr>
      <w:r w:rsidRPr="00AE6425">
        <w:t xml:space="preserve">Nejvýznamnějším </w:t>
      </w:r>
      <w:r w:rsidR="00314A3C" w:rsidRPr="00AE6425">
        <w:t>poskytovatelem</w:t>
      </w:r>
      <w:r w:rsidR="00A82C45">
        <w:t>,</w:t>
      </w:r>
      <w:r w:rsidR="002B30B3" w:rsidRPr="00AE6425">
        <w:t xml:space="preserve"> </w:t>
      </w:r>
      <w:r w:rsidRPr="00AE6425">
        <w:t>z jehož rozpočtové kapitoly byla uvolněna n</w:t>
      </w:r>
      <w:r w:rsidR="00F04371" w:rsidRPr="00AE6425">
        <w:t xml:space="preserve">ejvyšší </w:t>
      </w:r>
      <w:r w:rsidR="00AD262F" w:rsidRPr="00AE6425">
        <w:t>částka</w:t>
      </w:r>
      <w:r w:rsidR="00A82C45">
        <w:t xml:space="preserve"> na VaV</w:t>
      </w:r>
      <w:r w:rsidR="00AD262F" w:rsidRPr="00AE6425">
        <w:t xml:space="preserve">, </w:t>
      </w:r>
      <w:r w:rsidR="00BB5B7F" w:rsidRPr="00AE6425">
        <w:t xml:space="preserve">je dlouhodobě </w:t>
      </w:r>
      <w:r w:rsidRPr="00AE6425">
        <w:t>M</w:t>
      </w:r>
      <w:r w:rsidR="000D59D3">
        <w:t>ŠMT</w:t>
      </w:r>
      <w:r w:rsidRPr="00AE6425">
        <w:t xml:space="preserve">. Prostřednictvím </w:t>
      </w:r>
      <w:r w:rsidR="00A82C45">
        <w:t>MŠMT</w:t>
      </w:r>
      <w:r w:rsidRPr="00AE6425">
        <w:t xml:space="preserve"> bylo </w:t>
      </w:r>
      <w:r w:rsidR="00801B0C">
        <w:t>v roce 2017</w:t>
      </w:r>
      <w:r w:rsidR="00314A3C" w:rsidRPr="00AE6425">
        <w:t xml:space="preserve"> </w:t>
      </w:r>
      <w:r w:rsidRPr="00AE6425">
        <w:t xml:space="preserve">do výzkumných </w:t>
      </w:r>
      <w:r w:rsidR="00F04371" w:rsidRPr="00AE6425">
        <w:t xml:space="preserve">a </w:t>
      </w:r>
      <w:r w:rsidR="00AD262F" w:rsidRPr="00AE6425">
        <w:t xml:space="preserve">vývojových aktivit alokováno </w:t>
      </w:r>
      <w:r w:rsidR="00A82C45">
        <w:t xml:space="preserve">celkem </w:t>
      </w:r>
      <w:r w:rsidR="00AD262F" w:rsidRPr="00AE6425">
        <w:t>1</w:t>
      </w:r>
      <w:r w:rsidR="00801B0C">
        <w:t>3,1</w:t>
      </w:r>
      <w:r w:rsidRPr="00AE6425">
        <w:t> mld. Kč, což odpovídá podíl</w:t>
      </w:r>
      <w:r w:rsidR="006A5CB1" w:rsidRPr="00AE6425">
        <w:t>u 4</w:t>
      </w:r>
      <w:r w:rsidR="00141C52">
        <w:t>2,7</w:t>
      </w:r>
      <w:r w:rsidR="00F04371" w:rsidRPr="00AE6425">
        <w:t xml:space="preserve"> % z celkového objemu státních rozpočtových výdajů na VaV</w:t>
      </w:r>
      <w:r w:rsidR="00526DF5" w:rsidRPr="00AE6425">
        <w:t xml:space="preserve"> – v roce 2005 </w:t>
      </w:r>
      <w:r w:rsidR="00A82C45">
        <w:t xml:space="preserve">byl tento podíl </w:t>
      </w:r>
      <w:r w:rsidR="00526DF5" w:rsidRPr="00AE6425">
        <w:t>34 %</w:t>
      </w:r>
      <w:r w:rsidRPr="00AE6425">
        <w:t>.</w:t>
      </w:r>
      <w:r w:rsidR="004D059E" w:rsidRPr="00AE6425">
        <w:t xml:space="preserve"> </w:t>
      </w:r>
      <w:r w:rsidR="006E39B0">
        <w:t>Téměř dv</w:t>
      </w:r>
      <w:r w:rsidR="00264CC7">
        <w:t>ě</w:t>
      </w:r>
      <w:r w:rsidR="006E39B0">
        <w:t xml:space="preserve"> třetiny </w:t>
      </w:r>
      <w:r w:rsidRPr="00AE6425">
        <w:t xml:space="preserve">těchto </w:t>
      </w:r>
      <w:r w:rsidR="00FB12F8" w:rsidRPr="00AE6425">
        <w:t xml:space="preserve">finančních prostředků </w:t>
      </w:r>
      <w:r w:rsidR="009A7B85" w:rsidRPr="00AE6425">
        <w:t>byl</w:t>
      </w:r>
      <w:r w:rsidR="009A7B85">
        <w:t>y</w:t>
      </w:r>
      <w:r w:rsidR="009A7B85" w:rsidRPr="00AE6425">
        <w:t xml:space="preserve"> </w:t>
      </w:r>
      <w:r w:rsidR="00526DF5" w:rsidRPr="00AE6425">
        <w:t>v roce 201</w:t>
      </w:r>
      <w:r w:rsidR="006E39B0">
        <w:t>7</w:t>
      </w:r>
      <w:r w:rsidR="00526DF5" w:rsidRPr="00AE6425">
        <w:t xml:space="preserve"> </w:t>
      </w:r>
      <w:r w:rsidR="009A7B85" w:rsidRPr="00AE6425">
        <w:t>poskytnut</w:t>
      </w:r>
      <w:r w:rsidR="009A7B85">
        <w:t>y</w:t>
      </w:r>
      <w:r w:rsidR="009A7B85" w:rsidRPr="00AE6425">
        <w:t xml:space="preserve"> </w:t>
      </w:r>
      <w:r w:rsidRPr="00AE6425">
        <w:t>formou institucionální podpory. Největší část z rozpo</w:t>
      </w:r>
      <w:r w:rsidR="006E39B0">
        <w:t>čtu MŠMT na VaV (8,9</w:t>
      </w:r>
      <w:r w:rsidR="00EE1B4A" w:rsidRPr="00AE6425">
        <w:t xml:space="preserve"> mld. Kč, </w:t>
      </w:r>
      <w:r w:rsidR="00AE6425" w:rsidRPr="00AE6425">
        <w:t>68</w:t>
      </w:r>
      <w:r w:rsidRPr="00AE6425">
        <w:t xml:space="preserve"> %) byla určena na financování VaV prováděného na veřejných vysokých školách. </w:t>
      </w:r>
    </w:p>
    <w:p w14:paraId="64896D50" w14:textId="59B9306D" w:rsidR="00857CF9" w:rsidRPr="001960C2" w:rsidRDefault="00857CF9" w:rsidP="00AA177A">
      <w:pPr>
        <w:spacing w:before="120" w:after="120"/>
        <w:jc w:val="both"/>
      </w:pPr>
      <w:r w:rsidRPr="001960C2">
        <w:t>M</w:t>
      </w:r>
      <w:r w:rsidR="001960C2">
        <w:t>ŠMT spolufina</w:t>
      </w:r>
      <w:r w:rsidR="00EE1B4A">
        <w:t>nc</w:t>
      </w:r>
      <w:r w:rsidR="000E2207">
        <w:t>uje</w:t>
      </w:r>
      <w:r w:rsidR="00417ECE">
        <w:t xml:space="preserve"> a předfina</w:t>
      </w:r>
      <w:r w:rsidR="00A95120">
        <w:t>n</w:t>
      </w:r>
      <w:r w:rsidR="00417ECE">
        <w:t>c</w:t>
      </w:r>
      <w:r w:rsidR="000E2207">
        <w:t>uje</w:t>
      </w:r>
      <w:r w:rsidR="00EE1B4A">
        <w:t xml:space="preserve"> </w:t>
      </w:r>
      <w:r w:rsidR="00417ECE" w:rsidRPr="00417ECE">
        <w:t>čerp</w:t>
      </w:r>
      <w:r w:rsidR="00417ECE">
        <w:t>ání</w:t>
      </w:r>
      <w:r w:rsidR="00417ECE" w:rsidRPr="00417ECE">
        <w:t xml:space="preserve"> finanční</w:t>
      </w:r>
      <w:r w:rsidR="00417ECE">
        <w:t>ch</w:t>
      </w:r>
      <w:r w:rsidR="00417ECE" w:rsidRPr="00417ECE">
        <w:t xml:space="preserve"> prostředk</w:t>
      </w:r>
      <w:r w:rsidR="00417ECE">
        <w:t>ů</w:t>
      </w:r>
      <w:r w:rsidR="00417ECE" w:rsidRPr="00417ECE">
        <w:t xml:space="preserve"> z evropských strukturálních a</w:t>
      </w:r>
      <w:r w:rsidR="00141C52">
        <w:t> </w:t>
      </w:r>
      <w:r w:rsidR="00417ECE" w:rsidRPr="00417ECE">
        <w:t>investičních fondů (ESIF)</w:t>
      </w:r>
      <w:r w:rsidR="00A95120">
        <w:t xml:space="preserve"> pro období 2014 až 2020</w:t>
      </w:r>
      <w:r w:rsidR="008E66FB">
        <w:t>. V roce 2017</w:t>
      </w:r>
      <w:r w:rsidR="00417ECE">
        <w:t xml:space="preserve"> se jednalo o</w:t>
      </w:r>
      <w:r w:rsidR="00417ECE" w:rsidRPr="00417ECE">
        <w:t xml:space="preserve"> Operační program výzkum, vývoj</w:t>
      </w:r>
      <w:r w:rsidR="000D59D3">
        <w:t xml:space="preserve"> a </w:t>
      </w:r>
      <w:r w:rsidR="00417ECE" w:rsidRPr="00417ECE">
        <w:t>vzdělávání</w:t>
      </w:r>
      <w:r w:rsidR="00417ECE">
        <w:t xml:space="preserve"> (OP VVV)</w:t>
      </w:r>
      <w:r w:rsidR="008C07F6">
        <w:rPr>
          <w:rStyle w:val="Znakapoznpodarou"/>
        </w:rPr>
        <w:footnoteReference w:id="12"/>
      </w:r>
      <w:r w:rsidR="00A95120">
        <w:t xml:space="preserve">, jehož cílem </w:t>
      </w:r>
      <w:r w:rsidR="00A95120" w:rsidRPr="00A95120">
        <w:t>je přispět k posunu ČR směrem k ekonomice založené na vzdělané, motivované a</w:t>
      </w:r>
      <w:r w:rsidR="00692925">
        <w:t> </w:t>
      </w:r>
      <w:r w:rsidR="00A95120" w:rsidRPr="00A95120">
        <w:t>kreativní pracovní síle, na produkci kvalitních výsledků výzkumu a jejich využití pro zvýšení konkurenceschopnosti ČR.</w:t>
      </w:r>
    </w:p>
    <w:p w14:paraId="0733779F" w14:textId="7276C3AB" w:rsidR="00C84D63" w:rsidRDefault="00857CF9" w:rsidP="00AA177A">
      <w:pPr>
        <w:spacing w:before="120" w:after="120"/>
        <w:jc w:val="both"/>
      </w:pPr>
      <w:r w:rsidRPr="00C84D63">
        <w:t>Druhým ne</w:t>
      </w:r>
      <w:r w:rsidR="004A1A0B">
        <w:t xml:space="preserve">jvýznamnějším poskytovatelem </w:t>
      </w:r>
      <w:r w:rsidR="000D59D3">
        <w:t xml:space="preserve">veřejné </w:t>
      </w:r>
      <w:r w:rsidR="004A1A0B">
        <w:t>podpory</w:t>
      </w:r>
      <w:r w:rsidRPr="00C84D63">
        <w:t xml:space="preserve"> VaV ve výši </w:t>
      </w:r>
      <w:r w:rsidR="000B43EA">
        <w:t>5,2</w:t>
      </w:r>
      <w:r w:rsidRPr="00C84D63">
        <w:t xml:space="preserve"> mld. Kč byla A</w:t>
      </w:r>
      <w:r w:rsidR="000D59D3">
        <w:t>V</w:t>
      </w:r>
      <w:r w:rsidRPr="00C84D63">
        <w:t xml:space="preserve"> ČR. </w:t>
      </w:r>
      <w:r w:rsidR="00AC1013">
        <w:t>C</w:t>
      </w:r>
      <w:r w:rsidR="00C84D63" w:rsidRPr="00C84D63">
        <w:t>elá tato částka byla formou institucionální podpory alokována výhradně v rámci ústavů AV</w:t>
      </w:r>
      <w:r w:rsidR="006704A4">
        <w:t xml:space="preserve"> ČR</w:t>
      </w:r>
      <w:r w:rsidR="000D59D3">
        <w:t>.</w:t>
      </w:r>
      <w:r w:rsidR="00066F49">
        <w:t xml:space="preserve"> Podíl na celkových státních rozpočtových výdajích</w:t>
      </w:r>
      <w:r w:rsidR="00E80995">
        <w:t xml:space="preserve"> na VaV</w:t>
      </w:r>
      <w:r w:rsidR="00066F49">
        <w:t xml:space="preserve"> činil 1</w:t>
      </w:r>
      <w:r w:rsidR="007E7B1C">
        <w:t>7</w:t>
      </w:r>
      <w:r w:rsidR="00141C52">
        <w:t>,1</w:t>
      </w:r>
      <w:r w:rsidR="00066F49">
        <w:t xml:space="preserve"> %.</w:t>
      </w:r>
      <w:r w:rsidR="00C84D63" w:rsidRPr="00C84D63">
        <w:t xml:space="preserve"> </w:t>
      </w:r>
    </w:p>
    <w:p w14:paraId="513D73A7" w14:textId="77777777" w:rsidR="00D73C93" w:rsidRPr="00C84D63" w:rsidRDefault="00D73C93" w:rsidP="00AA177A">
      <w:pPr>
        <w:spacing w:before="120" w:after="120"/>
        <w:jc w:val="both"/>
      </w:pPr>
    </w:p>
    <w:p w14:paraId="3BDB9A7A" w14:textId="2868E54C" w:rsidR="00C62004" w:rsidRPr="00D73C93" w:rsidRDefault="00C06616" w:rsidP="00D21B84">
      <w:pPr>
        <w:spacing w:after="120"/>
        <w:jc w:val="both"/>
        <w:rPr>
          <w:b/>
        </w:rPr>
      </w:pPr>
      <w:r w:rsidRPr="00D73C93">
        <w:rPr>
          <w:b/>
        </w:rPr>
        <w:lastRenderedPageBreak/>
        <w:t>GRAF 1-4</w:t>
      </w:r>
      <w:r w:rsidR="002A20BA" w:rsidRPr="00D73C93">
        <w:rPr>
          <w:b/>
        </w:rPr>
        <w:t xml:space="preserve">: </w:t>
      </w:r>
      <w:r w:rsidR="008B7497" w:rsidRPr="00D73C93">
        <w:rPr>
          <w:b/>
        </w:rPr>
        <w:t>Státní rozpočtové výdaje na VaV</w:t>
      </w:r>
      <w:r w:rsidR="000C0751" w:rsidRPr="00D73C93">
        <w:rPr>
          <w:b/>
        </w:rPr>
        <w:t xml:space="preserve"> </w:t>
      </w:r>
      <w:r w:rsidR="0085095D" w:rsidRPr="00D73C93">
        <w:rPr>
          <w:b/>
        </w:rPr>
        <w:t xml:space="preserve">v ČR </w:t>
      </w:r>
      <w:r w:rsidR="00141C52" w:rsidRPr="00D73C93">
        <w:rPr>
          <w:b/>
        </w:rPr>
        <w:t xml:space="preserve">podle </w:t>
      </w:r>
      <w:r w:rsidR="0085095D" w:rsidRPr="00D73C93">
        <w:rPr>
          <w:b/>
        </w:rPr>
        <w:t xml:space="preserve">hlavních </w:t>
      </w:r>
      <w:r w:rsidR="002A20BA" w:rsidRPr="00D73C93">
        <w:rPr>
          <w:b/>
        </w:rPr>
        <w:t>poskytovatelů</w:t>
      </w:r>
      <w:r w:rsidR="0085095D" w:rsidRPr="00D73C93">
        <w:rPr>
          <w:b/>
        </w:rPr>
        <w:t>*</w:t>
      </w:r>
      <w:r w:rsidR="000C0751" w:rsidRPr="00D73C93">
        <w:rPr>
          <w:b/>
        </w:rPr>
        <w:t xml:space="preserve"> </w:t>
      </w:r>
      <w:r w:rsidR="003A2000" w:rsidRPr="00D73C93">
        <w:rPr>
          <w:b/>
        </w:rPr>
        <w:t xml:space="preserve">a formy </w:t>
      </w:r>
      <w:r w:rsidR="002A20BA" w:rsidRPr="00D73C93">
        <w:rPr>
          <w:b/>
        </w:rPr>
        <w:t>podpory</w:t>
      </w:r>
      <w:r w:rsidR="00857CF9" w:rsidRPr="00D73C93">
        <w:rPr>
          <w:b/>
        </w:rPr>
        <w:t xml:space="preserve"> (m</w:t>
      </w:r>
      <w:r w:rsidR="00297EEE" w:rsidRPr="00D73C93">
        <w:rPr>
          <w:b/>
        </w:rPr>
        <w:t>ld.</w:t>
      </w:r>
      <w:r w:rsidR="00857CF9" w:rsidRPr="00D73C93">
        <w:rPr>
          <w:b/>
        </w:rPr>
        <w:t xml:space="preserve"> Kč</w:t>
      </w:r>
      <w:r w:rsidR="00015D19" w:rsidRPr="00D73C93">
        <w:rPr>
          <w:b/>
        </w:rPr>
        <w:t xml:space="preserve">; </w:t>
      </w:r>
      <w:r w:rsidR="00D73C93">
        <w:rPr>
          <w:b/>
        </w:rPr>
        <w:t xml:space="preserve">% </w:t>
      </w:r>
      <w:r w:rsidR="00D73C93" w:rsidRPr="00BD43E0">
        <w:rPr>
          <w:b/>
        </w:rPr>
        <w:t xml:space="preserve">podíl na </w:t>
      </w:r>
      <w:r w:rsidR="00D73C93">
        <w:rPr>
          <w:b/>
        </w:rPr>
        <w:t>GBARD</w:t>
      </w:r>
      <w:r w:rsidR="00D73C93" w:rsidRPr="00D73C93">
        <w:rPr>
          <w:b/>
        </w:rPr>
        <w:t xml:space="preserve"> </w:t>
      </w:r>
      <w:r w:rsidR="00015D19" w:rsidRPr="00D73C93">
        <w:rPr>
          <w:b/>
        </w:rPr>
        <w:t>%</w:t>
      </w:r>
      <w:r w:rsidR="00446A05" w:rsidRPr="00D73C93">
        <w:rPr>
          <w:b/>
        </w:rPr>
        <w:t>); 201</w:t>
      </w:r>
      <w:r w:rsidRPr="00D73C93">
        <w:rPr>
          <w:b/>
        </w:rPr>
        <w:t>7</w:t>
      </w:r>
    </w:p>
    <w:p w14:paraId="0CB42800" w14:textId="38247137" w:rsidR="00FA6478" w:rsidRDefault="000C0751" w:rsidP="00857CF9">
      <w:pPr>
        <w:jc w:val="both"/>
        <w:rPr>
          <w:b/>
        </w:rPr>
      </w:pPr>
      <w:r>
        <w:rPr>
          <w:noProof/>
        </w:rPr>
        <mc:AlternateContent>
          <mc:Choice Requires="wpg">
            <w:drawing>
              <wp:anchor distT="0" distB="0" distL="114300" distR="114300" simplePos="0" relativeHeight="251668480" behindDoc="0" locked="0" layoutInCell="1" allowOverlap="1" wp14:anchorId="69181F6C" wp14:editId="6C88C6A6">
                <wp:simplePos x="0" y="0"/>
                <wp:positionH relativeFrom="column">
                  <wp:posOffset>0</wp:posOffset>
                </wp:positionH>
                <wp:positionV relativeFrom="paragraph">
                  <wp:posOffset>-635</wp:posOffset>
                </wp:positionV>
                <wp:extent cx="6084000" cy="3600000"/>
                <wp:effectExtent l="0" t="0" r="0" b="635"/>
                <wp:wrapNone/>
                <wp:docPr id="25" name="Skupina 2"/>
                <wp:cNvGraphicFramePr/>
                <a:graphic xmlns:a="http://schemas.openxmlformats.org/drawingml/2006/main">
                  <a:graphicData uri="http://schemas.microsoft.com/office/word/2010/wordprocessingGroup">
                    <wpg:wgp>
                      <wpg:cNvGrpSpPr/>
                      <wpg:grpSpPr>
                        <a:xfrm>
                          <a:off x="0" y="0"/>
                          <a:ext cx="6084000" cy="3600000"/>
                          <a:chOff x="0" y="0"/>
                          <a:chExt cx="5716905" cy="3246120"/>
                        </a:xfrm>
                      </wpg:grpSpPr>
                      <wpg:graphicFrame>
                        <wpg:cNvPr id="26" name="Graf 26">
                          <a:extLst>
                            <a:ext uri="{FF2B5EF4-FFF2-40B4-BE49-F238E27FC236}">
                              <a16:creationId xmlns:a16="http://schemas.microsoft.com/office/drawing/2014/main" id="{66489F04-C80F-4B05-A263-68203EE3B127}"/>
                            </a:ext>
                          </a:extLst>
                        </wpg:cNvPr>
                        <wpg:cNvFrPr>
                          <a:graphicFrameLocks/>
                        </wpg:cNvFrPr>
                        <wpg:xfrm>
                          <a:off x="0" y="0"/>
                          <a:ext cx="5716905" cy="3246120"/>
                        </wpg:xfrm>
                        <a:graphic>
                          <a:graphicData uri="http://schemas.openxmlformats.org/drawingml/2006/chart">
                            <c:chart xmlns:c="http://schemas.openxmlformats.org/drawingml/2006/chart" xmlns:r="http://schemas.openxmlformats.org/officeDocument/2006/relationships" r:id="rId11"/>
                          </a:graphicData>
                        </a:graphic>
                      </wpg:graphicFrame>
                      <wpg:graphicFrame>
                        <wpg:cNvPr id="27" name="Graf 27">
                          <a:extLst>
                            <a:ext uri="{FF2B5EF4-FFF2-40B4-BE49-F238E27FC236}">
                              <a16:creationId xmlns:a16="http://schemas.microsoft.com/office/drawing/2014/main" id="{66489F04-C80F-4B05-A263-68203EE3B127}"/>
                            </a:ext>
                          </a:extLst>
                        </wpg:cNvPr>
                        <wpg:cNvFrPr>
                          <a:graphicFrameLocks/>
                        </wpg:cNvFrPr>
                        <wpg:xfrm>
                          <a:off x="2647950" y="1232535"/>
                          <a:ext cx="2809876" cy="1495425"/>
                        </wpg:xfrm>
                        <a:graphic>
                          <a:graphicData uri="http://schemas.openxmlformats.org/drawingml/2006/chart">
                            <c:chart xmlns:c="http://schemas.openxmlformats.org/drawingml/2006/chart" xmlns:r="http://schemas.openxmlformats.org/officeDocument/2006/relationships" r:id="rId12"/>
                          </a:graphicData>
                        </a:graphic>
                      </wpg:graphicFrame>
                    </wpg:wgp>
                  </a:graphicData>
                </a:graphic>
                <wp14:sizeRelV relativeFrom="margin">
                  <wp14:pctHeight>0</wp14:pctHeight>
                </wp14:sizeRelV>
              </wp:anchor>
            </w:drawing>
          </mc:Choice>
          <mc:Fallback>
            <w:pict>
              <v:group w14:anchorId="4CD58F5D" id="Skupina 2" o:spid="_x0000_s1026" style="position:absolute;margin-left:0;margin-top:-.05pt;width:479.05pt;height:283.45pt;z-index:251668480;mso-height-relative:margin" coordsize="57169,32461" o:gfxdata="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&#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 26" o:spid="_x0000_s1027" type="#_x0000_t75" style="position:absolute;width:57167;height:324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">
                  <v:imagedata r:id="rId13" o:title=""/>
                  <o:lock v:ext="edit" aspectratio="f"/>
                </v:shape>
                <v:shape id="Graf 27" o:spid="_x0000_s1028" type="#_x0000_t75" style="position:absolute;left:26464;top:12312;width:28125;height:149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">
                  <v:imagedata r:id="rId14" o:title=""/>
                  <o:lock v:ext="edit" aspectratio="f"/>
                </v:shape>
              </v:group>
            </w:pict>
          </mc:Fallback>
        </mc:AlternateContent>
      </w:r>
    </w:p>
    <w:p w14:paraId="2EDDE65E" w14:textId="1E8038A5" w:rsidR="00267F2F" w:rsidRDefault="00267F2F" w:rsidP="007C0251">
      <w:pPr>
        <w:spacing w:before="240" w:after="120"/>
        <w:jc w:val="both"/>
      </w:pPr>
    </w:p>
    <w:p w14:paraId="11DB5F1F" w14:textId="77777777" w:rsidR="00267F2F" w:rsidRDefault="00267F2F" w:rsidP="007C0251">
      <w:pPr>
        <w:spacing w:before="240" w:after="120"/>
        <w:jc w:val="both"/>
      </w:pPr>
    </w:p>
    <w:p w14:paraId="27DCD9DE" w14:textId="72BE9C53" w:rsidR="00267F2F" w:rsidRDefault="00267F2F" w:rsidP="007C0251">
      <w:pPr>
        <w:spacing w:before="240" w:after="120"/>
        <w:jc w:val="both"/>
      </w:pPr>
    </w:p>
    <w:p w14:paraId="5E9ED690" w14:textId="3EAA06CA" w:rsidR="00267F2F" w:rsidRDefault="00267F2F" w:rsidP="007C0251">
      <w:pPr>
        <w:spacing w:before="240" w:after="120"/>
        <w:jc w:val="both"/>
      </w:pPr>
    </w:p>
    <w:p w14:paraId="0E9A4601" w14:textId="0B5D481F" w:rsidR="00267F2F" w:rsidRDefault="00267F2F" w:rsidP="007C0251">
      <w:pPr>
        <w:spacing w:before="240" w:after="120"/>
        <w:jc w:val="both"/>
      </w:pPr>
    </w:p>
    <w:p w14:paraId="4F7C5939" w14:textId="77777777" w:rsidR="00267F2F" w:rsidRDefault="00267F2F" w:rsidP="007C0251">
      <w:pPr>
        <w:spacing w:before="240" w:after="120"/>
        <w:jc w:val="both"/>
      </w:pPr>
    </w:p>
    <w:p w14:paraId="7077B6C5" w14:textId="77777777" w:rsidR="00267F2F" w:rsidRDefault="00267F2F" w:rsidP="007C0251">
      <w:pPr>
        <w:spacing w:before="240" w:after="120"/>
        <w:jc w:val="both"/>
      </w:pPr>
    </w:p>
    <w:p w14:paraId="3BABA651" w14:textId="77777777" w:rsidR="00267F2F" w:rsidRDefault="00267F2F" w:rsidP="007C0251">
      <w:pPr>
        <w:spacing w:before="240" w:after="120"/>
        <w:jc w:val="both"/>
      </w:pPr>
    </w:p>
    <w:p w14:paraId="431849EB" w14:textId="3B0E7FA9" w:rsidR="00267F2F" w:rsidRDefault="00267F2F" w:rsidP="007C0251">
      <w:pPr>
        <w:spacing w:before="240" w:after="120"/>
        <w:jc w:val="both"/>
      </w:pPr>
    </w:p>
    <w:p w14:paraId="14D53026" w14:textId="77777777" w:rsidR="00D73C93" w:rsidRDefault="00D73C93" w:rsidP="00D73C93">
      <w:pPr>
        <w:spacing w:before="120" w:after="60"/>
        <w:jc w:val="both"/>
        <w:rPr>
          <w:i/>
          <w:sz w:val="18"/>
        </w:rPr>
      </w:pPr>
    </w:p>
    <w:p w14:paraId="52C25308" w14:textId="77777777" w:rsidR="00D73C93" w:rsidRDefault="00D73C93" w:rsidP="00D73C93">
      <w:pPr>
        <w:spacing w:after="60"/>
        <w:jc w:val="both"/>
        <w:rPr>
          <w:i/>
          <w:sz w:val="18"/>
        </w:rPr>
      </w:pPr>
    </w:p>
    <w:p w14:paraId="60DA6DB3" w14:textId="0A21EE5E" w:rsidR="0085095D" w:rsidRDefault="0085095D" w:rsidP="00D73C93">
      <w:pPr>
        <w:spacing w:after="60"/>
        <w:jc w:val="both"/>
        <w:rPr>
          <w:i/>
          <w:sz w:val="18"/>
        </w:rPr>
      </w:pPr>
      <w:r>
        <w:rPr>
          <w:i/>
          <w:sz w:val="18"/>
        </w:rPr>
        <w:t xml:space="preserve">* Nejsou zahrnuti následující poskytovatelé: </w:t>
      </w:r>
      <w:r w:rsidRPr="0085095D">
        <w:rPr>
          <w:i/>
          <w:sz w:val="18"/>
        </w:rPr>
        <w:t>Ministerstvo zahraničních věcí</w:t>
      </w:r>
      <w:r>
        <w:rPr>
          <w:i/>
          <w:sz w:val="18"/>
        </w:rPr>
        <w:t xml:space="preserve">, </w:t>
      </w:r>
      <w:r w:rsidRPr="0085095D">
        <w:rPr>
          <w:i/>
          <w:sz w:val="18"/>
        </w:rPr>
        <w:t>Ministerstvo práce a sociálních věcí</w:t>
      </w:r>
      <w:r>
        <w:rPr>
          <w:i/>
          <w:sz w:val="18"/>
        </w:rPr>
        <w:t xml:space="preserve">, </w:t>
      </w:r>
      <w:r w:rsidRPr="0085095D">
        <w:rPr>
          <w:i/>
          <w:sz w:val="18"/>
        </w:rPr>
        <w:t>Ministerstvo dopravy</w:t>
      </w:r>
      <w:r>
        <w:rPr>
          <w:i/>
          <w:sz w:val="18"/>
        </w:rPr>
        <w:t xml:space="preserve"> a </w:t>
      </w:r>
      <w:r w:rsidRPr="0085095D">
        <w:rPr>
          <w:i/>
          <w:sz w:val="18"/>
        </w:rPr>
        <w:t>Úřad vlády ČR</w:t>
      </w:r>
      <w:r>
        <w:rPr>
          <w:i/>
          <w:sz w:val="18"/>
        </w:rPr>
        <w:t xml:space="preserve"> s</w:t>
      </w:r>
      <w:r w:rsidR="00D73C93">
        <w:rPr>
          <w:i/>
          <w:sz w:val="18"/>
        </w:rPr>
        <w:t xml:space="preserve"> rozpočtovou kapitolou na VaV nižší než 100 mil. Kč v roce 2017 </w:t>
      </w:r>
    </w:p>
    <w:p w14:paraId="4FD2F669" w14:textId="77777777" w:rsidR="00D73C93" w:rsidRPr="008A1882" w:rsidRDefault="00D73C93" w:rsidP="00D73C93">
      <w:pPr>
        <w:spacing w:before="120" w:after="120"/>
        <w:jc w:val="both"/>
      </w:pPr>
      <w:r w:rsidRPr="008A1882">
        <w:t xml:space="preserve">V pořadí třetí nejvýznamnější rozpočtovou kapitolou, z níž byl </w:t>
      </w:r>
      <w:r>
        <w:t xml:space="preserve">v ČR </w:t>
      </w:r>
      <w:r w:rsidRPr="008A1882">
        <w:t>financován výzkum a vývoj</w:t>
      </w:r>
      <w:r>
        <w:t xml:space="preserve"> ze státního rozpočtu</w:t>
      </w:r>
      <w:r w:rsidRPr="008A1882">
        <w:t>, byla G</w:t>
      </w:r>
      <w:r>
        <w:t>A</w:t>
      </w:r>
      <w:r w:rsidRPr="008A1882">
        <w:t xml:space="preserve"> ČR, </w:t>
      </w:r>
      <w:r>
        <w:t>která v roce 2017</w:t>
      </w:r>
      <w:r w:rsidRPr="008A1882">
        <w:t xml:space="preserve"> poskytla účelovou podporu g</w:t>
      </w:r>
      <w:r>
        <w:t>rantovým projektům v hodnotě 4</w:t>
      </w:r>
      <w:r w:rsidRPr="008A1882">
        <w:t xml:space="preserve"> mld. Kč. Včetně nákladů na vl</w:t>
      </w:r>
      <w:r>
        <w:t>astní činnost vydala na VaV celkem 4,1</w:t>
      </w:r>
      <w:r w:rsidRPr="008A1882">
        <w:t xml:space="preserve"> mld. Kč.</w:t>
      </w:r>
      <w:r>
        <w:t xml:space="preserve"> </w:t>
      </w:r>
      <w:r w:rsidRPr="007C0251">
        <w:t>Tato částka představovala 1</w:t>
      </w:r>
      <w:r>
        <w:t>3,4</w:t>
      </w:r>
      <w:r w:rsidRPr="007C0251">
        <w:t>% podíl na celkových výdajích na VaV financovaných ze státního rozpočtu.</w:t>
      </w:r>
    </w:p>
    <w:p w14:paraId="766F424B" w14:textId="33DE1993" w:rsidR="007C0251" w:rsidRPr="00857CF9" w:rsidRDefault="007C0251" w:rsidP="007C0251">
      <w:pPr>
        <w:spacing w:before="240" w:after="120"/>
        <w:jc w:val="both"/>
      </w:pPr>
      <w:r w:rsidRPr="008A1882">
        <w:t>T</w:t>
      </w:r>
      <w:r w:rsidR="000D59D3">
        <w:t>A</w:t>
      </w:r>
      <w:r w:rsidR="007F0945">
        <w:t xml:space="preserve"> ČR se v posledních letech stala</w:t>
      </w:r>
      <w:r w:rsidRPr="008A1882">
        <w:t xml:space="preserve"> významným poskytovatelem státní </w:t>
      </w:r>
      <w:r>
        <w:t>rozpočtové podpory na VaV. V roce 201</w:t>
      </w:r>
      <w:r w:rsidR="007F0945">
        <w:t>7</w:t>
      </w:r>
      <w:r w:rsidRPr="008A1882">
        <w:t xml:space="preserve"> a</w:t>
      </w:r>
      <w:r>
        <w:t>gentura hospodařila s</w:t>
      </w:r>
      <w:r w:rsidR="007F0945">
        <w:t> 2,9</w:t>
      </w:r>
      <w:r w:rsidRPr="008A1882">
        <w:t xml:space="preserve"> mld. Kč (včetně nákladů na vlastní činnost). Na p</w:t>
      </w:r>
      <w:r>
        <w:t xml:space="preserve">rojekty VaV rozdělila </w:t>
      </w:r>
      <w:r w:rsidR="007F0945">
        <w:t>2,8</w:t>
      </w:r>
      <w:r w:rsidR="000D59D3">
        <w:t> </w:t>
      </w:r>
      <w:r w:rsidRPr="008A1882">
        <w:t xml:space="preserve">mld. Kč, přičemž </w:t>
      </w:r>
      <w:r>
        <w:t>dominantní</w:t>
      </w:r>
      <w:r w:rsidRPr="008A1882">
        <w:t xml:space="preserve"> část finančních prostředků směřovala na projekty aplikovaného výzkumu a také experimentálního vývoje</w:t>
      </w:r>
      <w:r>
        <w:t xml:space="preserve">. V rámci </w:t>
      </w:r>
      <w:r w:rsidR="000D59D3">
        <w:t xml:space="preserve">svého </w:t>
      </w:r>
      <w:r>
        <w:t>nejvýznamnějšího programu</w:t>
      </w:r>
      <w:r w:rsidR="007F0945">
        <w:t xml:space="preserve"> EPSILON</w:t>
      </w:r>
      <w:r>
        <w:t xml:space="preserve"> byly</w:t>
      </w:r>
      <w:r w:rsidRPr="008A1882">
        <w:t xml:space="preserve"> </w:t>
      </w:r>
      <w:r>
        <w:t>rozděleny</w:t>
      </w:r>
      <w:r w:rsidRPr="008A1882">
        <w:t xml:space="preserve"> </w:t>
      </w:r>
      <w:r>
        <w:t>veře</w:t>
      </w:r>
      <w:r w:rsidR="007F0945">
        <w:t>jné finanční prostředky ve výši 983 mil. Kč</w:t>
      </w:r>
      <w:r w:rsidRPr="008A1882">
        <w:t>.</w:t>
      </w:r>
    </w:p>
    <w:p w14:paraId="254F1D3A" w14:textId="3114EDC1" w:rsidR="00AC197B" w:rsidRPr="00DB6EE8" w:rsidRDefault="007C0251" w:rsidP="007C0251">
      <w:pPr>
        <w:spacing w:before="120" w:after="120"/>
        <w:jc w:val="both"/>
        <w:rPr>
          <w:color w:val="C00000"/>
        </w:rPr>
      </w:pPr>
      <w:r w:rsidRPr="00D73C93">
        <w:t xml:space="preserve">MPO, v pořadí </w:t>
      </w:r>
      <w:r w:rsidR="000D1A09" w:rsidRPr="00D73C93">
        <w:t>pátá</w:t>
      </w:r>
      <w:r w:rsidRPr="00D73C93">
        <w:t xml:space="preserve"> nejvýznamnější rozpočtová kapitola co do objemu rozdělovaných finančních prostředků na VaV, podpořilo celkovou částkou</w:t>
      </w:r>
      <w:r w:rsidR="00590782" w:rsidRPr="00D73C93">
        <w:t xml:space="preserve"> </w:t>
      </w:r>
      <w:r w:rsidR="000C0751" w:rsidRPr="00D73C93">
        <w:t>1,1 mld. Kč</w:t>
      </w:r>
      <w:r w:rsidRPr="00D73C93">
        <w:t xml:space="preserve"> převážně </w:t>
      </w:r>
      <w:r w:rsidR="00590782" w:rsidRPr="00D73C93">
        <w:t xml:space="preserve">národní </w:t>
      </w:r>
      <w:r w:rsidRPr="00D73C93">
        <w:t>podnikatelské subjekty z řad malých a</w:t>
      </w:r>
      <w:r w:rsidR="00D73C93">
        <w:t> </w:t>
      </w:r>
      <w:r w:rsidRPr="00D73C93">
        <w:t xml:space="preserve">středních podniků. </w:t>
      </w:r>
      <w:r w:rsidR="000D1A09" w:rsidRPr="00D73C93">
        <w:t xml:space="preserve">Se spuštěním nového programu TRIO lze </w:t>
      </w:r>
      <w:r w:rsidRPr="00D73C93">
        <w:t xml:space="preserve">očekávat postupný nárůst rozpočtových prostředků určených na podporu podnikového VaV v rámci této kapitoly. Z hlediska dalšího členění těchto výdajů se jednalo zejména o účelovou podporu, která institucionální převyšovala ve složení </w:t>
      </w:r>
      <w:r w:rsidR="000D1A09" w:rsidRPr="00D73C93">
        <w:t>78</w:t>
      </w:r>
      <w:r w:rsidRPr="00D73C93">
        <w:t xml:space="preserve"> % ku </w:t>
      </w:r>
      <w:r w:rsidR="000D1A09" w:rsidRPr="00D73C93">
        <w:t>22</w:t>
      </w:r>
      <w:r w:rsidRPr="00D73C93">
        <w:t> %.</w:t>
      </w:r>
      <w:r w:rsidRPr="00405CD5">
        <w:t xml:space="preserve"> </w:t>
      </w:r>
    </w:p>
    <w:p w14:paraId="6720F5C9" w14:textId="77777777" w:rsidR="00CC6043" w:rsidRPr="00376D7A" w:rsidRDefault="00CC6043" w:rsidP="00376D7A">
      <w:pPr>
        <w:pStyle w:val="Nadpis3"/>
        <w:spacing w:before="240"/>
      </w:pPr>
      <w:r w:rsidRPr="00376D7A">
        <w:t>Státní rozpočtové výdaje na VaV podle příjemců</w:t>
      </w:r>
    </w:p>
    <w:p w14:paraId="7682174D" w14:textId="6AA1D40E" w:rsidR="00BD43E0" w:rsidRPr="00BD43E0" w:rsidRDefault="00BD43E0" w:rsidP="00AA177A">
      <w:pPr>
        <w:spacing w:before="120" w:after="120"/>
        <w:jc w:val="both"/>
      </w:pPr>
      <w:r w:rsidRPr="00BD43E0">
        <w:t xml:space="preserve">Nejvýznamnějšími příjemci státní podpory výzkumu a vývoje </w:t>
      </w:r>
      <w:r w:rsidR="00E02A33">
        <w:t>jsou dlouhodobě</w:t>
      </w:r>
      <w:r w:rsidRPr="00BD43E0">
        <w:t xml:space="preserve"> veřejné </w:t>
      </w:r>
      <w:r w:rsidR="00107471">
        <w:t>vysoké školy. V roce 201</w:t>
      </w:r>
      <w:r w:rsidR="009B0C5E">
        <w:t>7</w:t>
      </w:r>
      <w:r w:rsidRPr="00BD43E0">
        <w:t xml:space="preserve"> se jim podařilo získat veřejnou podporu na provádění svých </w:t>
      </w:r>
      <w:r w:rsidR="000674DF">
        <w:t>VaV</w:t>
      </w:r>
      <w:r w:rsidRPr="00BD43E0">
        <w:t xml:space="preserve"> aktivit ve výši </w:t>
      </w:r>
      <w:r w:rsidR="009B0C5E">
        <w:t>13,2</w:t>
      </w:r>
      <w:r w:rsidR="00E02A33">
        <w:t> </w:t>
      </w:r>
      <w:r w:rsidRPr="00BD43E0">
        <w:t>mld. Kč</w:t>
      </w:r>
      <w:r w:rsidR="00D73C93">
        <w:t xml:space="preserve"> což představuje 43,1% podíl na GBARD</w:t>
      </w:r>
      <w:r w:rsidRPr="00BD43E0">
        <w:t>. Z této částky šl</w:t>
      </w:r>
      <w:r w:rsidR="00E02A33">
        <w:t xml:space="preserve">a více jak polovina </w:t>
      </w:r>
      <w:r w:rsidRPr="00BD43E0">
        <w:t xml:space="preserve">formou institucionální podpory </w:t>
      </w:r>
      <w:r w:rsidR="006F3D79">
        <w:t>(</w:t>
      </w:r>
      <w:r w:rsidR="009B0C5E">
        <w:t>7</w:t>
      </w:r>
      <w:r w:rsidR="00D73C93">
        <w:t>,1 </w:t>
      </w:r>
      <w:r w:rsidRPr="00BD43E0">
        <w:t>mld</w:t>
      </w:r>
      <w:r w:rsidR="001C2071">
        <w:t>. Kč</w:t>
      </w:r>
      <w:r w:rsidR="006F3D79">
        <w:t>)</w:t>
      </w:r>
      <w:r w:rsidRPr="00BD43E0">
        <w:t xml:space="preserve">, zejména pak prostřednictvím podpory rozvoje výzkumných organizací a specifického výzkumu na vysokých školách. </w:t>
      </w:r>
    </w:p>
    <w:p w14:paraId="77C4EBC4" w14:textId="348E643B" w:rsidR="00BD43E0" w:rsidRPr="00BD43E0" w:rsidRDefault="00BD43E0" w:rsidP="00AA177A">
      <w:pPr>
        <w:spacing w:before="120" w:after="120"/>
        <w:jc w:val="both"/>
      </w:pPr>
      <w:r w:rsidRPr="00BD43E0">
        <w:lastRenderedPageBreak/>
        <w:t>Další významnou skupinou příjemců byly veřejné výzkumné instituce</w:t>
      </w:r>
      <w:r w:rsidR="007C0837">
        <w:rPr>
          <w:rStyle w:val="Znakapoznpodarou"/>
        </w:rPr>
        <w:footnoteReference w:id="13"/>
      </w:r>
      <w:r w:rsidR="007225E2">
        <w:t>, které v roce 201</w:t>
      </w:r>
      <w:r w:rsidR="00412434">
        <w:t>7</w:t>
      </w:r>
      <w:r w:rsidRPr="00BD43E0">
        <w:t xml:space="preserve"> obdržely</w:t>
      </w:r>
      <w:r w:rsidR="00D73C93">
        <w:t xml:space="preserve"> 32,1 %</w:t>
      </w:r>
      <w:r w:rsidRPr="00BD43E0">
        <w:t xml:space="preserve"> </w:t>
      </w:r>
      <w:r w:rsidR="00D73C93">
        <w:t>(</w:t>
      </w:r>
      <w:r w:rsidR="00412434">
        <w:t>9,8</w:t>
      </w:r>
      <w:r w:rsidRPr="00BD43E0">
        <w:t xml:space="preserve"> mld. Kč</w:t>
      </w:r>
      <w:r w:rsidR="00D73C93">
        <w:t>) z celkových státních rozpočtových výdajů na VaV</w:t>
      </w:r>
      <w:r w:rsidRPr="00BD43E0">
        <w:t xml:space="preserve">. </w:t>
      </w:r>
      <w:r w:rsidR="00D73C93">
        <w:t xml:space="preserve">I v jejich </w:t>
      </w:r>
      <w:r w:rsidRPr="00BD43E0">
        <w:t>případě hraje inst</w:t>
      </w:r>
      <w:r w:rsidR="007225E2">
        <w:t xml:space="preserve">itucionální forma </w:t>
      </w:r>
      <w:r w:rsidR="00412434">
        <w:t>financování (5,7</w:t>
      </w:r>
      <w:r w:rsidRPr="00BD43E0">
        <w:t xml:space="preserve"> mld</w:t>
      </w:r>
      <w:r w:rsidR="00516A92">
        <w:t>. Kč, 5</w:t>
      </w:r>
      <w:r w:rsidR="00412434">
        <w:t>8</w:t>
      </w:r>
      <w:r w:rsidRPr="00BD43E0">
        <w:t xml:space="preserve"> %) </w:t>
      </w:r>
      <w:r w:rsidR="00D73C93">
        <w:t xml:space="preserve">významnou </w:t>
      </w:r>
      <w:r w:rsidRPr="00BD43E0">
        <w:t>roli</w:t>
      </w:r>
      <w:r w:rsidR="00D73C93">
        <w:t>.</w:t>
      </w:r>
    </w:p>
    <w:p w14:paraId="716C1E3F" w14:textId="068F2D45" w:rsidR="00E503FD" w:rsidRPr="00E503FD" w:rsidRDefault="009A7B85" w:rsidP="00AA177A">
      <w:pPr>
        <w:spacing w:before="120" w:after="120"/>
        <w:jc w:val="both"/>
      </w:pPr>
      <w:r w:rsidRPr="00E503FD">
        <w:t xml:space="preserve">Soukromým podnikům </w:t>
      </w:r>
      <w:r w:rsidR="00BD43E0" w:rsidRPr="00E503FD">
        <w:t xml:space="preserve">se podařilo na své </w:t>
      </w:r>
      <w:r w:rsidR="000674DF" w:rsidRPr="00E503FD">
        <w:t>VaV</w:t>
      </w:r>
      <w:r w:rsidR="00BD43E0" w:rsidRPr="00E503FD">
        <w:t xml:space="preserve"> aktivity</w:t>
      </w:r>
      <w:r w:rsidR="00A2466D" w:rsidRPr="00E503FD">
        <w:t xml:space="preserve"> získat státní podporu ve výši 3</w:t>
      </w:r>
      <w:r w:rsidR="00D73C93" w:rsidRPr="00E503FD">
        <w:t>,0</w:t>
      </w:r>
      <w:r w:rsidR="00BD43E0" w:rsidRPr="00E503FD">
        <w:t xml:space="preserve"> mld. Kč. V tomto případě zcela dominuje účelová</w:t>
      </w:r>
      <w:r w:rsidR="00A2466D" w:rsidRPr="00E503FD">
        <w:t xml:space="preserve"> podpora (</w:t>
      </w:r>
      <w:r w:rsidR="00177334" w:rsidRPr="00E503FD">
        <w:t>2,8</w:t>
      </w:r>
      <w:r w:rsidR="00BD43E0" w:rsidRPr="00E503FD">
        <w:t xml:space="preserve"> mld</w:t>
      </w:r>
      <w:r w:rsidR="00A2466D" w:rsidRPr="00E503FD">
        <w:t>. Kč, 9</w:t>
      </w:r>
      <w:r w:rsidR="00177334" w:rsidRPr="00E503FD">
        <w:t>2</w:t>
      </w:r>
      <w:r w:rsidR="00F53D1B" w:rsidRPr="00E503FD">
        <w:t xml:space="preserve"> %). </w:t>
      </w:r>
      <w:r w:rsidR="00BD43E0" w:rsidRPr="00E503FD">
        <w:t>Převážnou část</w:t>
      </w:r>
      <w:r w:rsidR="000674DF" w:rsidRPr="00E503FD">
        <w:t xml:space="preserve"> </w:t>
      </w:r>
      <w:r w:rsidR="00E503FD" w:rsidRPr="00E503FD">
        <w:t xml:space="preserve">z této účelové podpory </w:t>
      </w:r>
      <w:r w:rsidR="000674DF" w:rsidRPr="00E503FD">
        <w:t>(</w:t>
      </w:r>
      <w:r w:rsidR="00D73C93" w:rsidRPr="00E503FD">
        <w:t xml:space="preserve">77 %; </w:t>
      </w:r>
      <w:r w:rsidR="000674DF" w:rsidRPr="00E503FD">
        <w:t>2,2 mld. Kč)</w:t>
      </w:r>
      <w:r w:rsidR="00BD43E0" w:rsidRPr="00E503FD">
        <w:t xml:space="preserve"> obdržely soukromé </w:t>
      </w:r>
      <w:r w:rsidR="0040280F" w:rsidRPr="00E503FD">
        <w:t>národní</w:t>
      </w:r>
      <w:r w:rsidR="00BD43E0" w:rsidRPr="00E503FD">
        <w:t xml:space="preserve"> podniky</w:t>
      </w:r>
      <w:r w:rsidR="000674DF" w:rsidRPr="00E503FD">
        <w:t xml:space="preserve">. </w:t>
      </w:r>
      <w:r w:rsidR="00E503FD" w:rsidRPr="00E503FD">
        <w:t>Zbytek (0,6 mld. Kč) získaly s</w:t>
      </w:r>
      <w:r w:rsidR="00BD43E0" w:rsidRPr="00E503FD">
        <w:t xml:space="preserve">oukromé podniky </w:t>
      </w:r>
      <w:r w:rsidR="00E503FD" w:rsidRPr="00E503FD">
        <w:t>pod zahraniční kontrolou</w:t>
      </w:r>
      <w:r w:rsidR="00BD43E0" w:rsidRPr="00E503FD">
        <w:t xml:space="preserve">. </w:t>
      </w:r>
    </w:p>
    <w:p w14:paraId="5895B5B6" w14:textId="66F21DBF" w:rsidR="00F53D1B" w:rsidRDefault="00BD43E0" w:rsidP="00AA177A">
      <w:pPr>
        <w:spacing w:before="120" w:after="120"/>
        <w:jc w:val="both"/>
      </w:pPr>
      <w:r w:rsidRPr="00E503FD">
        <w:t>Veřejné podniky získaly na své výzkumné a vývojové činnosti státní podporu v objemu</w:t>
      </w:r>
      <w:r w:rsidR="004D6E66" w:rsidRPr="00E503FD">
        <w:t xml:space="preserve"> </w:t>
      </w:r>
      <w:r w:rsidR="00292B40" w:rsidRPr="00E503FD">
        <w:t>0,9</w:t>
      </w:r>
      <w:r w:rsidR="00C70C21" w:rsidRPr="00E503FD">
        <w:t> </w:t>
      </w:r>
      <w:r w:rsidR="00F53D1B" w:rsidRPr="00E503FD">
        <w:t>ml</w:t>
      </w:r>
      <w:r w:rsidR="00292B40" w:rsidRPr="00E503FD">
        <w:t>d</w:t>
      </w:r>
      <w:r w:rsidR="004D6E66" w:rsidRPr="00E503FD">
        <w:t>.</w:t>
      </w:r>
      <w:r w:rsidR="000674DF" w:rsidRPr="00E503FD">
        <w:t> </w:t>
      </w:r>
      <w:r w:rsidRPr="00E503FD">
        <w:t>Kč</w:t>
      </w:r>
      <w:r w:rsidR="000674DF" w:rsidRPr="00E503FD">
        <w:t>.</w:t>
      </w:r>
      <w:r w:rsidR="00327A2B">
        <w:t xml:space="preserve"> </w:t>
      </w:r>
    </w:p>
    <w:p w14:paraId="10ACB916" w14:textId="6CEE7980" w:rsidR="001223FC" w:rsidRDefault="00BD43E0" w:rsidP="00AA177A">
      <w:pPr>
        <w:spacing w:before="120" w:after="120"/>
        <w:jc w:val="both"/>
      </w:pPr>
      <w:r w:rsidRPr="00327A2B">
        <w:t>Lékařský výzkum prováděný na půdě fakultních ne</w:t>
      </w:r>
      <w:r w:rsidR="00F53D1B">
        <w:t>mocnic podpořil stát v roce 201</w:t>
      </w:r>
      <w:r w:rsidR="00E9540E">
        <w:t>7</w:t>
      </w:r>
      <w:r w:rsidR="00327A2B" w:rsidRPr="00327A2B">
        <w:t xml:space="preserve"> částkou</w:t>
      </w:r>
      <w:r w:rsidR="00F53D1B">
        <w:t xml:space="preserve"> </w:t>
      </w:r>
      <w:r w:rsidR="00D16EA7">
        <w:t xml:space="preserve">1,4 mld. </w:t>
      </w:r>
      <w:r w:rsidRPr="00327A2B">
        <w:t xml:space="preserve">Kč, </w:t>
      </w:r>
      <w:r w:rsidR="006C7A7F">
        <w:t>z toho 4</w:t>
      </w:r>
      <w:r w:rsidR="00E9540E">
        <w:t>2</w:t>
      </w:r>
      <w:r w:rsidR="006D2594">
        <w:t xml:space="preserve"> % bylo financováno formou </w:t>
      </w:r>
      <w:r w:rsidRPr="00327A2B">
        <w:t>institucionální podpor</w:t>
      </w:r>
      <w:r w:rsidR="006D2594">
        <w:t>y</w:t>
      </w:r>
      <w:r w:rsidRPr="00327A2B">
        <w:t>.</w:t>
      </w:r>
      <w:r w:rsidR="000674DF">
        <w:t xml:space="preserve"> </w:t>
      </w:r>
      <w:r w:rsidR="001223FC">
        <w:t xml:space="preserve">Ostatní vládní a veřejné organizace (resortní výzkumné organizace) získaly pro provádění výzkumných aktivit </w:t>
      </w:r>
      <w:r w:rsidR="00D16EA7">
        <w:t xml:space="preserve">1,2 mld. </w:t>
      </w:r>
      <w:r w:rsidR="001223FC">
        <w:t>Kč (4 % z celkové veřejné rozpočtové podpory VaV).</w:t>
      </w:r>
    </w:p>
    <w:p w14:paraId="4D454601" w14:textId="77777777" w:rsidR="00E3493C" w:rsidRPr="00BD43E0" w:rsidRDefault="00E3493C" w:rsidP="00AA177A">
      <w:pPr>
        <w:spacing w:before="120" w:after="120"/>
        <w:jc w:val="both"/>
      </w:pPr>
      <w:r>
        <w:t xml:space="preserve">Zahraniční subjekty </w:t>
      </w:r>
      <w:r w:rsidR="00B6116F">
        <w:t xml:space="preserve">obdržely na podporu mezinárodní spolupráce s českými subjekty částku 887 mil. Kč. Jednalo se dominantně o institucionální formu podpory (příspěvky a poplatky). </w:t>
      </w:r>
    </w:p>
    <w:p w14:paraId="759B6A01" w14:textId="5ECD8C2A" w:rsidR="00BD43E0" w:rsidRPr="00BD43E0" w:rsidRDefault="00BD43E0" w:rsidP="000925C7">
      <w:pPr>
        <w:spacing w:after="60"/>
        <w:jc w:val="both"/>
        <w:rPr>
          <w:b/>
        </w:rPr>
      </w:pPr>
      <w:r w:rsidRPr="00BD43E0">
        <w:rPr>
          <w:b/>
        </w:rPr>
        <w:t>GRAF 1-</w:t>
      </w:r>
      <w:r w:rsidR="00E9540E">
        <w:rPr>
          <w:b/>
        </w:rPr>
        <w:t>5</w:t>
      </w:r>
      <w:r w:rsidRPr="00BD43E0">
        <w:rPr>
          <w:b/>
        </w:rPr>
        <w:t xml:space="preserve">: </w:t>
      </w:r>
      <w:r w:rsidR="008B7497">
        <w:rPr>
          <w:b/>
        </w:rPr>
        <w:t>Státní</w:t>
      </w:r>
      <w:r w:rsidR="008B7497" w:rsidRPr="00142861">
        <w:rPr>
          <w:b/>
        </w:rPr>
        <w:t xml:space="preserve"> </w:t>
      </w:r>
      <w:r w:rsidR="008B7497">
        <w:rPr>
          <w:b/>
        </w:rPr>
        <w:t xml:space="preserve">rozpočtové výdaje na VaV </w:t>
      </w:r>
      <w:r w:rsidR="000674DF">
        <w:rPr>
          <w:b/>
        </w:rPr>
        <w:t xml:space="preserve">v ČR </w:t>
      </w:r>
      <w:r w:rsidR="00292B40">
        <w:rPr>
          <w:b/>
        </w:rPr>
        <w:t xml:space="preserve">u jednotlivých kategorií příjemců </w:t>
      </w:r>
      <w:r w:rsidRPr="00BD43E0">
        <w:rPr>
          <w:b/>
        </w:rPr>
        <w:t xml:space="preserve">podle </w:t>
      </w:r>
      <w:r w:rsidR="00CE5905">
        <w:rPr>
          <w:b/>
        </w:rPr>
        <w:t>formy podpory</w:t>
      </w:r>
      <w:r w:rsidR="000674DF">
        <w:rPr>
          <w:b/>
        </w:rPr>
        <w:t xml:space="preserve"> </w:t>
      </w:r>
      <w:r w:rsidR="006F3D79">
        <w:rPr>
          <w:b/>
        </w:rPr>
        <w:t>(mld</w:t>
      </w:r>
      <w:r w:rsidRPr="00BD43E0">
        <w:rPr>
          <w:b/>
        </w:rPr>
        <w:t>.</w:t>
      </w:r>
      <w:r w:rsidR="00063B70">
        <w:rPr>
          <w:b/>
        </w:rPr>
        <w:t> </w:t>
      </w:r>
      <w:r w:rsidRPr="00BD43E0">
        <w:rPr>
          <w:b/>
        </w:rPr>
        <w:t xml:space="preserve">Kč, </w:t>
      </w:r>
      <w:r w:rsidR="00292B40">
        <w:rPr>
          <w:b/>
        </w:rPr>
        <w:t xml:space="preserve">% </w:t>
      </w:r>
      <w:r w:rsidRPr="00BD43E0">
        <w:rPr>
          <w:b/>
        </w:rPr>
        <w:t xml:space="preserve">podíl na </w:t>
      </w:r>
      <w:r w:rsidR="000674DF">
        <w:rPr>
          <w:b/>
        </w:rPr>
        <w:t>GBARD</w:t>
      </w:r>
      <w:r w:rsidRPr="00BD43E0">
        <w:rPr>
          <w:b/>
        </w:rPr>
        <w:t xml:space="preserve">); </w:t>
      </w:r>
      <w:r w:rsidR="00526709" w:rsidRPr="00E152EC">
        <w:rPr>
          <w:b/>
        </w:rPr>
        <w:t>201</w:t>
      </w:r>
      <w:r w:rsidR="00E9540E">
        <w:rPr>
          <w:b/>
        </w:rPr>
        <w:t>7</w:t>
      </w:r>
    </w:p>
    <w:p w14:paraId="663E99CD" w14:textId="531A4C45" w:rsidR="00880A24" w:rsidRDefault="00B30CE9" w:rsidP="008C07F6">
      <w:pPr>
        <w:jc w:val="both"/>
      </w:pPr>
      <w:r>
        <w:rPr>
          <w:noProof/>
        </w:rPr>
        <w:drawing>
          <wp:anchor distT="0" distB="0" distL="114300" distR="114300" simplePos="0" relativeHeight="251662336" behindDoc="1" locked="0" layoutInCell="1" allowOverlap="1" wp14:anchorId="70AD7EEA" wp14:editId="37B277E3">
            <wp:simplePos x="0" y="0"/>
            <wp:positionH relativeFrom="column">
              <wp:posOffset>-4445</wp:posOffset>
            </wp:positionH>
            <wp:positionV relativeFrom="paragraph">
              <wp:posOffset>-4445</wp:posOffset>
            </wp:positionV>
            <wp:extent cx="6115685" cy="3872865"/>
            <wp:effectExtent l="0" t="0" r="0" b="0"/>
            <wp:wrapTight wrapText="bothSides">
              <wp:wrapPolygon edited="0">
                <wp:start x="11707" y="425"/>
                <wp:lineTo x="8881" y="637"/>
                <wp:lineTo x="8881" y="1062"/>
                <wp:lineTo x="10765" y="2337"/>
                <wp:lineTo x="1682" y="2975"/>
                <wp:lineTo x="1682" y="3612"/>
                <wp:lineTo x="10765" y="4037"/>
                <wp:lineTo x="1951" y="4994"/>
                <wp:lineTo x="1951" y="5631"/>
                <wp:lineTo x="10765" y="5737"/>
                <wp:lineTo x="3566" y="7012"/>
                <wp:lineTo x="3566" y="7437"/>
                <wp:lineTo x="2153" y="8500"/>
                <wp:lineTo x="1817" y="8925"/>
                <wp:lineTo x="1817" y="9775"/>
                <wp:lineTo x="7670" y="10837"/>
                <wp:lineTo x="1144" y="11156"/>
                <wp:lineTo x="1144" y="11687"/>
                <wp:lineTo x="10765" y="12537"/>
                <wp:lineTo x="3431" y="13175"/>
                <wp:lineTo x="3431" y="13706"/>
                <wp:lineTo x="10765" y="14237"/>
                <wp:lineTo x="3970" y="15193"/>
                <wp:lineTo x="3970" y="15831"/>
                <wp:lineTo x="10765" y="15937"/>
                <wp:lineTo x="7334" y="16787"/>
                <wp:lineTo x="5315" y="17318"/>
                <wp:lineTo x="2691" y="18062"/>
                <wp:lineTo x="2422" y="18168"/>
                <wp:lineTo x="2422" y="21462"/>
                <wp:lineTo x="21530" y="21462"/>
                <wp:lineTo x="21530" y="18062"/>
                <wp:lineTo x="7939" y="17637"/>
                <wp:lineTo x="10698" y="15937"/>
                <wp:lineTo x="10698" y="10837"/>
                <wp:lineTo x="7939" y="9137"/>
                <wp:lineTo x="9823" y="7437"/>
                <wp:lineTo x="10765" y="5737"/>
                <wp:lineTo x="15071" y="5631"/>
                <wp:lineTo x="15071" y="5100"/>
                <wp:lineTo x="10765" y="4037"/>
                <wp:lineTo x="17157" y="3612"/>
                <wp:lineTo x="17157" y="2975"/>
                <wp:lineTo x="10765" y="2337"/>
                <wp:lineTo x="13053" y="1169"/>
                <wp:lineTo x="13187" y="637"/>
                <wp:lineTo x="12044" y="425"/>
                <wp:lineTo x="11707" y="425"/>
              </wp:wrapPolygon>
            </wp:wrapTight>
            <wp:docPr id="5" name="Graf 5">
              <a:extLst xmlns:a="http://schemas.openxmlformats.org/drawingml/2006/main">
                <a:ext uri="{FF2B5EF4-FFF2-40B4-BE49-F238E27FC236}">
                  <a16:creationId xmlns:a16="http://schemas.microsoft.com/office/drawing/2014/main" id="{00000000-0008-0000-07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14:paraId="1A1565C8" w14:textId="2434F6D2" w:rsidR="00D16EA7" w:rsidRDefault="00D16EA7" w:rsidP="00451CBF">
      <w:pPr>
        <w:spacing w:before="120" w:after="120"/>
        <w:jc w:val="both"/>
      </w:pPr>
    </w:p>
    <w:p w14:paraId="41EE6B4B" w14:textId="77777777" w:rsidR="00D16EA7" w:rsidRDefault="00D16EA7" w:rsidP="00451CBF">
      <w:pPr>
        <w:spacing w:before="120" w:after="120"/>
        <w:jc w:val="both"/>
      </w:pPr>
    </w:p>
    <w:p w14:paraId="7B8DE0D6" w14:textId="4DA448EF" w:rsidR="00D16EA7" w:rsidRDefault="00D16EA7" w:rsidP="00451CBF">
      <w:pPr>
        <w:spacing w:before="120" w:after="120"/>
        <w:jc w:val="both"/>
      </w:pPr>
    </w:p>
    <w:p w14:paraId="0CF77E63" w14:textId="1232EAF7" w:rsidR="00D16EA7" w:rsidRDefault="00D16EA7" w:rsidP="00451CBF">
      <w:pPr>
        <w:spacing w:before="120" w:after="120"/>
        <w:jc w:val="both"/>
      </w:pPr>
    </w:p>
    <w:p w14:paraId="0DB84D32" w14:textId="466CB17D" w:rsidR="00D16EA7" w:rsidRDefault="00D16EA7" w:rsidP="00451CBF">
      <w:pPr>
        <w:spacing w:before="120" w:after="120"/>
        <w:jc w:val="both"/>
      </w:pPr>
      <w:r>
        <w:rPr>
          <w:noProof/>
        </w:rPr>
        <w:drawing>
          <wp:anchor distT="0" distB="0" distL="114300" distR="114300" simplePos="0" relativeHeight="251663360" behindDoc="1" locked="0" layoutInCell="1" allowOverlap="1" wp14:anchorId="5883EB5B" wp14:editId="54AE1D33">
            <wp:simplePos x="0" y="0"/>
            <wp:positionH relativeFrom="column">
              <wp:posOffset>2842260</wp:posOffset>
            </wp:positionH>
            <wp:positionV relativeFrom="paragraph">
              <wp:posOffset>195580</wp:posOffset>
            </wp:positionV>
            <wp:extent cx="2872105" cy="1871345"/>
            <wp:effectExtent l="0" t="0" r="0" b="0"/>
            <wp:wrapThrough wrapText="bothSides">
              <wp:wrapPolygon edited="0">
                <wp:start x="287" y="1979"/>
                <wp:lineTo x="287" y="2639"/>
                <wp:lineTo x="1433" y="5937"/>
                <wp:lineTo x="1433" y="7036"/>
                <wp:lineTo x="8023" y="9455"/>
                <wp:lineTo x="430" y="9895"/>
                <wp:lineTo x="430" y="10994"/>
                <wp:lineTo x="10745" y="12973"/>
                <wp:lineTo x="1576" y="13413"/>
                <wp:lineTo x="1576" y="14512"/>
                <wp:lineTo x="10745" y="16491"/>
                <wp:lineTo x="4585" y="16931"/>
                <wp:lineTo x="4585" y="17811"/>
                <wp:lineTo x="10745" y="20010"/>
                <wp:lineTo x="9742" y="20010"/>
                <wp:lineTo x="9599" y="20889"/>
                <wp:lineTo x="10029" y="21329"/>
                <wp:lineTo x="20631" y="21329"/>
                <wp:lineTo x="21204" y="20229"/>
                <wp:lineTo x="20057" y="20010"/>
                <wp:lineTo x="10745" y="20010"/>
                <wp:lineTo x="11461" y="18470"/>
                <wp:lineTo x="11461" y="17151"/>
                <wp:lineTo x="10745" y="16491"/>
                <wp:lineTo x="14040" y="14293"/>
                <wp:lineTo x="14040" y="13413"/>
                <wp:lineTo x="10745" y="12973"/>
                <wp:lineTo x="13754" y="10774"/>
                <wp:lineTo x="13754" y="10115"/>
                <wp:lineTo x="10745" y="9455"/>
                <wp:lineTo x="16762" y="7696"/>
                <wp:lineTo x="16762" y="6377"/>
                <wp:lineTo x="9885" y="5937"/>
                <wp:lineTo x="17335" y="3958"/>
                <wp:lineTo x="17335" y="2859"/>
                <wp:lineTo x="8596" y="1979"/>
                <wp:lineTo x="287" y="1979"/>
              </wp:wrapPolygon>
            </wp:wrapThrough>
            <wp:docPr id="19" name="Graf 19">
              <a:extLst xmlns:a="http://schemas.openxmlformats.org/drawingml/2006/main">
                <a:ext uri="{FF2B5EF4-FFF2-40B4-BE49-F238E27FC236}">
                  <a16:creationId xmlns:a16="http://schemas.microsoft.com/office/drawing/2014/main" id="{00000000-0008-0000-07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14:paraId="7276379A" w14:textId="77777777" w:rsidR="00D16EA7" w:rsidRDefault="00D16EA7" w:rsidP="00451CBF">
      <w:pPr>
        <w:spacing w:before="120" w:after="120"/>
        <w:jc w:val="both"/>
      </w:pPr>
    </w:p>
    <w:p w14:paraId="3C3FF0E1" w14:textId="77777777" w:rsidR="00D16EA7" w:rsidRDefault="00D16EA7" w:rsidP="00451CBF">
      <w:pPr>
        <w:spacing w:before="120" w:after="120"/>
        <w:jc w:val="both"/>
      </w:pPr>
    </w:p>
    <w:p w14:paraId="7C08AACC" w14:textId="77777777" w:rsidR="00D16EA7" w:rsidRDefault="00D16EA7" w:rsidP="00451CBF">
      <w:pPr>
        <w:spacing w:before="120" w:after="120"/>
        <w:jc w:val="both"/>
      </w:pPr>
    </w:p>
    <w:p w14:paraId="738D43C0" w14:textId="77777777" w:rsidR="00D16EA7" w:rsidRDefault="00D16EA7" w:rsidP="00451CBF">
      <w:pPr>
        <w:spacing w:before="120" w:after="120"/>
        <w:jc w:val="both"/>
      </w:pPr>
    </w:p>
    <w:p w14:paraId="0D6D0F52" w14:textId="77777777" w:rsidR="00D16EA7" w:rsidRDefault="00D16EA7" w:rsidP="00451CBF">
      <w:pPr>
        <w:spacing w:before="120" w:after="120"/>
        <w:jc w:val="both"/>
      </w:pPr>
    </w:p>
    <w:p w14:paraId="2BF165ED" w14:textId="77777777" w:rsidR="00D16EA7" w:rsidRDefault="00D16EA7" w:rsidP="00451CBF">
      <w:pPr>
        <w:spacing w:before="120" w:after="120"/>
        <w:jc w:val="both"/>
      </w:pPr>
    </w:p>
    <w:p w14:paraId="66E00438" w14:textId="77777777" w:rsidR="00D16EA7" w:rsidRDefault="00D16EA7" w:rsidP="00451CBF">
      <w:pPr>
        <w:spacing w:before="120" w:after="120"/>
        <w:jc w:val="both"/>
      </w:pPr>
    </w:p>
    <w:p w14:paraId="3B0ED15B" w14:textId="77777777" w:rsidR="00D16EA7" w:rsidRDefault="00D16EA7" w:rsidP="00451CBF">
      <w:pPr>
        <w:spacing w:before="120" w:after="120"/>
        <w:jc w:val="both"/>
      </w:pPr>
    </w:p>
    <w:p w14:paraId="428250F2" w14:textId="77777777" w:rsidR="00D16EA7" w:rsidRDefault="00D16EA7" w:rsidP="00451CBF">
      <w:pPr>
        <w:spacing w:before="120" w:after="120"/>
        <w:jc w:val="both"/>
      </w:pPr>
    </w:p>
    <w:p w14:paraId="0A9F4DFA" w14:textId="654C0A9A" w:rsidR="00E6225C" w:rsidRDefault="0027307F" w:rsidP="00451CBF">
      <w:pPr>
        <w:spacing w:before="120" w:after="120"/>
        <w:jc w:val="both"/>
      </w:pPr>
      <w:r>
        <w:t xml:space="preserve">Dlouhodobě se mezi nejčastější příjemce veřejné podpory VaV řadí soukromé domácí podniky. </w:t>
      </w:r>
      <w:r w:rsidR="00D73DB5" w:rsidRPr="00647A9C">
        <w:t xml:space="preserve">Přímou </w:t>
      </w:r>
      <w:r w:rsidR="001F50E8" w:rsidRPr="00647A9C">
        <w:t>veřejnou podporu VaV v roce</w:t>
      </w:r>
      <w:r w:rsidR="00703FAA" w:rsidRPr="00647A9C">
        <w:t xml:space="preserve"> 201</w:t>
      </w:r>
      <w:r w:rsidR="00AC28A9">
        <w:t>7</w:t>
      </w:r>
      <w:r w:rsidR="0070199D" w:rsidRPr="00647A9C">
        <w:t xml:space="preserve"> získalo</w:t>
      </w:r>
      <w:r w:rsidR="00647A9C" w:rsidRPr="00647A9C">
        <w:t xml:space="preserve"> </w:t>
      </w:r>
      <w:r w:rsidR="00C270F1" w:rsidRPr="00C270F1">
        <w:t>9</w:t>
      </w:r>
      <w:r w:rsidR="00AC28A9">
        <w:t>84</w:t>
      </w:r>
      <w:r w:rsidR="00D73DB5" w:rsidRPr="00647A9C">
        <w:t xml:space="preserve"> podniků, z nich bylo</w:t>
      </w:r>
      <w:r w:rsidR="00647A9C" w:rsidRPr="00647A9C">
        <w:t xml:space="preserve"> </w:t>
      </w:r>
      <w:r w:rsidR="00576906">
        <w:t>7</w:t>
      </w:r>
      <w:r w:rsidR="00AC28A9">
        <w:t>87</w:t>
      </w:r>
      <w:r w:rsidR="00151F64">
        <w:t xml:space="preserve"> </w:t>
      </w:r>
      <w:r w:rsidR="00647A9C" w:rsidRPr="00647A9C">
        <w:t>s</w:t>
      </w:r>
      <w:r w:rsidR="00151F64">
        <w:t xml:space="preserve">oukromých </w:t>
      </w:r>
      <w:r w:rsidR="00236D1F">
        <w:t>národních</w:t>
      </w:r>
      <w:r w:rsidR="00151F64">
        <w:t xml:space="preserve"> podniků </w:t>
      </w:r>
      <w:r w:rsidR="00D73DB5" w:rsidRPr="00647A9C">
        <w:t xml:space="preserve">a </w:t>
      </w:r>
      <w:r w:rsidR="00576906" w:rsidRPr="00576906">
        <w:t>16</w:t>
      </w:r>
      <w:r w:rsidR="00AC28A9">
        <w:t>5</w:t>
      </w:r>
      <w:r w:rsidR="00151F64">
        <w:t xml:space="preserve"> </w:t>
      </w:r>
      <w:r w:rsidR="00D73DB5" w:rsidRPr="00647A9C">
        <w:t>soukrom</w:t>
      </w:r>
      <w:r w:rsidR="00151F64">
        <w:t xml:space="preserve">ých </w:t>
      </w:r>
      <w:r w:rsidR="000674DF">
        <w:t xml:space="preserve">podniků pod </w:t>
      </w:r>
      <w:r w:rsidR="00151F64">
        <w:t>zahraniční</w:t>
      </w:r>
      <w:r w:rsidR="000674DF">
        <w:t xml:space="preserve"> kontrolou</w:t>
      </w:r>
      <w:r w:rsidR="00451CBF" w:rsidRPr="00647A9C">
        <w:t xml:space="preserve">, zbytek </w:t>
      </w:r>
      <w:r w:rsidR="00151F64">
        <w:t xml:space="preserve">pak </w:t>
      </w:r>
      <w:r w:rsidR="000674DF">
        <w:t xml:space="preserve">tvořily </w:t>
      </w:r>
      <w:r w:rsidR="00151F64">
        <w:t>veřejné podniky</w:t>
      </w:r>
      <w:r w:rsidR="00D73DB5" w:rsidRPr="00647A9C">
        <w:t>. Podporu instituci</w:t>
      </w:r>
      <w:r w:rsidR="007866DC" w:rsidRPr="00647A9C">
        <w:t>onální nebo účelovou obdrželo 28</w:t>
      </w:r>
      <w:r w:rsidR="00D73DB5" w:rsidRPr="00647A9C">
        <w:t xml:space="preserve"> veřejných a státních vysokých škol</w:t>
      </w:r>
      <w:r w:rsidR="00647A9C" w:rsidRPr="00647A9C">
        <w:t xml:space="preserve"> a 74</w:t>
      </w:r>
      <w:r w:rsidR="00D73DB5" w:rsidRPr="00647A9C">
        <w:t xml:space="preserve"> veřejných výzkumných </w:t>
      </w:r>
      <w:r w:rsidR="0034579B">
        <w:t>institucí</w:t>
      </w:r>
      <w:r w:rsidR="00647A9C" w:rsidRPr="00647A9C">
        <w:t>. Všechny fakultní nemocnice (10</w:t>
      </w:r>
      <w:r w:rsidR="00D73DB5" w:rsidRPr="00647A9C">
        <w:t>) obdržely na své výzkumné činnosti veřejnou podporu</w:t>
      </w:r>
      <w:r w:rsidR="009A13D3" w:rsidRPr="00647A9C">
        <w:t xml:space="preserve">, </w:t>
      </w:r>
      <w:r w:rsidR="005F4810">
        <w:t xml:space="preserve">jak </w:t>
      </w:r>
      <w:r w:rsidR="00462172" w:rsidRPr="00647A9C">
        <w:t>institucionální,</w:t>
      </w:r>
      <w:r w:rsidR="009A13D3" w:rsidRPr="00647A9C">
        <w:t xml:space="preserve"> </w:t>
      </w:r>
      <w:r w:rsidR="005F4810">
        <w:t>tak účelovou</w:t>
      </w:r>
      <w:r w:rsidR="00D73DB5" w:rsidRPr="00647A9C">
        <w:t>.</w:t>
      </w:r>
      <w:r w:rsidR="005F4810">
        <w:t xml:space="preserve"> Celkem </w:t>
      </w:r>
      <w:r w:rsidR="00576906" w:rsidRPr="00576906">
        <w:t>2</w:t>
      </w:r>
      <w:r w:rsidR="004310C7">
        <w:t>1</w:t>
      </w:r>
      <w:r w:rsidR="005F4810" w:rsidRPr="00462172">
        <w:rPr>
          <w:color w:val="C00000"/>
        </w:rPr>
        <w:t xml:space="preserve"> </w:t>
      </w:r>
      <w:r w:rsidR="005F4810">
        <w:t xml:space="preserve">zahraničních subjektů obdrželo účelovou formu podpory. </w:t>
      </w:r>
      <w:r w:rsidR="00D73DB5" w:rsidRPr="00647A9C">
        <w:t xml:space="preserve"> </w:t>
      </w:r>
    </w:p>
    <w:p w14:paraId="1C7F3701" w14:textId="77777777" w:rsidR="0032208D" w:rsidRPr="00376D7A" w:rsidRDefault="00AD4691" w:rsidP="00376D7A">
      <w:pPr>
        <w:pStyle w:val="Nadpis3"/>
        <w:spacing w:before="240"/>
      </w:pPr>
      <w:r>
        <w:lastRenderedPageBreak/>
        <w:t>Státní rozpočtové výdaje na VaV</w:t>
      </w:r>
      <w:r w:rsidRPr="006E3865">
        <w:t xml:space="preserve"> </w:t>
      </w:r>
      <w:r w:rsidR="0032208D" w:rsidRPr="0032208D">
        <w:t>podle krajů</w:t>
      </w:r>
    </w:p>
    <w:p w14:paraId="576DEA44" w14:textId="77777777" w:rsidR="00153228" w:rsidRDefault="0032208D" w:rsidP="004868AB">
      <w:pPr>
        <w:spacing w:before="120" w:after="120"/>
        <w:jc w:val="both"/>
      </w:pPr>
      <w:r>
        <w:t xml:space="preserve">Z krajského pohledu </w:t>
      </w:r>
      <w:r w:rsidR="00644F5A">
        <w:t>patří mezi</w:t>
      </w:r>
      <w:r>
        <w:t xml:space="preserve"> nejdůležitější destinace statní podpory výzkumu a vývoje kraje s vysokou koncentrací vysokých škol a v</w:t>
      </w:r>
      <w:r w:rsidR="00562E49">
        <w:t xml:space="preserve">eřejných výzkumných institucí. </w:t>
      </w:r>
    </w:p>
    <w:p w14:paraId="2EC128CB" w14:textId="63AC472D" w:rsidR="00F62595" w:rsidRDefault="0032208D" w:rsidP="004868AB">
      <w:pPr>
        <w:spacing w:before="120" w:after="120"/>
        <w:jc w:val="both"/>
      </w:pPr>
      <w:r>
        <w:t xml:space="preserve">Pomyslnou roli krajského centra českého výzkumu (měřeno alokací finančních prostředků státní podpory VaV) hraje hlavní město Praha, kde subjekty provádějící </w:t>
      </w:r>
      <w:r w:rsidR="00292B40">
        <w:t xml:space="preserve">VaV </w:t>
      </w:r>
      <w:r w:rsidR="00562E49">
        <w:t xml:space="preserve">získaly </w:t>
      </w:r>
      <w:r w:rsidR="006959FA">
        <w:t>v roce 201</w:t>
      </w:r>
      <w:r w:rsidR="004B2A2D">
        <w:t>7</w:t>
      </w:r>
      <w:r w:rsidR="006959FA">
        <w:t xml:space="preserve"> </w:t>
      </w:r>
      <w:r w:rsidR="004B2A2D">
        <w:t>rovných 16</w:t>
      </w:r>
      <w:r w:rsidR="00B404F3">
        <w:t>,0</w:t>
      </w:r>
      <w:r w:rsidR="00587951">
        <w:t> </w:t>
      </w:r>
      <w:r>
        <w:t>mld.</w:t>
      </w:r>
      <w:r w:rsidR="00893F91">
        <w:t xml:space="preserve"> Kč. </w:t>
      </w:r>
      <w:r w:rsidR="00B404F3">
        <w:t>Tato č</w:t>
      </w:r>
      <w:r w:rsidR="00893F91">
        <w:t xml:space="preserve">ástka odpovídá </w:t>
      </w:r>
      <w:r w:rsidR="00B404F3">
        <w:t xml:space="preserve">52,3% </w:t>
      </w:r>
      <w:r w:rsidR="00893F91">
        <w:t xml:space="preserve">podílu </w:t>
      </w:r>
      <w:r w:rsidR="00562E49">
        <w:t>celkových státních rozpočtových výdajů na VaV</w:t>
      </w:r>
      <w:r>
        <w:t>. Z hlediska složení zde převažov</w:t>
      </w:r>
      <w:r w:rsidR="00562E49">
        <w:t>ala institucionální podpora (</w:t>
      </w:r>
      <w:r w:rsidR="00CB3FD4">
        <w:t>8,</w:t>
      </w:r>
      <w:r w:rsidR="00807EA1">
        <w:t>8</w:t>
      </w:r>
      <w:r w:rsidR="00893F91">
        <w:t xml:space="preserve"> mld. Kč; 5</w:t>
      </w:r>
      <w:r w:rsidR="00807EA1">
        <w:t>5</w:t>
      </w:r>
      <w:r>
        <w:t xml:space="preserve"> %) nad účelovou </w:t>
      </w:r>
      <w:r w:rsidR="00893F91">
        <w:t>(</w:t>
      </w:r>
      <w:r w:rsidR="00807EA1">
        <w:t>7,2</w:t>
      </w:r>
      <w:r w:rsidR="00893F91">
        <w:t xml:space="preserve"> mld. Kč; 4</w:t>
      </w:r>
      <w:r w:rsidR="00807EA1">
        <w:t>5</w:t>
      </w:r>
      <w:r w:rsidR="00587951">
        <w:t> </w:t>
      </w:r>
      <w:r>
        <w:t>%)</w:t>
      </w:r>
      <w:r w:rsidR="004D68B3">
        <w:t xml:space="preserve">, což je dáno </w:t>
      </w:r>
      <w:r w:rsidR="00D23EF7">
        <w:t xml:space="preserve">koncentrací </w:t>
      </w:r>
      <w:r w:rsidR="004D68B3">
        <w:t>vysokých škol (získaly 5,</w:t>
      </w:r>
      <w:r w:rsidR="000418DD">
        <w:t>8</w:t>
      </w:r>
      <w:r w:rsidR="004D68B3">
        <w:t xml:space="preserve"> mld. Kč) a ústav</w:t>
      </w:r>
      <w:r w:rsidR="00D23EF7">
        <w:t>ů</w:t>
      </w:r>
      <w:r w:rsidR="004D68B3">
        <w:t xml:space="preserve"> Akademie věd ČR (</w:t>
      </w:r>
      <w:r w:rsidR="002D5837">
        <w:t>5,2</w:t>
      </w:r>
      <w:r w:rsidR="004D68B3">
        <w:t xml:space="preserve"> mld. Kč)</w:t>
      </w:r>
      <w:r>
        <w:t xml:space="preserve">. </w:t>
      </w:r>
    </w:p>
    <w:p w14:paraId="4346B16A" w14:textId="453D1626" w:rsidR="00325833" w:rsidRPr="00026961" w:rsidRDefault="00325833" w:rsidP="00325833">
      <w:pPr>
        <w:spacing w:before="120" w:after="120"/>
        <w:jc w:val="both"/>
      </w:pPr>
      <w:r w:rsidRPr="00026961">
        <w:t xml:space="preserve">Subjekty provádějící VaV v Jihomoravském kraji obdržely ze státního rozpočtu celkem </w:t>
      </w:r>
      <w:r>
        <w:t>5,5</w:t>
      </w:r>
      <w:r w:rsidRPr="00026961">
        <w:t xml:space="preserve"> mld.</w:t>
      </w:r>
      <w:r w:rsidR="00083CFA">
        <w:t> </w:t>
      </w:r>
      <w:r w:rsidRPr="00026961">
        <w:t>Kč</w:t>
      </w:r>
      <w:r>
        <w:t xml:space="preserve"> (18</w:t>
      </w:r>
      <w:r w:rsidR="00292B40">
        <w:t>,0 </w:t>
      </w:r>
      <w:r>
        <w:t>%</w:t>
      </w:r>
      <w:r w:rsidR="00B404F3">
        <w:t> </w:t>
      </w:r>
      <w:r w:rsidR="00292B40">
        <w:t>GBARD)</w:t>
      </w:r>
      <w:r w:rsidRPr="00026961">
        <w:t xml:space="preserve">. V porovnání s Prahu se jedná o třetinu objemu získaných prostředků. </w:t>
      </w:r>
    </w:p>
    <w:p w14:paraId="0A10F5CB" w14:textId="2D6555BD" w:rsidR="00203D12" w:rsidRDefault="00203D12" w:rsidP="002D362F">
      <w:pPr>
        <w:spacing w:before="120" w:after="120"/>
        <w:jc w:val="both"/>
        <w:rPr>
          <w:b/>
        </w:rPr>
      </w:pPr>
      <w:r w:rsidRPr="00BF1D6C">
        <w:rPr>
          <w:b/>
        </w:rPr>
        <w:t>GRAF 1</w:t>
      </w:r>
      <w:r w:rsidR="00065DD1">
        <w:rPr>
          <w:b/>
        </w:rPr>
        <w:t>-</w:t>
      </w:r>
      <w:r w:rsidR="002D5837" w:rsidRPr="00BF1D6C">
        <w:rPr>
          <w:b/>
        </w:rPr>
        <w:t>6</w:t>
      </w:r>
      <w:r w:rsidRPr="00BF1D6C">
        <w:rPr>
          <w:b/>
        </w:rPr>
        <w:t xml:space="preserve">: </w:t>
      </w:r>
      <w:r w:rsidR="008B7497" w:rsidRPr="00BF1D6C">
        <w:rPr>
          <w:b/>
        </w:rPr>
        <w:t xml:space="preserve">Státní rozpočtové výdaje na VaV </w:t>
      </w:r>
      <w:r w:rsidRPr="00BF1D6C">
        <w:rPr>
          <w:b/>
        </w:rPr>
        <w:t>podle krajů (m</w:t>
      </w:r>
      <w:r w:rsidR="00315720">
        <w:rPr>
          <w:b/>
        </w:rPr>
        <w:t>ld</w:t>
      </w:r>
      <w:r w:rsidRPr="00BF1D6C">
        <w:rPr>
          <w:b/>
        </w:rPr>
        <w:t>.</w:t>
      </w:r>
      <w:r w:rsidR="00292B40">
        <w:rPr>
          <w:b/>
        </w:rPr>
        <w:t>/</w:t>
      </w:r>
      <w:r w:rsidR="00315720">
        <w:rPr>
          <w:b/>
        </w:rPr>
        <w:t>mil. Kč</w:t>
      </w:r>
      <w:r w:rsidR="00292B40">
        <w:rPr>
          <w:b/>
        </w:rPr>
        <w:t>; % podíl na GBARD</w:t>
      </w:r>
      <w:r w:rsidR="005D2342" w:rsidRPr="00BF1D6C">
        <w:rPr>
          <w:b/>
        </w:rPr>
        <w:t>); 201</w:t>
      </w:r>
      <w:r w:rsidR="002D5837" w:rsidRPr="00BF1D6C">
        <w:rPr>
          <w:b/>
        </w:rPr>
        <w:t>7</w:t>
      </w:r>
    </w:p>
    <w:p w14:paraId="19B8A34B" w14:textId="5E309D56" w:rsidR="000925C7" w:rsidRDefault="00B404F3" w:rsidP="000925C7">
      <w:pPr>
        <w:spacing w:before="120" w:after="120"/>
        <w:jc w:val="both"/>
      </w:pPr>
      <w:r>
        <w:rPr>
          <w:noProof/>
        </w:rPr>
        <mc:AlternateContent>
          <mc:Choice Requires="wpg">
            <w:drawing>
              <wp:anchor distT="0" distB="0" distL="114300" distR="114300" simplePos="0" relativeHeight="251670528" behindDoc="1" locked="0" layoutInCell="1" allowOverlap="1" wp14:anchorId="16022CA5" wp14:editId="2131303B">
                <wp:simplePos x="0" y="0"/>
                <wp:positionH relativeFrom="column">
                  <wp:posOffset>3479</wp:posOffset>
                </wp:positionH>
                <wp:positionV relativeFrom="paragraph">
                  <wp:posOffset>-2623</wp:posOffset>
                </wp:positionV>
                <wp:extent cx="6048000" cy="3600000"/>
                <wp:effectExtent l="0" t="0" r="0" b="635"/>
                <wp:wrapTight wrapText="bothSides">
                  <wp:wrapPolygon edited="0">
                    <wp:start x="0" y="0"/>
                    <wp:lineTo x="0" y="21490"/>
                    <wp:lineTo x="21500" y="21490"/>
                    <wp:lineTo x="21500" y="0"/>
                    <wp:lineTo x="0" y="0"/>
                  </wp:wrapPolygon>
                </wp:wrapTight>
                <wp:docPr id="15" name="Skupina 5">
                  <a:extLst xmlns:a="http://schemas.openxmlformats.org/drawingml/2006/main">
                    <a:ext uri="{FF2B5EF4-FFF2-40B4-BE49-F238E27FC236}">
                      <a16:creationId xmlns:a16="http://schemas.microsoft.com/office/drawing/2014/main" id="{FE6E86EF-1E90-44E2-8DF8-FDB912C32CAB}"/>
                    </a:ext>
                  </a:extLst>
                </wp:docPr>
                <wp:cNvGraphicFramePr/>
                <a:graphic xmlns:a="http://schemas.openxmlformats.org/drawingml/2006/main">
                  <a:graphicData uri="http://schemas.microsoft.com/office/word/2010/wordprocessingGroup">
                    <wpg:wgp>
                      <wpg:cNvGrpSpPr/>
                      <wpg:grpSpPr>
                        <a:xfrm>
                          <a:off x="0" y="0"/>
                          <a:ext cx="6048000" cy="3600000"/>
                          <a:chOff x="0" y="0"/>
                          <a:chExt cx="6120000" cy="4212000"/>
                        </a:xfrm>
                      </wpg:grpSpPr>
                      <wpg:graphicFrame>
                        <wpg:cNvPr id="18" name="Graf 18">
                          <a:extLst>
                            <a:ext uri="{FF2B5EF4-FFF2-40B4-BE49-F238E27FC236}">
                              <a16:creationId xmlns:a16="http://schemas.microsoft.com/office/drawing/2014/main" id="{0B55A1D9-F192-4645-8539-E0D4A98FFF41}"/>
                            </a:ext>
                          </a:extLst>
                        </wpg:cNvPr>
                        <wpg:cNvFrPr>
                          <a:graphicFrameLocks/>
                        </wpg:cNvFrPr>
                        <wpg:xfrm>
                          <a:off x="0" y="0"/>
                          <a:ext cx="6120000" cy="4212000"/>
                        </wpg:xfrm>
                        <a:graphic>
                          <a:graphicData uri="http://schemas.openxmlformats.org/drawingml/2006/chart">
                            <c:chart xmlns:c="http://schemas.openxmlformats.org/drawingml/2006/chart" xmlns:r="http://schemas.openxmlformats.org/officeDocument/2006/relationships" r:id="rId17"/>
                          </a:graphicData>
                        </a:graphic>
                      </wpg:graphicFrame>
                      <wpg:graphicFrame>
                        <wpg:cNvPr id="20" name="Graf 20">
                          <a:extLst>
                            <a:ext uri="{FF2B5EF4-FFF2-40B4-BE49-F238E27FC236}">
                              <a16:creationId xmlns:a16="http://schemas.microsoft.com/office/drawing/2014/main" id="{0AD47D56-010E-4186-8F8D-54D7C8871A42}"/>
                            </a:ext>
                          </a:extLst>
                        </wpg:cNvPr>
                        <wpg:cNvFrPr>
                          <a:graphicFrameLocks/>
                        </wpg:cNvFrPr>
                        <wpg:xfrm>
                          <a:off x="1998331" y="1175140"/>
                          <a:ext cx="3852173" cy="2402163"/>
                        </wpg:xfrm>
                        <a:graphic>
                          <a:graphicData uri="http://schemas.openxmlformats.org/drawingml/2006/chart">
                            <c:chart xmlns:c="http://schemas.openxmlformats.org/drawingml/2006/chart" xmlns:r="http://schemas.openxmlformats.org/officeDocument/2006/relationships" r:id="rId18"/>
                          </a:graphicData>
                        </a:graphic>
                      </wpg:graphicFrame>
                    </wpg:wgp>
                  </a:graphicData>
                </a:graphic>
              </wp:anchor>
            </w:drawing>
          </mc:Choice>
          <mc:Fallback>
            <w:pict>
              <v:group w14:anchorId="70758311" id="Skupina 5" o:spid="_x0000_s1026" style="position:absolute;margin-left:.25pt;margin-top:-.2pt;width:476.2pt;height:283.45pt;z-index:-251645952" coordsize="61200,42120" o:gfxdata="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">
                <v:shape id="Graf 18" o:spid="_x0000_s1027" type="#_x0000_t75" style="position:absolute;width:61192;height:421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">
                  <v:imagedata r:id="rId19" o:title=""/>
                  <o:lock v:ext="edit" aspectratio="f"/>
                </v:shape>
                <v:shape id="Graf 20" o:spid="_x0000_s1028" type="#_x0000_t75" style="position:absolute;left:19986;top:11768;width:38492;height:240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">
                  <v:imagedata r:id="rId20" o:title=""/>
                  <o:lock v:ext="edit" aspectratio="f"/>
                </v:shape>
                <w10:wrap type="tight"/>
              </v:group>
            </w:pict>
          </mc:Fallback>
        </mc:AlternateContent>
      </w:r>
      <w:r w:rsidR="000925C7" w:rsidRPr="00026961">
        <w:t xml:space="preserve">Zajímavá je třetí pozice Středočeského kraje s alokovanou částkou </w:t>
      </w:r>
      <w:r w:rsidR="00D51081">
        <w:t>rovných 2</w:t>
      </w:r>
      <w:r w:rsidR="00083CFA">
        <w:t>,0</w:t>
      </w:r>
      <w:r w:rsidR="000925C7" w:rsidRPr="00026961">
        <w:t xml:space="preserve"> mld. Kč. V tomto kraji sice nepůsobí žádná veřejná vysoká škola, ale adresně zde provádí výzkum a vývoj několik veřejných výzkumných institucí</w:t>
      </w:r>
      <w:r w:rsidR="009F1D4A">
        <w:t xml:space="preserve"> a center výzkumu a vývoje postavených </w:t>
      </w:r>
      <w:r w:rsidR="009F1D4A" w:rsidRPr="009F1D4A">
        <w:t>z evropských strukturálních a investičních fondů (ESIF)</w:t>
      </w:r>
      <w:r w:rsidR="000925C7" w:rsidRPr="00026961">
        <w:t xml:space="preserve">, do nichž směřovala polovina (konkrétně </w:t>
      </w:r>
      <w:r w:rsidR="00B14B39">
        <w:t>1</w:t>
      </w:r>
      <w:r w:rsidR="00B14B39" w:rsidRPr="00026961">
        <w:t xml:space="preserve"> </w:t>
      </w:r>
      <w:r w:rsidR="000925C7" w:rsidRPr="00026961">
        <w:t>m</w:t>
      </w:r>
      <w:r w:rsidR="007025AB">
        <w:t>ld</w:t>
      </w:r>
      <w:r w:rsidR="000925C7" w:rsidRPr="00026961">
        <w:t xml:space="preserve">. Kč) </w:t>
      </w:r>
      <w:r w:rsidR="005877D7">
        <w:t>státních rozpočtových výdajů na VaV</w:t>
      </w:r>
      <w:r w:rsidR="000925C7" w:rsidRPr="00026961">
        <w:t xml:space="preserve"> v</w:t>
      </w:r>
      <w:r w:rsidR="00083CFA">
        <w:t> </w:t>
      </w:r>
      <w:r w:rsidR="000925C7" w:rsidRPr="00026961">
        <w:t xml:space="preserve">tomto kraji. </w:t>
      </w:r>
    </w:p>
    <w:p w14:paraId="5B5D2D6A" w14:textId="77777777" w:rsidR="00772A22" w:rsidRPr="00026961" w:rsidRDefault="00772A22" w:rsidP="000925C7">
      <w:pPr>
        <w:spacing w:before="120" w:after="120"/>
        <w:jc w:val="both"/>
      </w:pPr>
      <w:r>
        <w:t xml:space="preserve">Pouze ve dvou dalších krajích (Moravskoslezský a Olomoucký) převýšila státní </w:t>
      </w:r>
      <w:r w:rsidR="00172573">
        <w:t>rozpočtová</w:t>
      </w:r>
      <w:r>
        <w:t xml:space="preserve"> podpora VaV hranici jedné miliardy Kč. </w:t>
      </w:r>
    </w:p>
    <w:p w14:paraId="20A42C0D" w14:textId="77777777" w:rsidR="000925C7" w:rsidRDefault="000925C7" w:rsidP="000925C7">
      <w:pPr>
        <w:spacing w:before="120" w:after="120"/>
        <w:jc w:val="both"/>
      </w:pPr>
      <w:r>
        <w:t xml:space="preserve">Vůbec nejméně obdržely subjekty provádějící VaV v Karlovarském kraji (pouze </w:t>
      </w:r>
      <w:r w:rsidR="009F1D4A">
        <w:t>2,</w:t>
      </w:r>
      <w:r w:rsidR="002D6DDD">
        <w:t>9</w:t>
      </w:r>
      <w:r>
        <w:t xml:space="preserve"> mil. Kč), což je dáno především okolností, že zde nepůsobí žádná veřejná vysoká škola ani veřejná výzkumná instituce. </w:t>
      </w:r>
    </w:p>
    <w:p w14:paraId="553AC1D1" w14:textId="77777777" w:rsidR="000925C7" w:rsidRPr="000925C7" w:rsidRDefault="000925C7" w:rsidP="000925C7">
      <w:pPr>
        <w:spacing w:before="120" w:after="120"/>
        <w:jc w:val="both"/>
      </w:pPr>
      <w:r>
        <w:t>V položce „Neurčeno“</w:t>
      </w:r>
      <w:r>
        <w:rPr>
          <w:rStyle w:val="Znakapoznpodarou"/>
        </w:rPr>
        <w:footnoteReference w:id="14"/>
      </w:r>
      <w:r w:rsidR="00DD0A96">
        <w:t xml:space="preserve"> (919 mil. Kč)</w:t>
      </w:r>
      <w:r>
        <w:t xml:space="preserve"> jsou uvedeny částky, jimž nebylo možné přiřadit konkrétní subjekt dle klasifikace krajů (NUTS3) z důvodu, že příjemce byl ze zahraničí nebo jím byla soukromá fyzická osoba.</w:t>
      </w:r>
    </w:p>
    <w:p w14:paraId="55BD1BC7" w14:textId="77777777" w:rsidR="00B940FD" w:rsidRPr="00376D7A" w:rsidRDefault="00AD4691" w:rsidP="00376D7A">
      <w:pPr>
        <w:pStyle w:val="Nadpis3"/>
        <w:spacing w:before="240"/>
      </w:pPr>
      <w:r>
        <w:lastRenderedPageBreak/>
        <w:t>Státní rozpočtové výdaje na VaV</w:t>
      </w:r>
      <w:r w:rsidR="00B940FD" w:rsidRPr="00B940FD">
        <w:t xml:space="preserve"> podle socioekonomických cílů NABS 1992</w:t>
      </w:r>
    </w:p>
    <w:p w14:paraId="52DF742A" w14:textId="03693610" w:rsidR="00B940FD" w:rsidRPr="00083CFA" w:rsidRDefault="00B940FD" w:rsidP="00B940FD">
      <w:pPr>
        <w:spacing w:before="120" w:after="120"/>
        <w:jc w:val="both"/>
      </w:pPr>
      <w:r w:rsidRPr="00083CFA">
        <w:t xml:space="preserve">Jak bylo již uvedeno, celková částka státem rozpočtovaných výdajů na výzkum a </w:t>
      </w:r>
      <w:r w:rsidR="00811C55" w:rsidRPr="00083CFA">
        <w:t xml:space="preserve">vývoj </w:t>
      </w:r>
      <w:r w:rsidR="002D6DDD" w:rsidRPr="00083CFA">
        <w:t>dosáhla</w:t>
      </w:r>
      <w:r w:rsidR="00811C55" w:rsidRPr="00083CFA">
        <w:t xml:space="preserve"> v roce 201</w:t>
      </w:r>
      <w:r w:rsidR="002D6DDD" w:rsidRPr="00083CFA">
        <w:t>7</w:t>
      </w:r>
      <w:r w:rsidRPr="00083CFA">
        <w:t xml:space="preserve"> </w:t>
      </w:r>
      <w:r w:rsidR="002D6DDD" w:rsidRPr="00083CFA">
        <w:t>výše 30</w:t>
      </w:r>
      <w:r w:rsidR="00083CFA">
        <w:t>,7</w:t>
      </w:r>
      <w:r w:rsidR="00D430E6" w:rsidRPr="00083CFA">
        <w:t xml:space="preserve"> </w:t>
      </w:r>
      <w:r w:rsidRPr="00083CFA">
        <w:t>ml</w:t>
      </w:r>
      <w:r w:rsidR="00083CFA">
        <w:t>d</w:t>
      </w:r>
      <w:r w:rsidRPr="00083CFA">
        <w:t xml:space="preserve">. Kč. V této </w:t>
      </w:r>
      <w:r w:rsidR="0074024F" w:rsidRPr="00083CFA">
        <w:t>části</w:t>
      </w:r>
      <w:r w:rsidRPr="00083CFA">
        <w:t xml:space="preserve"> bude popsáno směřování těchto prostředků z hlediska socioekonomických cílů rozlišených dle klasifikace NABS</w:t>
      </w:r>
      <w:r w:rsidRPr="00083CFA">
        <w:rPr>
          <w:rStyle w:val="Znakapoznpodarou"/>
        </w:rPr>
        <w:footnoteReference w:id="15"/>
      </w:r>
      <w:r w:rsidRPr="00083CFA">
        <w:t xml:space="preserve"> </w:t>
      </w:r>
      <w:r w:rsidR="00083CFA" w:rsidRPr="00083CFA">
        <w:t xml:space="preserve">z roku </w:t>
      </w:r>
      <w:r w:rsidRPr="00083CFA">
        <w:t>1992</w:t>
      </w:r>
      <w:r w:rsidR="0000087C" w:rsidRPr="00083CFA">
        <w:t>. G</w:t>
      </w:r>
      <w:r w:rsidR="00D62325" w:rsidRPr="00083CFA">
        <w:t>rafické znázornění (Graf 1-</w:t>
      </w:r>
      <w:r w:rsidR="002D6DDD" w:rsidRPr="00083CFA">
        <w:t>7</w:t>
      </w:r>
      <w:r w:rsidRPr="00083CFA">
        <w:t>), které následuje, poskytuje přehled základních 13 cílů této klasifikace. Graf zahrnuje také informaci o vývoji alokovaných pros</w:t>
      </w:r>
      <w:r w:rsidR="00247178" w:rsidRPr="00083CFA">
        <w:t>tředků v</w:t>
      </w:r>
      <w:r w:rsidR="00B14B39" w:rsidRPr="00083CFA">
        <w:t> </w:t>
      </w:r>
      <w:r w:rsidR="00247178" w:rsidRPr="00083CFA">
        <w:t xml:space="preserve">letech </w:t>
      </w:r>
      <w:r w:rsidR="00E92A8E" w:rsidRPr="00083CFA">
        <w:t xml:space="preserve">2010, </w:t>
      </w:r>
      <w:r w:rsidR="0097180D" w:rsidRPr="00083CFA">
        <w:t>201</w:t>
      </w:r>
      <w:r w:rsidR="00E92A8E" w:rsidRPr="00083CFA">
        <w:t>5</w:t>
      </w:r>
      <w:r w:rsidRPr="00083CFA">
        <w:t xml:space="preserve"> a </w:t>
      </w:r>
      <w:r w:rsidR="00811C55" w:rsidRPr="00083CFA">
        <w:t>201</w:t>
      </w:r>
      <w:r w:rsidR="00E92A8E" w:rsidRPr="00083CFA">
        <w:t>7</w:t>
      </w:r>
      <w:r w:rsidRPr="00083CFA">
        <w:t xml:space="preserve">. </w:t>
      </w:r>
    </w:p>
    <w:p w14:paraId="5DFDDCBC" w14:textId="60D4123E" w:rsidR="00B940FD" w:rsidRPr="00CB6838" w:rsidRDefault="00B351AF" w:rsidP="00B940FD">
      <w:pPr>
        <w:spacing w:before="120"/>
        <w:jc w:val="both"/>
        <w:rPr>
          <w:b/>
        </w:rPr>
      </w:pPr>
      <w:r w:rsidRPr="00174007">
        <w:rPr>
          <w:b/>
        </w:rPr>
        <w:t>GRAF 1-</w:t>
      </w:r>
      <w:r w:rsidR="00FC3531" w:rsidRPr="00174007">
        <w:rPr>
          <w:b/>
        </w:rPr>
        <w:t>7</w:t>
      </w:r>
      <w:r w:rsidR="00B940FD" w:rsidRPr="00174007">
        <w:rPr>
          <w:b/>
        </w:rPr>
        <w:t xml:space="preserve">: </w:t>
      </w:r>
      <w:r w:rsidR="00857C86" w:rsidRPr="00BF1D6C">
        <w:rPr>
          <w:b/>
        </w:rPr>
        <w:t>Státní rozpočtové výdaje na VaV</w:t>
      </w:r>
      <w:r w:rsidR="00B940FD" w:rsidRPr="00174007">
        <w:rPr>
          <w:b/>
        </w:rPr>
        <w:t xml:space="preserve"> </w:t>
      </w:r>
      <w:r w:rsidR="000674DF">
        <w:rPr>
          <w:b/>
        </w:rPr>
        <w:t xml:space="preserve">v ČR </w:t>
      </w:r>
      <w:r w:rsidR="00B940FD" w:rsidRPr="00174007">
        <w:rPr>
          <w:b/>
        </w:rPr>
        <w:t xml:space="preserve">podle hlavních socioekonomických cílů </w:t>
      </w:r>
      <w:r w:rsidR="00083CFA">
        <w:rPr>
          <w:b/>
        </w:rPr>
        <w:t xml:space="preserve">klasifikace NABS 1992 </w:t>
      </w:r>
      <w:r w:rsidR="00B940FD" w:rsidRPr="00174007">
        <w:rPr>
          <w:b/>
        </w:rPr>
        <w:t xml:space="preserve">v letech </w:t>
      </w:r>
      <w:r w:rsidR="00446A05" w:rsidRPr="00174007">
        <w:rPr>
          <w:b/>
        </w:rPr>
        <w:t>201</w:t>
      </w:r>
      <w:r w:rsidR="00FC3531" w:rsidRPr="00174007">
        <w:rPr>
          <w:b/>
        </w:rPr>
        <w:t>0, 2015</w:t>
      </w:r>
      <w:r w:rsidR="000D48A0" w:rsidRPr="00174007">
        <w:rPr>
          <w:b/>
        </w:rPr>
        <w:t xml:space="preserve"> a 201</w:t>
      </w:r>
      <w:r w:rsidR="00FC3531" w:rsidRPr="00174007">
        <w:rPr>
          <w:b/>
        </w:rPr>
        <w:t>7</w:t>
      </w:r>
      <w:r w:rsidR="00B940FD" w:rsidRPr="00174007">
        <w:rPr>
          <w:b/>
        </w:rPr>
        <w:t xml:space="preserve"> (mil. Kč; </w:t>
      </w:r>
      <w:r w:rsidR="00083CFA">
        <w:rPr>
          <w:b/>
        </w:rPr>
        <w:t xml:space="preserve">% podíl na GBARD </w:t>
      </w:r>
      <w:r w:rsidR="00446A05" w:rsidRPr="00174007">
        <w:rPr>
          <w:b/>
        </w:rPr>
        <w:t>v roce 201</w:t>
      </w:r>
      <w:r w:rsidR="00751513" w:rsidRPr="00174007">
        <w:rPr>
          <w:b/>
        </w:rPr>
        <w:t>7</w:t>
      </w:r>
      <w:r w:rsidR="00B940FD" w:rsidRPr="00174007">
        <w:rPr>
          <w:b/>
        </w:rPr>
        <w:t>)</w:t>
      </w:r>
    </w:p>
    <w:p w14:paraId="6F0A1068" w14:textId="77777777" w:rsidR="00B940FD" w:rsidRDefault="009D35E6" w:rsidP="00B940FD">
      <w:pPr>
        <w:spacing w:before="120"/>
        <w:jc w:val="both"/>
      </w:pPr>
      <w:r>
        <w:rPr>
          <w:noProof/>
        </w:rPr>
        <w:drawing>
          <wp:inline distT="0" distB="0" distL="0" distR="0" wp14:anchorId="50FC2BE7" wp14:editId="6CB85B1B">
            <wp:extent cx="6120130" cy="4680000"/>
            <wp:effectExtent l="0" t="0" r="0" b="6350"/>
            <wp:docPr id="6" name="Graf 6">
              <a:extLst xmlns:a="http://schemas.openxmlformats.org/drawingml/2006/main">
                <a:ext uri="{FF2B5EF4-FFF2-40B4-BE49-F238E27FC236}">
                  <a16:creationId xmlns:a16="http://schemas.microsoft.com/office/drawing/2014/main" id="{00000000-0008-0000-09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6A94FAE" w14:textId="77777777" w:rsidR="000536D9" w:rsidRPr="00083CFA" w:rsidRDefault="000536D9" w:rsidP="000536D9">
      <w:pPr>
        <w:spacing w:before="120" w:after="240"/>
        <w:jc w:val="both"/>
      </w:pPr>
      <w:r w:rsidRPr="00083CFA">
        <w:t>Drtivá většina těchto prostředků směřovala v roce 2017 do civilního výzkumu a vývoje (98,8 %). Na obranný (vojenský) výzkum a vývoj, který je financován výhradně z rozpočtové kapitoly Ministerstva obrany, stát vyčlenil pouze 1,2 % výdajů.</w:t>
      </w:r>
    </w:p>
    <w:p w14:paraId="70244623" w14:textId="17A3EDFC" w:rsidR="000925C7" w:rsidRDefault="003962DF" w:rsidP="000674DF">
      <w:pPr>
        <w:spacing w:before="240"/>
        <w:jc w:val="both"/>
      </w:pPr>
      <w:r w:rsidRPr="000536D9">
        <w:t>Více než</w:t>
      </w:r>
      <w:r w:rsidR="000925C7" w:rsidRPr="000536D9">
        <w:t xml:space="preserve"> třetina finančních prostředků vyčleněných ze státního rozpočtu na podporu výzkumu a vývoje byla určena </w:t>
      </w:r>
      <w:r w:rsidR="000925C7" w:rsidRPr="000536D9">
        <w:rPr>
          <w:b/>
        </w:rPr>
        <w:t>neorientovanému výzkumu (SEO 11).</w:t>
      </w:r>
      <w:r w:rsidR="000925C7" w:rsidRPr="000536D9">
        <w:t xml:space="preserve"> Částka </w:t>
      </w:r>
      <w:r w:rsidR="00B512AC" w:rsidRPr="000536D9">
        <w:t xml:space="preserve">11 130 </w:t>
      </w:r>
      <w:r w:rsidR="000925C7" w:rsidRPr="000536D9">
        <w:t>mil. Kč, která byla za tímto účelem rozdělena, představuje 3</w:t>
      </w:r>
      <w:r w:rsidR="00023B89" w:rsidRPr="000536D9">
        <w:t>6</w:t>
      </w:r>
      <w:r w:rsidR="007D4F0E" w:rsidRPr="000536D9">
        <w:t>,</w:t>
      </w:r>
      <w:r w:rsidR="00023B89" w:rsidRPr="000536D9">
        <w:t>3</w:t>
      </w:r>
      <w:r w:rsidR="000925C7" w:rsidRPr="000536D9">
        <w:t xml:space="preserve"> % GBARD. Pro výzkumné činnosti klasifikované </w:t>
      </w:r>
      <w:r w:rsidR="004A2FD3" w:rsidRPr="000536D9">
        <w:t>v rámci neorientovaného výzkumu</w:t>
      </w:r>
      <w:r w:rsidR="000925C7" w:rsidRPr="000536D9">
        <w:t xml:space="preserve"> je charakteristické, že nemají jednoznačně stanovené oblasti výzkumu (nejsou u nich určeny cíle a priority). Tím se zásadně odlišují např. od oblasti průmyslové výroby a technologií podpořené MPO. </w:t>
      </w:r>
    </w:p>
    <w:p w14:paraId="66E8E710" w14:textId="49DADF49" w:rsidR="000536D9" w:rsidRPr="00CB6838" w:rsidRDefault="000536D9" w:rsidP="000536D9">
      <w:pPr>
        <w:spacing w:before="120"/>
        <w:jc w:val="both"/>
        <w:rPr>
          <w:b/>
        </w:rPr>
      </w:pPr>
      <w:r w:rsidRPr="00E06C2A">
        <w:rPr>
          <w:b/>
        </w:rPr>
        <w:lastRenderedPageBreak/>
        <w:t xml:space="preserve">GRAF 1-8: Struktura </w:t>
      </w:r>
      <w:r>
        <w:rPr>
          <w:b/>
        </w:rPr>
        <w:t>s</w:t>
      </w:r>
      <w:r w:rsidRPr="00BF1D6C">
        <w:rPr>
          <w:b/>
        </w:rPr>
        <w:t>tátní</w:t>
      </w:r>
      <w:r>
        <w:rPr>
          <w:b/>
        </w:rPr>
        <w:t>ch</w:t>
      </w:r>
      <w:r w:rsidRPr="00BF1D6C">
        <w:rPr>
          <w:b/>
        </w:rPr>
        <w:t xml:space="preserve"> rozpočtov</w:t>
      </w:r>
      <w:r>
        <w:rPr>
          <w:b/>
        </w:rPr>
        <w:t>ých</w:t>
      </w:r>
      <w:r w:rsidRPr="00BF1D6C">
        <w:rPr>
          <w:b/>
        </w:rPr>
        <w:t xml:space="preserve"> výdaj</w:t>
      </w:r>
      <w:r>
        <w:rPr>
          <w:b/>
        </w:rPr>
        <w:t>ů</w:t>
      </w:r>
      <w:r w:rsidRPr="00BF1D6C">
        <w:rPr>
          <w:b/>
        </w:rPr>
        <w:t xml:space="preserve"> na VaV</w:t>
      </w:r>
      <w:r w:rsidRPr="00E06C2A">
        <w:rPr>
          <w:b/>
        </w:rPr>
        <w:t xml:space="preserve"> </w:t>
      </w:r>
      <w:r>
        <w:rPr>
          <w:b/>
        </w:rPr>
        <w:t xml:space="preserve">v ČR </w:t>
      </w:r>
      <w:r w:rsidRPr="00E06C2A">
        <w:rPr>
          <w:b/>
        </w:rPr>
        <w:t>podle hlavních socioekonomických cílů a</w:t>
      </w:r>
      <w:r>
        <w:rPr>
          <w:b/>
        </w:rPr>
        <w:t> </w:t>
      </w:r>
      <w:r w:rsidRPr="00E06C2A">
        <w:rPr>
          <w:b/>
        </w:rPr>
        <w:t>formy podpory; 2017</w:t>
      </w:r>
      <w:r w:rsidRPr="00CB6838">
        <w:rPr>
          <w:b/>
        </w:rPr>
        <w:t xml:space="preserve"> </w:t>
      </w:r>
    </w:p>
    <w:p w14:paraId="0FF5457B" w14:textId="77777777" w:rsidR="000536D9" w:rsidRDefault="000536D9" w:rsidP="000536D9">
      <w:pPr>
        <w:spacing w:before="120" w:after="120"/>
        <w:jc w:val="both"/>
      </w:pPr>
      <w:r>
        <w:rPr>
          <w:noProof/>
        </w:rPr>
        <w:drawing>
          <wp:inline distT="0" distB="0" distL="0" distR="0" wp14:anchorId="4F772C0A" wp14:editId="6DAFBF9C">
            <wp:extent cx="6116129" cy="2520000"/>
            <wp:effectExtent l="0" t="0" r="0" b="0"/>
            <wp:docPr id="7" name="Graf 7">
              <a:extLst xmlns:a="http://schemas.openxmlformats.org/drawingml/2006/main">
                <a:ext uri="{FF2B5EF4-FFF2-40B4-BE49-F238E27FC236}">
                  <a16:creationId xmlns:a16="http://schemas.microsoft.com/office/drawing/2014/main" id="{00000000-0008-0000-0A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1D7A005" w14:textId="0125CFCF" w:rsidR="00A149F3" w:rsidRPr="000536D9" w:rsidRDefault="000925C7" w:rsidP="00B940FD">
      <w:pPr>
        <w:spacing w:before="120" w:after="120"/>
        <w:jc w:val="both"/>
      </w:pPr>
      <w:r w:rsidRPr="000536D9">
        <w:t>Druhým ne</w:t>
      </w:r>
      <w:r w:rsidR="00571E9F" w:rsidRPr="000536D9">
        <w:t>j</w:t>
      </w:r>
      <w:r w:rsidRPr="000536D9">
        <w:t xml:space="preserve">podporovanějším cílem byl z hlediska alokované částky ve výši </w:t>
      </w:r>
      <w:r w:rsidR="00266B15" w:rsidRPr="000536D9">
        <w:t>7 068</w:t>
      </w:r>
      <w:r w:rsidRPr="000536D9">
        <w:t xml:space="preserve"> mil. Kč </w:t>
      </w:r>
      <w:r w:rsidRPr="000536D9">
        <w:rPr>
          <w:b/>
        </w:rPr>
        <w:t>všeobecný výzkum na vysokých školách (SEO 10).</w:t>
      </w:r>
      <w:r w:rsidRPr="000536D9">
        <w:t xml:space="preserve"> Podíl této částky na celkových státních rozpočtových výdajích na</w:t>
      </w:r>
      <w:r>
        <w:t xml:space="preserve"> VaV </w:t>
      </w:r>
      <w:r w:rsidRPr="000536D9">
        <w:t>dosáhl 2</w:t>
      </w:r>
      <w:r w:rsidR="00266B15" w:rsidRPr="000536D9">
        <w:t>3</w:t>
      </w:r>
      <w:r w:rsidR="00330D12" w:rsidRPr="000536D9">
        <w:t>,</w:t>
      </w:r>
      <w:r w:rsidR="00266B15" w:rsidRPr="000536D9">
        <w:t>1</w:t>
      </w:r>
      <w:r w:rsidRPr="000536D9">
        <w:t xml:space="preserve"> %. Jedná se o socioekonomický cíl sdružující dle metodiky klasifikace NABS pouze institucionální prostředky směřující na podporu výzkumu na vysokých školách (specifický výzkum na vysokých školách a </w:t>
      </w:r>
      <w:r w:rsidR="00B70075" w:rsidRPr="000536D9">
        <w:t xml:space="preserve">dlouhodobý koncepční </w:t>
      </w:r>
      <w:r w:rsidRPr="000536D9">
        <w:t>rozvoj výzkumných organizací). Podobně jako u neorientovaného výzkumu se ve většině případů jedná o podporu aktivit spadajících pod základní výzkum</w:t>
      </w:r>
      <w:r w:rsidRPr="000536D9">
        <w:rPr>
          <w:rStyle w:val="Znakapoznpodarou"/>
        </w:rPr>
        <w:footnoteReference w:id="16"/>
      </w:r>
      <w:r w:rsidRPr="000536D9">
        <w:t>.</w:t>
      </w:r>
    </w:p>
    <w:p w14:paraId="7E36407E" w14:textId="4797D260" w:rsidR="0085095D" w:rsidRPr="00CB6838" w:rsidRDefault="0085095D" w:rsidP="0085095D">
      <w:pPr>
        <w:spacing w:before="120"/>
        <w:jc w:val="both"/>
        <w:rPr>
          <w:b/>
        </w:rPr>
      </w:pPr>
      <w:r w:rsidRPr="000536D9">
        <w:rPr>
          <w:b/>
        </w:rPr>
        <w:t>GRAF 1-</w:t>
      </w:r>
      <w:r w:rsidR="000536D9">
        <w:rPr>
          <w:b/>
        </w:rPr>
        <w:t>9</w:t>
      </w:r>
      <w:r w:rsidRPr="000536D9">
        <w:rPr>
          <w:b/>
        </w:rPr>
        <w:t>: Státní rozpočtové výdaje na VaV v ČR na neorientovaný výzkum (SEO 10) a všeobecný výzkum na vysokých školách (SEO 11) podle vědních oblastí v letech 2010, 2015 a 2017 (mil. Kč; %*)</w:t>
      </w:r>
    </w:p>
    <w:p w14:paraId="025527C0" w14:textId="77777777" w:rsidR="0085095D" w:rsidRDefault="0085095D" w:rsidP="0085095D">
      <w:pPr>
        <w:spacing w:before="120" w:after="120"/>
        <w:jc w:val="both"/>
      </w:pPr>
      <w:r>
        <w:rPr>
          <w:noProof/>
        </w:rPr>
        <w:drawing>
          <wp:inline distT="0" distB="0" distL="0" distR="0" wp14:anchorId="6B75A5BE" wp14:editId="219F7B18">
            <wp:extent cx="6120130" cy="3492000"/>
            <wp:effectExtent l="0" t="0" r="0" b="0"/>
            <wp:docPr id="12" name="Graf 12">
              <a:extLst xmlns:a="http://schemas.openxmlformats.org/drawingml/2006/main">
                <a:ext uri="{FF2B5EF4-FFF2-40B4-BE49-F238E27FC236}">
                  <a16:creationId xmlns:a16="http://schemas.microsoft.com/office/drawing/2014/main" id="{00000000-0008-0000-09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7E29B89" w14:textId="77777777" w:rsidR="0085095D" w:rsidRPr="00F40FF7" w:rsidRDefault="0085095D" w:rsidP="0085095D">
      <w:pPr>
        <w:spacing w:before="120" w:after="120"/>
        <w:jc w:val="both"/>
        <w:rPr>
          <w:i/>
          <w:sz w:val="18"/>
        </w:rPr>
      </w:pPr>
      <w:r w:rsidRPr="00F40FF7">
        <w:rPr>
          <w:i/>
          <w:sz w:val="18"/>
        </w:rPr>
        <w:t xml:space="preserve">*Procentuální podíl dané vědní oblasti na celkových výdajích na VaV ze státního rozpočtu směřujících do neorientovaného výzkumu (SEO 10) a všeobecného výzkumu na vysokých školách (SEO 11) celkem v roce 2017 </w:t>
      </w:r>
    </w:p>
    <w:p w14:paraId="3822A700" w14:textId="0A2B9535" w:rsidR="00B940FD" w:rsidRPr="000536D9" w:rsidRDefault="00B940FD" w:rsidP="00B940FD">
      <w:pPr>
        <w:spacing w:before="120" w:after="120"/>
        <w:jc w:val="both"/>
      </w:pPr>
      <w:r w:rsidRPr="000536D9">
        <w:lastRenderedPageBreak/>
        <w:t xml:space="preserve">Z jednoznačně specifikovaných cílů směřovala nejvyšší část státní podpory </w:t>
      </w:r>
      <w:r w:rsidR="007B19B6" w:rsidRPr="000536D9">
        <w:t xml:space="preserve">VaV </w:t>
      </w:r>
      <w:r w:rsidRPr="000536D9">
        <w:t xml:space="preserve">do oblasti </w:t>
      </w:r>
      <w:r w:rsidRPr="000536D9">
        <w:rPr>
          <w:b/>
        </w:rPr>
        <w:t>průmyslové výroby a technologie (SEO 07)</w:t>
      </w:r>
      <w:r w:rsidRPr="000536D9">
        <w:t xml:space="preserve">. Celkem byl výzkum a vývoj v oblasti průmyslové výroby podpořen souhrnnou částkou </w:t>
      </w:r>
      <w:r w:rsidR="00FD3B29" w:rsidRPr="000536D9">
        <w:t>2 908</w:t>
      </w:r>
      <w:r w:rsidRPr="000536D9">
        <w:t xml:space="preserve"> mil. Kč</w:t>
      </w:r>
      <w:r w:rsidRPr="000536D9">
        <w:rPr>
          <w:rStyle w:val="Znakapoznpodarou"/>
        </w:rPr>
        <w:footnoteReference w:id="17"/>
      </w:r>
      <w:r w:rsidRPr="000536D9">
        <w:t xml:space="preserve">, odpovídající </w:t>
      </w:r>
      <w:r w:rsidR="00130761" w:rsidRPr="000536D9">
        <w:t>9,5</w:t>
      </w:r>
      <w:r w:rsidRPr="000536D9">
        <w:t> % celkových GBARD. Jak již bylo řečeno, z hlediska formy financování zde jednoznačně pře</w:t>
      </w:r>
      <w:r w:rsidR="00844405" w:rsidRPr="000536D9">
        <w:t>važovalo účelové financování (9</w:t>
      </w:r>
      <w:r w:rsidR="00B278A0" w:rsidRPr="000536D9">
        <w:t>1</w:t>
      </w:r>
      <w:r w:rsidR="0072031C" w:rsidRPr="000536D9">
        <w:t> </w:t>
      </w:r>
      <w:r w:rsidRPr="000536D9">
        <w:t>%). Pro daný socioekonomický cíl jsou charakteristické činnosti spojené s aplikovaným výzkumem a experimentálním vývojem v oblasti průmyslové výroby a technologií. Sledujeme-li výzkumné činnosti na nižším stupni třídění z hlediska dílčích cílů, jsou zde rozlišena jednotlivá odvětví zpracovatelského průmyslu.</w:t>
      </w:r>
      <w:r w:rsidR="00AE66B6" w:rsidRPr="000536D9">
        <w:t xml:space="preserve"> Blíže viz graf 1-</w:t>
      </w:r>
      <w:r w:rsidR="00C95BA4" w:rsidRPr="000536D9">
        <w:t>9</w:t>
      </w:r>
      <w:r w:rsidR="00AE66B6" w:rsidRPr="000536D9">
        <w:t>.</w:t>
      </w:r>
      <w:r w:rsidRPr="000536D9">
        <w:t xml:space="preserve"> </w:t>
      </w:r>
    </w:p>
    <w:p w14:paraId="246D73E8" w14:textId="56250387" w:rsidR="00B940FD" w:rsidRDefault="00B940FD" w:rsidP="000674DF">
      <w:pPr>
        <w:spacing w:before="120" w:after="240"/>
        <w:jc w:val="both"/>
      </w:pPr>
      <w:r>
        <w:t xml:space="preserve">Finanční prostředky v oblasti průmyslové výroby a technologií (SEO 07) jsou nejčastěji adresovány soukromým podnikům na podporu jejich výzkumných a vývojových aktivit. V podpoře průmyslového VaV </w:t>
      </w:r>
      <w:r w:rsidR="000217E8">
        <w:t xml:space="preserve">hraje významnou roli </w:t>
      </w:r>
      <w:r>
        <w:t>Technologick</w:t>
      </w:r>
      <w:r w:rsidR="000217E8">
        <w:t>á agentura</w:t>
      </w:r>
      <w:r w:rsidR="008C0742">
        <w:t xml:space="preserve"> ČR, která v roce 201</w:t>
      </w:r>
      <w:r w:rsidR="00C95BA4">
        <w:t>7</w:t>
      </w:r>
      <w:r w:rsidR="0068705D">
        <w:t xml:space="preserve"> </w:t>
      </w:r>
      <w:r>
        <w:t>financovala projekty VaV spojené s</w:t>
      </w:r>
      <w:r w:rsidR="00571E9F">
        <w:t> </w:t>
      </w:r>
      <w:r>
        <w:t>průmyslovou výrobou technologií</w:t>
      </w:r>
      <w:r w:rsidR="008C0742">
        <w:t xml:space="preserve"> souhrnnou částkou ve výši </w:t>
      </w:r>
      <w:r w:rsidR="00C95BA4" w:rsidRPr="00C95BA4">
        <w:t>1</w:t>
      </w:r>
      <w:r w:rsidR="00C95BA4">
        <w:t> </w:t>
      </w:r>
      <w:r w:rsidR="00C95BA4" w:rsidRPr="00C95BA4">
        <w:t>319</w:t>
      </w:r>
      <w:r w:rsidR="00C95BA4">
        <w:t xml:space="preserve"> </w:t>
      </w:r>
      <w:r>
        <w:t xml:space="preserve">mil. Kč. V uvedeném roce tato agentura financovala průmyslový VaV </w:t>
      </w:r>
      <w:r w:rsidR="00C95BA4">
        <w:t>téměř dvakrát</w:t>
      </w:r>
      <w:r w:rsidR="00982A83">
        <w:t xml:space="preserve"> </w:t>
      </w:r>
      <w:r>
        <w:t>vyšší částkou než MPO</w:t>
      </w:r>
      <w:r w:rsidR="002B3194">
        <w:t xml:space="preserve"> (</w:t>
      </w:r>
      <w:r w:rsidR="00C95BA4" w:rsidRPr="00C95BA4">
        <w:t>861</w:t>
      </w:r>
      <w:r w:rsidR="002B3194">
        <w:t xml:space="preserve"> mil. Kč)</w:t>
      </w:r>
      <w:r>
        <w:t>.</w:t>
      </w:r>
    </w:p>
    <w:p w14:paraId="334D4D5E" w14:textId="5C538A9B" w:rsidR="000536D9" w:rsidRPr="00CB6838" w:rsidRDefault="000536D9" w:rsidP="000536D9">
      <w:pPr>
        <w:spacing w:before="120"/>
        <w:jc w:val="both"/>
        <w:rPr>
          <w:b/>
        </w:rPr>
      </w:pPr>
      <w:r w:rsidRPr="00C71B43">
        <w:rPr>
          <w:b/>
        </w:rPr>
        <w:t>GRAF 1-</w:t>
      </w:r>
      <w:r>
        <w:rPr>
          <w:b/>
        </w:rPr>
        <w:t>10</w:t>
      </w:r>
      <w:r w:rsidRPr="00C71B43">
        <w:rPr>
          <w:b/>
        </w:rPr>
        <w:t xml:space="preserve">: </w:t>
      </w:r>
      <w:r w:rsidRPr="000536D9">
        <w:rPr>
          <w:b/>
        </w:rPr>
        <w:t xml:space="preserve">Státní rozpočtové výdaje na VaV v ČR </w:t>
      </w:r>
      <w:r>
        <w:rPr>
          <w:b/>
        </w:rPr>
        <w:t xml:space="preserve">směřující do oblasti </w:t>
      </w:r>
      <w:r w:rsidRPr="00C71B43">
        <w:rPr>
          <w:b/>
        </w:rPr>
        <w:t>Průmyslová výroba a technologie (SEO 07) podle dílčích socioekonomických cílů v letech 2010, 2015 a 2017 (mil. Kč)</w:t>
      </w:r>
    </w:p>
    <w:p w14:paraId="379DCF5D" w14:textId="77777777" w:rsidR="000536D9" w:rsidRDefault="000536D9" w:rsidP="000536D9">
      <w:pPr>
        <w:spacing w:before="120" w:after="120"/>
        <w:jc w:val="both"/>
      </w:pPr>
      <w:r>
        <w:rPr>
          <w:noProof/>
        </w:rPr>
        <w:drawing>
          <wp:inline distT="0" distB="0" distL="0" distR="0" wp14:anchorId="3C28EFD0" wp14:editId="0984CDEA">
            <wp:extent cx="6120130" cy="4295140"/>
            <wp:effectExtent l="0" t="0" r="0" b="0"/>
            <wp:docPr id="8" name="Graf 8">
              <a:extLst xmlns:a="http://schemas.openxmlformats.org/drawingml/2006/main">
                <a:ext uri="{FF2B5EF4-FFF2-40B4-BE49-F238E27FC236}">
                  <a16:creationId xmlns:a16="http://schemas.microsoft.com/office/drawing/2014/main" id="{00000000-0008-0000-0B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29221D5" w14:textId="2D9A2503" w:rsidR="005C5DD9" w:rsidRDefault="005C5DD9" w:rsidP="005C5DD9">
      <w:pPr>
        <w:jc w:val="both"/>
      </w:pPr>
      <w:r>
        <w:t xml:space="preserve">Významný objem </w:t>
      </w:r>
      <w:r w:rsidR="00CD4F35">
        <w:t>veřejné podpory VaV v roce</w:t>
      </w:r>
      <w:r w:rsidR="00213BB3">
        <w:t xml:space="preserve"> 201</w:t>
      </w:r>
      <w:r w:rsidR="001E0C6A">
        <w:t>7</w:t>
      </w:r>
      <w:r>
        <w:t xml:space="preserve"> plynul do oblasti </w:t>
      </w:r>
      <w:r w:rsidRPr="00A06C1F">
        <w:rPr>
          <w:b/>
        </w:rPr>
        <w:t>ochrany a zlepšování lidského zdraví</w:t>
      </w:r>
      <w:r>
        <w:t xml:space="preserve"> </w:t>
      </w:r>
      <w:r w:rsidRPr="004A2E6F">
        <w:rPr>
          <w:b/>
        </w:rPr>
        <w:t>(SEO 04)</w:t>
      </w:r>
      <w:r>
        <w:t xml:space="preserve">. </w:t>
      </w:r>
      <w:r w:rsidRPr="000536D9">
        <w:t>Jednalo se zejména o finanční prostředky z rozpočtu Ministerstva zdravotnictví. V souhrnu byly v</w:t>
      </w:r>
      <w:r w:rsidR="00571E9F" w:rsidRPr="000536D9">
        <w:t> </w:t>
      </w:r>
      <w:r w:rsidRPr="000536D9">
        <w:t xml:space="preserve">oblasti související s výzkumem lidského zdraví rozděleny finance v celkové výši </w:t>
      </w:r>
      <w:r w:rsidR="001E0C6A" w:rsidRPr="000536D9">
        <w:t>2 379</w:t>
      </w:r>
      <w:r w:rsidR="002C430B" w:rsidRPr="000536D9">
        <w:t xml:space="preserve"> </w:t>
      </w:r>
      <w:r w:rsidRPr="000536D9">
        <w:t xml:space="preserve">mil. Kč., což odpovídá </w:t>
      </w:r>
      <w:r w:rsidR="002C430B" w:rsidRPr="000536D9">
        <w:t>7</w:t>
      </w:r>
      <w:r w:rsidR="001E0C6A" w:rsidRPr="000536D9">
        <w:t>,8</w:t>
      </w:r>
      <w:r w:rsidR="00213BB3" w:rsidRPr="000536D9">
        <w:t> </w:t>
      </w:r>
      <w:r w:rsidRPr="000536D9">
        <w:t xml:space="preserve">% celkových GBARD. Příjemci těchto prostředků byly převážně nemocnice, zejména pak fakultní </w:t>
      </w:r>
      <w:r w:rsidR="00213BB3" w:rsidRPr="000536D9">
        <w:t>nemocnice, přičemž 7</w:t>
      </w:r>
      <w:r w:rsidR="00551E93" w:rsidRPr="000536D9">
        <w:t>4</w:t>
      </w:r>
      <w:r w:rsidR="00213BB3" w:rsidRPr="000536D9">
        <w:t xml:space="preserve"> % (</w:t>
      </w:r>
      <w:r w:rsidR="001E0C6A" w:rsidRPr="000536D9">
        <w:t>1 769 </w:t>
      </w:r>
      <w:r w:rsidRPr="000536D9">
        <w:t>mil. Kč) podpory VaV ve zdravotní oblasti bylo čerpáno formou</w:t>
      </w:r>
      <w:r>
        <w:t xml:space="preserve"> </w:t>
      </w:r>
      <w:r>
        <w:lastRenderedPageBreak/>
        <w:t>účelové podpory. Formou institucionální podpo</w:t>
      </w:r>
      <w:r w:rsidR="00213BB3">
        <w:t>ry bylo přijato zbývajících 2</w:t>
      </w:r>
      <w:r w:rsidR="00551E93">
        <w:t>6</w:t>
      </w:r>
      <w:r w:rsidR="00213BB3">
        <w:t xml:space="preserve"> % prostředků (</w:t>
      </w:r>
      <w:r w:rsidR="001E0C6A" w:rsidRPr="001E0C6A">
        <w:t>609</w:t>
      </w:r>
      <w:r>
        <w:t xml:space="preserve"> mil. Kč). Jak již bylo řečeno, lékařský výzkum je také klasifikován v rámci dříve jmenovaných socioekonomických cílů</w:t>
      </w:r>
      <w:r>
        <w:rPr>
          <w:rStyle w:val="Znakapoznpodarou"/>
        </w:rPr>
        <w:footnoteReference w:id="18"/>
      </w:r>
      <w:r>
        <w:t xml:space="preserve">.  </w:t>
      </w:r>
    </w:p>
    <w:p w14:paraId="7B28C330" w14:textId="64B3BA79" w:rsidR="005C5DD9" w:rsidRDefault="005C5DD9" w:rsidP="005C5DD9">
      <w:pPr>
        <w:spacing w:before="120" w:after="120"/>
        <w:jc w:val="both"/>
      </w:pPr>
      <w:r>
        <w:t xml:space="preserve">Se souhrnnou přidělenou veřejnou podporou VaV ve výši </w:t>
      </w:r>
      <w:r w:rsidR="00EF279D" w:rsidRPr="00EF279D">
        <w:rPr>
          <w:b/>
        </w:rPr>
        <w:t>1 21</w:t>
      </w:r>
      <w:r w:rsidR="00EF279D">
        <w:rPr>
          <w:b/>
        </w:rPr>
        <w:t>2</w:t>
      </w:r>
      <w:r w:rsidRPr="00D147B3">
        <w:rPr>
          <w:b/>
        </w:rPr>
        <w:t xml:space="preserve"> mil. Kč</w:t>
      </w:r>
      <w:r w:rsidR="00490F7D">
        <w:rPr>
          <w:rStyle w:val="Znakapoznpodarou"/>
          <w:b/>
        </w:rPr>
        <w:footnoteReference w:id="19"/>
      </w:r>
      <w:r>
        <w:t xml:space="preserve"> byla oblast </w:t>
      </w:r>
      <w:r>
        <w:rPr>
          <w:b/>
        </w:rPr>
        <w:t>z</w:t>
      </w:r>
      <w:r w:rsidRPr="00A83B8B">
        <w:rPr>
          <w:b/>
        </w:rPr>
        <w:t>eměd</w:t>
      </w:r>
      <w:r>
        <w:rPr>
          <w:b/>
        </w:rPr>
        <w:t>ělské výroby a</w:t>
      </w:r>
      <w:r w:rsidR="00BA54B2">
        <w:rPr>
          <w:b/>
        </w:rPr>
        <w:t> </w:t>
      </w:r>
      <w:r>
        <w:rPr>
          <w:b/>
        </w:rPr>
        <w:t>technologie (SEO </w:t>
      </w:r>
      <w:r w:rsidRPr="00A83B8B">
        <w:rPr>
          <w:b/>
        </w:rPr>
        <w:t>06)</w:t>
      </w:r>
      <w:r>
        <w:t xml:space="preserve"> v roce 201</w:t>
      </w:r>
      <w:r w:rsidR="00EF279D">
        <w:t>7</w:t>
      </w:r>
      <w:r>
        <w:t xml:space="preserve"> šestým </w:t>
      </w:r>
      <w:r w:rsidR="00AE12DC">
        <w:t>ne</w:t>
      </w:r>
      <w:r w:rsidR="00BA54B2">
        <w:t>j</w:t>
      </w:r>
      <w:r w:rsidR="00AE12DC">
        <w:t>podporovanějším</w:t>
      </w:r>
      <w:r>
        <w:t xml:space="preserve"> cílem. Z hlediska celkových GBARD směřoval</w:t>
      </w:r>
      <w:r w:rsidR="00BA54B2">
        <w:t>a</w:t>
      </w:r>
      <w:r>
        <w:t xml:space="preserve"> do oblasti zemědělství </w:t>
      </w:r>
      <w:r w:rsidR="00EF279D" w:rsidRPr="006B6AF7">
        <w:t>rovná 4</w:t>
      </w:r>
      <w:r w:rsidRPr="006B6AF7">
        <w:t xml:space="preserve"> % prostředků</w:t>
      </w:r>
      <w:r>
        <w:t xml:space="preserve">. </w:t>
      </w:r>
    </w:p>
    <w:p w14:paraId="65D50E55" w14:textId="160F3D6E" w:rsidR="005C5DD9" w:rsidRDefault="005C5DD9" w:rsidP="000674DF">
      <w:pPr>
        <w:spacing w:before="120" w:after="240"/>
        <w:jc w:val="both"/>
      </w:pPr>
      <w:r>
        <w:t>Do oblasti zemědělské výroby a technologie je zařazen veškerý výzkum v oblasti zemědělství, lesnictví, rybářství a produkce potravin. Finanční prostředky jsou využívány k podpoře výzkumu umělých hnojiv, prostředků k hubení škůdců či pesticidů, veterinární medicíny, mechanizace zemědělství či jiných postupů zvyšování produktivity v zemědělství, lesnictví či rybářství. O podporu VaV v této oblasti se stará zejmé</w:t>
      </w:r>
      <w:r w:rsidR="008136CB">
        <w:t>na Ministerstvo zemědělství (</w:t>
      </w:r>
      <w:r w:rsidR="001B4A9D">
        <w:t>8</w:t>
      </w:r>
      <w:r w:rsidR="006E332C">
        <w:t>10</w:t>
      </w:r>
      <w:r>
        <w:t xml:space="preserve"> mil. Kč). Hlavními příjemci těchto prostředků byly veřejné výzkumné instituce (včetn</w:t>
      </w:r>
      <w:r w:rsidR="008136CB">
        <w:t xml:space="preserve">ě AV ČR), do nichž směřovalo </w:t>
      </w:r>
      <w:r w:rsidR="000C0B53">
        <w:t>625</w:t>
      </w:r>
      <w:r>
        <w:t xml:space="preserve"> mil. Kč. Dále podniky, které z těchto p</w:t>
      </w:r>
      <w:r w:rsidR="008136CB">
        <w:t>rostředků získaly 3</w:t>
      </w:r>
      <w:r w:rsidR="000A0505">
        <w:t>41</w:t>
      </w:r>
      <w:r>
        <w:t xml:space="preserve"> mil. Kč a veřejné vyso</w:t>
      </w:r>
      <w:r w:rsidR="008136CB">
        <w:t xml:space="preserve">ké školy, </w:t>
      </w:r>
      <w:r w:rsidR="00BA54B2">
        <w:t xml:space="preserve">mezi </w:t>
      </w:r>
      <w:r w:rsidR="008136CB">
        <w:t xml:space="preserve">které </w:t>
      </w:r>
      <w:r w:rsidR="00BA54B2">
        <w:t>bylo</w:t>
      </w:r>
      <w:r w:rsidR="008136CB">
        <w:t xml:space="preserve"> rozděl</w:t>
      </w:r>
      <w:r w:rsidR="00BA54B2">
        <w:t>eno</w:t>
      </w:r>
      <w:r w:rsidR="008136CB">
        <w:t xml:space="preserve"> 2</w:t>
      </w:r>
      <w:r w:rsidR="000A0505">
        <w:t>23</w:t>
      </w:r>
      <w:r>
        <w:t xml:space="preserve"> mil. Kč.</w:t>
      </w:r>
    </w:p>
    <w:p w14:paraId="7A30C01A" w14:textId="3F5D8042" w:rsidR="005C5DD9" w:rsidRPr="006B6AF7" w:rsidRDefault="006B6AF7" w:rsidP="005C5DD9">
      <w:pPr>
        <w:spacing w:before="120" w:after="120"/>
        <w:jc w:val="both"/>
      </w:pPr>
      <w:r>
        <w:t xml:space="preserve">Posledním z hlavních socioekonomických cílů kam ze státního rozpočtu </w:t>
      </w:r>
      <w:r w:rsidR="009A42BA" w:rsidRPr="006B6AF7">
        <w:t>v roce 201</w:t>
      </w:r>
      <w:r w:rsidR="00B6340D" w:rsidRPr="006B6AF7">
        <w:t>7</w:t>
      </w:r>
      <w:r w:rsidR="005C5DD9" w:rsidRPr="006B6AF7">
        <w:t xml:space="preserve"> směřoval</w:t>
      </w:r>
      <w:r>
        <w:t>a na VaV více než miliarda (1 </w:t>
      </w:r>
      <w:r w:rsidR="00B6340D" w:rsidRPr="006B6AF7">
        <w:t>160</w:t>
      </w:r>
      <w:r w:rsidR="005C5DD9" w:rsidRPr="006B6AF7">
        <w:t xml:space="preserve"> mil.</w:t>
      </w:r>
      <w:r>
        <w:t> </w:t>
      </w:r>
      <w:r w:rsidR="005C5DD9" w:rsidRPr="006B6AF7">
        <w:t>Kč),</w:t>
      </w:r>
      <w:r w:rsidR="005C5DD9">
        <w:t xml:space="preserve"> byla oblast </w:t>
      </w:r>
      <w:r w:rsidR="005C5DD9" w:rsidRPr="00AF6E7B">
        <w:rPr>
          <w:b/>
        </w:rPr>
        <w:t>infrastruktury a územního plánování (SEO 02)</w:t>
      </w:r>
      <w:r w:rsidR="005C5DD9">
        <w:t xml:space="preserve">. </w:t>
      </w:r>
      <w:r w:rsidR="005C5DD9" w:rsidRPr="006B6AF7">
        <w:t>Tento socioekonomický cíl sdružuje VaV v oblasti územního plánování, plánování a stavby budov, inženýrských a vodohospodářských staveb, telekomunikací, dopravy apod. Podíl tohoto cíle na</w:t>
      </w:r>
      <w:r w:rsidR="000217E8" w:rsidRPr="006B6AF7">
        <w:t xml:space="preserve"> celkových GBARD činil</w:t>
      </w:r>
      <w:r w:rsidR="009A42BA" w:rsidRPr="006B6AF7">
        <w:t xml:space="preserve"> 3,</w:t>
      </w:r>
      <w:r w:rsidR="001A6A18" w:rsidRPr="006B6AF7">
        <w:t>8</w:t>
      </w:r>
      <w:r w:rsidR="000217E8" w:rsidRPr="006B6AF7">
        <w:t> </w:t>
      </w:r>
      <w:r w:rsidR="005C5DD9" w:rsidRPr="006B6AF7">
        <w:t>%. Příjemci podpor</w:t>
      </w:r>
      <w:r w:rsidR="009A42BA" w:rsidRPr="006B6AF7">
        <w:t>y byly veřejné vysoké školy (</w:t>
      </w:r>
      <w:r w:rsidR="001A6A18" w:rsidRPr="006B6AF7">
        <w:t>454</w:t>
      </w:r>
      <w:r w:rsidR="005C5DD9" w:rsidRPr="006B6AF7">
        <w:t xml:space="preserve"> mil. Kč),</w:t>
      </w:r>
      <w:r w:rsidR="009A42BA" w:rsidRPr="006B6AF7">
        <w:t xml:space="preserve"> veřejné výzkumné instituce (1</w:t>
      </w:r>
      <w:r w:rsidR="001A6A18" w:rsidRPr="006B6AF7">
        <w:t>48</w:t>
      </w:r>
      <w:r w:rsidR="009A42BA" w:rsidRPr="006B6AF7">
        <w:t> mil. Kč) a podniky (</w:t>
      </w:r>
      <w:r w:rsidR="001A6A18" w:rsidRPr="006B6AF7">
        <w:t>274</w:t>
      </w:r>
      <w:r w:rsidR="005C5DD9" w:rsidRPr="006B6AF7">
        <w:t xml:space="preserve"> mil. Kč)</w:t>
      </w:r>
      <w:r w:rsidR="009A42BA" w:rsidRPr="006B6AF7">
        <w:t xml:space="preserve"> včetně sdružení starající se o páteřní sí</w:t>
      </w:r>
      <w:r w:rsidR="00AD7A5A" w:rsidRPr="006B6AF7">
        <w:t>ť</w:t>
      </w:r>
      <w:r w:rsidR="009A42BA" w:rsidRPr="006B6AF7">
        <w:t xml:space="preserve"> českého internetu</w:t>
      </w:r>
      <w:r w:rsidR="005C5DD9" w:rsidRPr="006B6AF7">
        <w:t>.</w:t>
      </w:r>
    </w:p>
    <w:p w14:paraId="1E64F90A" w14:textId="2792A62F" w:rsidR="00B95DB0" w:rsidRDefault="00B95DB0" w:rsidP="005C5DD9">
      <w:pPr>
        <w:spacing w:before="120" w:after="120"/>
        <w:jc w:val="both"/>
      </w:pPr>
      <w:r>
        <w:t xml:space="preserve">Výzkumní pracovníci směřující své výzkumné úsilí do sociální oblasti vyčleněné pod jednotným socioekonomickým cílem s označením </w:t>
      </w:r>
      <w:r w:rsidRPr="002E0C7F">
        <w:rPr>
          <w:b/>
        </w:rPr>
        <w:t>společenské struktury a vztahy (SEO 08)</w:t>
      </w:r>
      <w:r>
        <w:t xml:space="preserve"> mohli pro svou výzkumnou činnost využít </w:t>
      </w:r>
      <w:r w:rsidR="007A3862" w:rsidRPr="006B6AF7">
        <w:t>915</w:t>
      </w:r>
      <w:r w:rsidRPr="006B6AF7">
        <w:t xml:space="preserve"> mil. Kč</w:t>
      </w:r>
      <w:r w:rsidRPr="0032168E">
        <w:rPr>
          <w:b/>
        </w:rPr>
        <w:t xml:space="preserve"> </w:t>
      </w:r>
      <w:r>
        <w:t>z veřejných prostředků (</w:t>
      </w:r>
      <w:r w:rsidRPr="006B6AF7">
        <w:t>3 %</w:t>
      </w:r>
      <w:r>
        <w:t xml:space="preserve"> z celkových GBARD). Jednalo se zejména o výzkumné činnosti probíhající v úzkém kontaktu s poznatky v oblasti společenských a</w:t>
      </w:r>
      <w:r w:rsidR="00AD7A5A">
        <w:t> </w:t>
      </w:r>
      <w:r>
        <w:t>humanitních věd. Oblasti, které mohly být v rámci daného cíle rozvíjeny, zahrnovaly např. kulturní aktivity, vzdělávání a rekvalifikace, řízení, sociální zabezpečení apod.</w:t>
      </w:r>
    </w:p>
    <w:p w14:paraId="22B2B8AB" w14:textId="68A4C158" w:rsidR="005C5DD9" w:rsidRPr="0027191E" w:rsidRDefault="005C5DD9" w:rsidP="005C5DD9">
      <w:pPr>
        <w:spacing w:before="120" w:after="120"/>
        <w:jc w:val="both"/>
      </w:pPr>
      <w:r w:rsidRPr="0027191E">
        <w:t xml:space="preserve">Zajímavou výzkumnou a vývojovou oblastí je </w:t>
      </w:r>
      <w:r w:rsidRPr="0027191E">
        <w:rPr>
          <w:b/>
        </w:rPr>
        <w:t>výroba, distribuce a racionální využití energie (SEO 05)</w:t>
      </w:r>
      <w:r w:rsidRPr="0027191E">
        <w:t xml:space="preserve">. Tato kategorie sdružuje VaV zaměřený na výrobu, distribuci, uchovávání a racionální či efektivní využití veškerých forem energie. </w:t>
      </w:r>
      <w:r w:rsidRPr="006B6AF7">
        <w:t>Výzkum spadající d</w:t>
      </w:r>
      <w:r w:rsidR="007C20B9" w:rsidRPr="006B6AF7">
        <w:t>o tohoto cíle získal v roce 201</w:t>
      </w:r>
      <w:r w:rsidR="00B9116C" w:rsidRPr="006B6AF7">
        <w:t>7</w:t>
      </w:r>
      <w:r w:rsidRPr="006B6AF7">
        <w:t xml:space="preserve"> veřejnou</w:t>
      </w:r>
      <w:r w:rsidR="007C20B9" w:rsidRPr="006B6AF7">
        <w:t xml:space="preserve"> podporu v celkové výši </w:t>
      </w:r>
      <w:r w:rsidR="00EA1C70" w:rsidRPr="006B6AF7">
        <w:t>1 045 </w:t>
      </w:r>
      <w:r w:rsidR="007C20B9" w:rsidRPr="006B6AF7">
        <w:t>mil.</w:t>
      </w:r>
      <w:r w:rsidR="00EA1C70" w:rsidRPr="006B6AF7">
        <w:t> </w:t>
      </w:r>
      <w:r w:rsidR="007C20B9" w:rsidRPr="006B6AF7">
        <w:t>Kč (</w:t>
      </w:r>
      <w:r w:rsidR="00771B63" w:rsidRPr="006B6AF7">
        <w:t>3,</w:t>
      </w:r>
      <w:r w:rsidR="00EA1C70" w:rsidRPr="006B6AF7">
        <w:t>4</w:t>
      </w:r>
      <w:r w:rsidRPr="006B6AF7">
        <w:t xml:space="preserve"> % z celkových GBARD</w:t>
      </w:r>
      <w:r w:rsidRPr="0027191E">
        <w:t>). Úč</w:t>
      </w:r>
      <w:r w:rsidR="007C20B9">
        <w:t>elovou formou byl</w:t>
      </w:r>
      <w:r w:rsidR="00B057FE">
        <w:t>a</w:t>
      </w:r>
      <w:r w:rsidR="007C20B9">
        <w:t xml:space="preserve"> alokován</w:t>
      </w:r>
      <w:r w:rsidR="00B057FE">
        <w:t>a většina prostředků (</w:t>
      </w:r>
      <w:r w:rsidR="00EA1C70" w:rsidRPr="00EA1C70">
        <w:t>1 015</w:t>
      </w:r>
      <w:r w:rsidR="00292F47">
        <w:t> </w:t>
      </w:r>
      <w:r w:rsidR="007C20B9">
        <w:t>mil.</w:t>
      </w:r>
      <w:r w:rsidR="00292F47">
        <w:t> </w:t>
      </w:r>
      <w:r w:rsidR="007C20B9">
        <w:t>Kč</w:t>
      </w:r>
      <w:r w:rsidR="00B057FE">
        <w:t xml:space="preserve">; </w:t>
      </w:r>
      <w:r w:rsidR="007C20B9">
        <w:t>9</w:t>
      </w:r>
      <w:r w:rsidR="00EA1C70">
        <w:t>7</w:t>
      </w:r>
      <w:r w:rsidR="00B057FE">
        <w:t>,</w:t>
      </w:r>
      <w:r w:rsidR="00EA1C70">
        <w:t>2</w:t>
      </w:r>
      <w:r w:rsidRPr="0027191E">
        <w:t xml:space="preserve"> %), </w:t>
      </w:r>
      <w:r w:rsidR="007C20B9">
        <w:t xml:space="preserve">zatímco institucionální pouze </w:t>
      </w:r>
      <w:r w:rsidR="00EA1C70">
        <w:t>29</w:t>
      </w:r>
      <w:r w:rsidRPr="0027191E">
        <w:t xml:space="preserve"> mil. Kč. Podstatná čá</w:t>
      </w:r>
      <w:r w:rsidR="00B736A2">
        <w:t xml:space="preserve">st těchto prostředků (celkem </w:t>
      </w:r>
      <w:r w:rsidR="00C81744">
        <w:t>725</w:t>
      </w:r>
      <w:r w:rsidRPr="0027191E">
        <w:t xml:space="preserve"> mil. Kč) mířila</w:t>
      </w:r>
      <w:r w:rsidR="00B736A2">
        <w:t xml:space="preserve"> do podnikové sféry. Dalších 2</w:t>
      </w:r>
      <w:r w:rsidR="00C81744">
        <w:t>25</w:t>
      </w:r>
      <w:r w:rsidRPr="0027191E">
        <w:t xml:space="preserve"> mil. Kč bylo rozděleno mezi veřejné vysoké školy.</w:t>
      </w:r>
      <w:r w:rsidR="00986ADD">
        <w:t xml:space="preserve"> Výzkumné projekty v oblasti obnovitelných zdrojů energie získaly podporu ve výši </w:t>
      </w:r>
      <w:r w:rsidR="00C81744">
        <w:t>57</w:t>
      </w:r>
      <w:r w:rsidR="00986ADD">
        <w:t xml:space="preserve"> mil. Kč</w:t>
      </w:r>
      <w:r w:rsidR="009A7B85">
        <w:t>.</w:t>
      </w:r>
      <w:r w:rsidR="00986ADD">
        <w:t xml:space="preserve"> </w:t>
      </w:r>
    </w:p>
    <w:p w14:paraId="4EF5A0F5" w14:textId="4666A759" w:rsidR="005C5DD9" w:rsidRDefault="009254CF" w:rsidP="009254CF">
      <w:pPr>
        <w:spacing w:before="120" w:after="120"/>
        <w:jc w:val="both"/>
      </w:pPr>
      <w:r w:rsidRPr="00A235EF">
        <w:t xml:space="preserve">Výzkum v oblasti </w:t>
      </w:r>
      <w:r w:rsidRPr="00A235EF">
        <w:rPr>
          <w:b/>
        </w:rPr>
        <w:t>ochrany životního prostředí (SEO 03)</w:t>
      </w:r>
      <w:r w:rsidRPr="00A235EF">
        <w:t xml:space="preserve"> byl v roce 2</w:t>
      </w:r>
      <w:r w:rsidR="00CC5EC7">
        <w:t>01</w:t>
      </w:r>
      <w:r w:rsidR="00B9116C">
        <w:t>7</w:t>
      </w:r>
      <w:r w:rsidRPr="00A235EF">
        <w:t xml:space="preserve"> podpořen souhrnnou částkou ve </w:t>
      </w:r>
      <w:r w:rsidRPr="006B6AF7">
        <w:t xml:space="preserve">výši </w:t>
      </w:r>
      <w:r w:rsidR="00C81744" w:rsidRPr="006B6AF7">
        <w:t>617</w:t>
      </w:r>
      <w:r w:rsidRPr="006B6AF7">
        <w:t xml:space="preserve"> mil. Kč</w:t>
      </w:r>
      <w:r w:rsidRPr="006B6AF7">
        <w:rPr>
          <w:rStyle w:val="Znakapoznpodarou"/>
        </w:rPr>
        <w:footnoteReference w:id="20"/>
      </w:r>
      <w:r w:rsidRPr="006B6AF7">
        <w:t xml:space="preserve"> odpovídajícím podílu</w:t>
      </w:r>
      <w:r w:rsidR="005F0B96" w:rsidRPr="006B6AF7">
        <w:t xml:space="preserve"> rovných</w:t>
      </w:r>
      <w:r w:rsidRPr="006B6AF7">
        <w:t xml:space="preserve"> 2</w:t>
      </w:r>
      <w:r w:rsidR="005F0B96" w:rsidRPr="006B6AF7">
        <w:t xml:space="preserve"> </w:t>
      </w:r>
      <w:r w:rsidRPr="006B6AF7">
        <w:t>% z celkových GBARD.</w:t>
      </w:r>
      <w:r w:rsidRPr="00A235EF">
        <w:t xml:space="preserve"> </w:t>
      </w:r>
      <w:r w:rsidR="006B6AF7">
        <w:t xml:space="preserve">Tento cíl </w:t>
      </w:r>
      <w:r w:rsidRPr="00A235EF">
        <w:t>zahrnuje dle klasifikace NABS identifikaci a analýzu zdrojů a</w:t>
      </w:r>
      <w:r w:rsidR="00AD7A5A">
        <w:t> </w:t>
      </w:r>
      <w:r w:rsidRPr="00A235EF">
        <w:t>příčin znečišťování, analýzu znečišťujících látek a jejich dopadů na člověka, přírodu a životní prostředí, rozvoj měřících zařízení a monitorovacích systémů.</w:t>
      </w:r>
      <w:r w:rsidR="006B6AF7">
        <w:t xml:space="preserve"> </w:t>
      </w:r>
      <w:r w:rsidR="00916804">
        <w:t>Celkem 95,</w:t>
      </w:r>
      <w:r w:rsidR="00C81744">
        <w:t>8</w:t>
      </w:r>
      <w:r w:rsidR="00916804">
        <w:t xml:space="preserve"> % (</w:t>
      </w:r>
      <w:r w:rsidR="00E877A4" w:rsidRPr="00E877A4">
        <w:t>5</w:t>
      </w:r>
      <w:r w:rsidR="00C81744">
        <w:t>91</w:t>
      </w:r>
      <w:r w:rsidRPr="00971C2D">
        <w:t xml:space="preserve"> mil. Kč) této podpory bylo poskytnuto formou účelové podpory.</w:t>
      </w:r>
    </w:p>
    <w:p w14:paraId="0F85E941" w14:textId="427DBF29" w:rsidR="0057175E" w:rsidRDefault="0057175E" w:rsidP="0057175E">
      <w:pPr>
        <w:spacing w:before="120" w:after="120"/>
        <w:jc w:val="both"/>
      </w:pPr>
      <w:r>
        <w:t xml:space="preserve">Na výzkumné aktivity související s </w:t>
      </w:r>
      <w:r w:rsidRPr="007504B3">
        <w:rPr>
          <w:b/>
        </w:rPr>
        <w:t>průzkumem a využitím zdrojů Země (SEO</w:t>
      </w:r>
      <w:r w:rsidR="00B351AF">
        <w:rPr>
          <w:b/>
        </w:rPr>
        <w:t> </w:t>
      </w:r>
      <w:r w:rsidRPr="007504B3">
        <w:rPr>
          <w:b/>
        </w:rPr>
        <w:t>01</w:t>
      </w:r>
      <w:r w:rsidR="00916804">
        <w:t>) stát v roce 201</w:t>
      </w:r>
      <w:r w:rsidR="004C1B6F">
        <w:t>7</w:t>
      </w:r>
      <w:r>
        <w:t xml:space="preserve"> vyčlenil </w:t>
      </w:r>
      <w:r w:rsidR="004C1B6F" w:rsidRPr="006B6AF7">
        <w:t>412</w:t>
      </w:r>
      <w:r w:rsidRPr="006B6AF7">
        <w:t xml:space="preserve"> mil. Kč</w:t>
      </w:r>
      <w:r w:rsidRPr="006B6AF7">
        <w:rPr>
          <w:rStyle w:val="Znakapoznpodarou"/>
        </w:rPr>
        <w:footnoteReference w:id="21"/>
      </w:r>
      <w:r w:rsidR="00916804" w:rsidRPr="006B6AF7">
        <w:t xml:space="preserve"> (1,</w:t>
      </w:r>
      <w:r w:rsidR="001B6EE0" w:rsidRPr="006B6AF7">
        <w:t>3</w:t>
      </w:r>
      <w:r w:rsidRPr="006B6AF7">
        <w:t xml:space="preserve"> % z celkových GBARD). </w:t>
      </w:r>
      <w:r>
        <w:t xml:space="preserve">Jde o oblast seskupující výzkum kůry a pláště, oceánů, atmosféry a jejich využití, meteorologický průzkum, hydrologii či výzkum klimatu. </w:t>
      </w:r>
    </w:p>
    <w:p w14:paraId="1F52151E" w14:textId="77777777" w:rsidR="0057175E" w:rsidRPr="006B6AF7" w:rsidRDefault="0057175E" w:rsidP="0057175E">
      <w:pPr>
        <w:spacing w:before="120" w:after="120"/>
        <w:jc w:val="both"/>
      </w:pPr>
      <w:r w:rsidRPr="00E23F25">
        <w:rPr>
          <w:b/>
        </w:rPr>
        <w:lastRenderedPageBreak/>
        <w:t>Průzkum a využití vesmíru (SEO 09)</w:t>
      </w:r>
      <w:r>
        <w:t xml:space="preserve"> sdružující vesmírný výzkum a technologie pro civilní účely představoval z hlediska struk</w:t>
      </w:r>
      <w:r w:rsidR="00726B87">
        <w:t>tury státních výdajů v roce 201</w:t>
      </w:r>
      <w:r w:rsidR="00B9116C">
        <w:t>7</w:t>
      </w:r>
      <w:r>
        <w:t xml:space="preserve"> relativně marginální cíl. V daném období v něm bylo na výzkumné činnosti rozděleno </w:t>
      </w:r>
      <w:r w:rsidR="004C1B6F" w:rsidRPr="006B6AF7">
        <w:t>187</w:t>
      </w:r>
      <w:r w:rsidRPr="006B6AF7">
        <w:t xml:space="preserve"> mil. Kč, což odpovídá </w:t>
      </w:r>
      <w:r w:rsidR="00726B87" w:rsidRPr="006B6AF7">
        <w:t>0,</w:t>
      </w:r>
      <w:r w:rsidR="004C1B6F" w:rsidRPr="006B6AF7">
        <w:t>6</w:t>
      </w:r>
      <w:r w:rsidRPr="006B6AF7">
        <w:t xml:space="preserve"> % celkových GBARD</w:t>
      </w:r>
      <w:r w:rsidRPr="006B6AF7">
        <w:rPr>
          <w:rStyle w:val="Znakapoznpodarou"/>
        </w:rPr>
        <w:footnoteReference w:id="22"/>
      </w:r>
      <w:r w:rsidRPr="006B6AF7">
        <w:t xml:space="preserve">. </w:t>
      </w:r>
    </w:p>
    <w:p w14:paraId="2B00E3B6" w14:textId="77777777" w:rsidR="0057175E" w:rsidRPr="007F3CBA" w:rsidRDefault="0057175E" w:rsidP="0057175E">
      <w:pPr>
        <w:spacing w:before="120" w:after="120"/>
        <w:jc w:val="both"/>
        <w:rPr>
          <w:b/>
          <w:i/>
        </w:rPr>
      </w:pPr>
      <w:r w:rsidRPr="004B55B1">
        <w:rPr>
          <w:i/>
        </w:rPr>
        <w:t>Finanční příspěvky směřující do zahraničí, ať už do Evropské kosmické agentury (ESA) či do Evropské organizace pro astronomický výzkum na jižní polokouli (ESO), byly klasifikovány jako nespecifikovaný výzkum (SEO 12). Příspěvek do Evropské kosmické agentury hrazený Ministerstvem školství, mládeže a tělo</w:t>
      </w:r>
      <w:r w:rsidR="00726B87" w:rsidRPr="004B55B1">
        <w:rPr>
          <w:i/>
        </w:rPr>
        <w:t>výchovy představoval v roce 201</w:t>
      </w:r>
      <w:r w:rsidR="007C1D4D" w:rsidRPr="004B55B1">
        <w:rPr>
          <w:i/>
        </w:rPr>
        <w:t>7</w:t>
      </w:r>
      <w:r w:rsidRPr="004B55B1">
        <w:rPr>
          <w:i/>
        </w:rPr>
        <w:t xml:space="preserve"> </w:t>
      </w:r>
      <w:r w:rsidR="00234AC0" w:rsidRPr="004B55B1">
        <w:rPr>
          <w:i/>
        </w:rPr>
        <w:t xml:space="preserve">souhrnnou částku </w:t>
      </w:r>
      <w:r w:rsidR="007C1D4D" w:rsidRPr="004B55B1">
        <w:rPr>
          <w:i/>
        </w:rPr>
        <w:t>328</w:t>
      </w:r>
      <w:r w:rsidRPr="004B55B1">
        <w:rPr>
          <w:i/>
        </w:rPr>
        <w:t xml:space="preserve"> mil. Kč. Příspěvek do Evropské organizace pro astronomický výzkum na jižní polokouli, jenž byl hrazen také z rozpočtu MŠMT (dříve z rozpočtu MZV)</w:t>
      </w:r>
      <w:r w:rsidR="00234AC0" w:rsidRPr="004B55B1">
        <w:rPr>
          <w:i/>
        </w:rPr>
        <w:t xml:space="preserve">, představoval </w:t>
      </w:r>
      <w:r w:rsidR="007F3CBA" w:rsidRPr="004B55B1">
        <w:rPr>
          <w:i/>
        </w:rPr>
        <w:t>4</w:t>
      </w:r>
      <w:r w:rsidR="004B55B1" w:rsidRPr="004B55B1">
        <w:rPr>
          <w:i/>
        </w:rPr>
        <w:t>5</w:t>
      </w:r>
      <w:r w:rsidR="00CA3422">
        <w:rPr>
          <w:i/>
        </w:rPr>
        <w:t> </w:t>
      </w:r>
      <w:r w:rsidRPr="004B55B1">
        <w:rPr>
          <w:i/>
        </w:rPr>
        <w:t>mil.</w:t>
      </w:r>
      <w:r w:rsidR="00CA3422">
        <w:rPr>
          <w:i/>
        </w:rPr>
        <w:t> </w:t>
      </w:r>
      <w:r w:rsidRPr="004B55B1">
        <w:rPr>
          <w:i/>
        </w:rPr>
        <w:t>Kč. V obou případech se jedná o institucionální formu podpory.</w:t>
      </w:r>
    </w:p>
    <w:p w14:paraId="5C2C7F5A" w14:textId="139A3EF0" w:rsidR="0057175E" w:rsidRPr="00E15D60" w:rsidRDefault="0057175E" w:rsidP="0057175E">
      <w:pPr>
        <w:spacing w:before="120" w:after="120"/>
        <w:jc w:val="both"/>
      </w:pPr>
      <w:r w:rsidRPr="00156866">
        <w:t xml:space="preserve">Do </w:t>
      </w:r>
      <w:r w:rsidRPr="00156866">
        <w:rPr>
          <w:b/>
        </w:rPr>
        <w:t>vojenského (obran</w:t>
      </w:r>
      <w:r w:rsidR="009A7B85">
        <w:rPr>
          <w:b/>
        </w:rPr>
        <w:t>n</w:t>
      </w:r>
      <w:r w:rsidRPr="00156866">
        <w:rPr>
          <w:b/>
        </w:rPr>
        <w:t>ého) výzkumu</w:t>
      </w:r>
      <w:r w:rsidR="00726B87">
        <w:t xml:space="preserve"> </w:t>
      </w:r>
      <w:r w:rsidR="00726B87" w:rsidRPr="000674DF">
        <w:rPr>
          <w:b/>
        </w:rPr>
        <w:t xml:space="preserve">(SEO 13) </w:t>
      </w:r>
      <w:r w:rsidR="00726B87">
        <w:t>směřovala v roce 201</w:t>
      </w:r>
      <w:r w:rsidR="00B8310C">
        <w:t>7</w:t>
      </w:r>
      <w:r w:rsidR="00726B87">
        <w:t xml:space="preserve"> finanční podpora ve výši </w:t>
      </w:r>
      <w:r w:rsidR="00B8310C" w:rsidRPr="00B8310C">
        <w:t>378</w:t>
      </w:r>
      <w:r>
        <w:t> mil. </w:t>
      </w:r>
      <w:r w:rsidRPr="00156866">
        <w:t>Kč</w:t>
      </w:r>
      <w:r w:rsidR="00726B87">
        <w:t xml:space="preserve"> (1,</w:t>
      </w:r>
      <w:r w:rsidR="005119CB">
        <w:t>2</w:t>
      </w:r>
      <w:r w:rsidR="00726B87">
        <w:t> % z celkových GBARD)</w:t>
      </w:r>
      <w:r w:rsidRPr="00156866">
        <w:t xml:space="preserve"> alokovaná téměř v celé své výši prostřednictvím rozpočtu Ministerstva obrany. </w:t>
      </w:r>
      <w:r>
        <w:t>Více jak p</w:t>
      </w:r>
      <w:r w:rsidRPr="00156866">
        <w:t>olovinu t</w:t>
      </w:r>
      <w:r w:rsidR="00726B87">
        <w:t>ěchto finančních prostředků (2</w:t>
      </w:r>
      <w:r w:rsidR="00B8310C">
        <w:t>02</w:t>
      </w:r>
      <w:r w:rsidRPr="00156866">
        <w:t xml:space="preserve"> mil. Kč) získaly</w:t>
      </w:r>
      <w:r w:rsidR="00F6646A">
        <w:t xml:space="preserve"> veřejné podniky. V předcházejících sedmi</w:t>
      </w:r>
      <w:r w:rsidRPr="00156866">
        <w:t xml:space="preserve"> letech výše veřejné podpory v</w:t>
      </w:r>
      <w:r w:rsidR="00F6646A">
        <w:t>ojenského výzkumu setrvale klesala</w:t>
      </w:r>
      <w:r w:rsidR="009A3E2E">
        <w:t>.</w:t>
      </w:r>
      <w:r w:rsidR="00F6646A">
        <w:t xml:space="preserve"> V roce 2017 došlo</w:t>
      </w:r>
      <w:r w:rsidR="00530814">
        <w:t xml:space="preserve"> ke zvratu v tomto negativním trendu.</w:t>
      </w:r>
    </w:p>
    <w:p w14:paraId="5970A8AD" w14:textId="77777777" w:rsidR="00F86A7C" w:rsidRPr="00376D7A" w:rsidRDefault="00F86A7C" w:rsidP="006B6AF7">
      <w:pPr>
        <w:pStyle w:val="Nadpis3"/>
        <w:keepNext w:val="0"/>
        <w:widowControl w:val="0"/>
        <w:spacing w:before="240"/>
      </w:pPr>
      <w:r>
        <w:t>Státní rozpočtové výdaje na VaV</w:t>
      </w:r>
      <w:r w:rsidRPr="00B940FD">
        <w:t xml:space="preserve"> </w:t>
      </w:r>
      <w:r>
        <w:t>v mezinárodním kontextu</w:t>
      </w:r>
    </w:p>
    <w:p w14:paraId="5203E683" w14:textId="77777777" w:rsidR="0057175E" w:rsidRDefault="00F40DAC" w:rsidP="00F86A7C">
      <w:pPr>
        <w:spacing w:before="120" w:after="120"/>
        <w:jc w:val="both"/>
      </w:pPr>
      <w:r>
        <w:t>Pro mezinárodní srovnání státních rozpočtových výdajů na VaV se kromě absolutní částky (</w:t>
      </w:r>
      <w:r w:rsidR="00F93756">
        <w:t>např.</w:t>
      </w:r>
      <w:r>
        <w:t xml:space="preserve"> v paritě kupní síly) používají i poměrové ukazatele. Nejběžnější</w:t>
      </w:r>
      <w:r w:rsidR="007E135C">
        <w:t xml:space="preserve"> z nich</w:t>
      </w:r>
      <w:r>
        <w:t xml:space="preserve"> je podíl státních rozpočtových výdajů</w:t>
      </w:r>
      <w:r w:rsidR="00CD7D97">
        <w:t xml:space="preserve"> na VaV</w:t>
      </w:r>
      <w:r>
        <w:t xml:space="preserve"> na hrubém domácím produktu (HDP). </w:t>
      </w:r>
    </w:p>
    <w:p w14:paraId="2F87F255" w14:textId="26B745F0" w:rsidR="006B6AF7" w:rsidRPr="00CB6838" w:rsidRDefault="006B6AF7" w:rsidP="006B6AF7">
      <w:pPr>
        <w:spacing w:before="120"/>
        <w:jc w:val="both"/>
        <w:rPr>
          <w:b/>
        </w:rPr>
      </w:pPr>
      <w:r w:rsidRPr="00C71B43">
        <w:rPr>
          <w:b/>
        </w:rPr>
        <w:t>GRAF 1-</w:t>
      </w:r>
      <w:r>
        <w:rPr>
          <w:b/>
        </w:rPr>
        <w:t>11</w:t>
      </w:r>
      <w:r w:rsidRPr="00C71B43">
        <w:rPr>
          <w:b/>
        </w:rPr>
        <w:t xml:space="preserve">: </w:t>
      </w:r>
      <w:r w:rsidRPr="00C43974">
        <w:rPr>
          <w:b/>
        </w:rPr>
        <w:t xml:space="preserve">Státní rozpočtové výdaje na výzkum a vývoj v zemích EU a vybraných státech světa </w:t>
      </w:r>
      <w:r>
        <w:rPr>
          <w:b/>
        </w:rPr>
        <w:t>–</w:t>
      </w:r>
      <w:r w:rsidRPr="00C43974">
        <w:rPr>
          <w:b/>
        </w:rPr>
        <w:t xml:space="preserve"> jako procentní podíl na hrubém domácím produktu (HDP) těchto zemí</w:t>
      </w:r>
      <w:r>
        <w:rPr>
          <w:b/>
        </w:rPr>
        <w:t>; 2010 a 2016</w:t>
      </w:r>
      <w:bookmarkStart w:id="0" w:name="_GoBack"/>
      <w:bookmarkEnd w:id="0"/>
    </w:p>
    <w:p w14:paraId="0D687974" w14:textId="42D07ADD" w:rsidR="006B6AF7" w:rsidRDefault="00363114" w:rsidP="006B6AF7">
      <w:pPr>
        <w:spacing w:before="120" w:after="120"/>
        <w:jc w:val="both"/>
      </w:pPr>
      <w:r>
        <w:rPr>
          <w:noProof/>
        </w:rPr>
        <w:drawing>
          <wp:inline distT="0" distB="0" distL="0" distR="0" wp14:anchorId="53063BAA" wp14:editId="79BEB3A2">
            <wp:extent cx="6084358" cy="3240000"/>
            <wp:effectExtent l="0" t="0" r="0" b="0"/>
            <wp:docPr id="2" name="Graf 2">
              <a:extLst xmlns:a="http://schemas.openxmlformats.org/drawingml/2006/main">
                <a:ext uri="{FF2B5EF4-FFF2-40B4-BE49-F238E27FC236}">
                  <a16:creationId xmlns:a16="http://schemas.microsoft.com/office/drawing/2014/main" id="{CB6BD7F1-FD3B-4211-9B10-D60C63F1FB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C08110F" w14:textId="383230A5" w:rsidR="006B6AF7" w:rsidRPr="006A3E4E" w:rsidRDefault="006B6AF7" w:rsidP="006B6AF7">
      <w:pPr>
        <w:spacing w:before="120" w:after="120"/>
        <w:jc w:val="both"/>
        <w:rPr>
          <w:sz w:val="16"/>
        </w:rPr>
      </w:pPr>
      <w:r w:rsidRPr="006A3E4E">
        <w:rPr>
          <w:sz w:val="16"/>
        </w:rPr>
        <w:t>Zdroj: Eurostat</w:t>
      </w:r>
      <w:r>
        <w:rPr>
          <w:sz w:val="16"/>
        </w:rPr>
        <w:t xml:space="preserve"> a vlastní dopočty ČSÚ</w:t>
      </w:r>
    </w:p>
    <w:p w14:paraId="7AAF1E7B" w14:textId="2CEFE922" w:rsidR="00B61FAF" w:rsidRDefault="00B021DE" w:rsidP="00F86A7C">
      <w:pPr>
        <w:spacing w:before="120" w:after="120"/>
        <w:jc w:val="both"/>
      </w:pPr>
      <w:r>
        <w:t>V</w:t>
      </w:r>
      <w:r w:rsidR="00B61FAF">
        <w:t> případě Česka činil</w:t>
      </w:r>
      <w:r>
        <w:t xml:space="preserve"> tento podíl v roce 2016</w:t>
      </w:r>
      <w:r w:rsidR="00B61FAF">
        <w:t xml:space="preserve"> </w:t>
      </w:r>
      <w:r>
        <w:t>0,59 %. Přitom průměrná hodnota za EU28 dosáhla 0</w:t>
      </w:r>
      <w:r w:rsidR="00564425">
        <w:t>,</w:t>
      </w:r>
      <w:r>
        <w:t>63</w:t>
      </w:r>
      <w:r w:rsidR="00564425">
        <w:t> </w:t>
      </w:r>
      <w:r>
        <w:t xml:space="preserve">%. Česko se </w:t>
      </w:r>
      <w:r w:rsidR="007D3AD7">
        <w:t xml:space="preserve">tak </w:t>
      </w:r>
      <w:r>
        <w:t xml:space="preserve">nacházelo pod průměrem EU28. Nejvyšší </w:t>
      </w:r>
      <w:r w:rsidR="009A7B85">
        <w:t xml:space="preserve">podíl </w:t>
      </w:r>
      <w:r>
        <w:t>státní</w:t>
      </w:r>
      <w:r w:rsidR="005C0359">
        <w:t xml:space="preserve"> rozpočtové</w:t>
      </w:r>
      <w:r>
        <w:t xml:space="preserve"> podpory VaV </w:t>
      </w:r>
      <w:r w:rsidR="009A7B85">
        <w:t>na </w:t>
      </w:r>
      <w:r>
        <w:t>HDP ze zemí EU zaznamenaly Dánsko (0,92 %), Německo (0,87 %) a Finsko (0,85 %).</w:t>
      </w:r>
      <w:r w:rsidR="005A40D8">
        <w:t xml:space="preserve"> Na opačné straně žebříčku </w:t>
      </w:r>
      <w:r w:rsidR="003702C7">
        <w:lastRenderedPageBreak/>
        <w:t>s nejniž</w:t>
      </w:r>
      <w:r w:rsidR="00564425">
        <w:t>š</w:t>
      </w:r>
      <w:r w:rsidR="003702C7">
        <w:t>ím podílem byly Malta (0,20 %), Bulharsko (0,20 %) a Lotyško (0,21 %).</w:t>
      </w:r>
      <w:r w:rsidR="00DA2417">
        <w:t xml:space="preserve"> V žádné zemi EU nepřesáhl podíl jedno procento HDP. </w:t>
      </w:r>
      <w:r w:rsidR="00AC1015">
        <w:t xml:space="preserve">Podíl státních rozpočtových výdajů na VaV na HDP </w:t>
      </w:r>
      <w:r w:rsidR="005C0359">
        <w:t>ve většině zemí  </w:t>
      </w:r>
      <w:r w:rsidR="00ED3885">
        <w:t xml:space="preserve">ve srovnání s rokem 2010 </w:t>
      </w:r>
      <w:r w:rsidR="005C0359">
        <w:t>pokles</w:t>
      </w:r>
      <w:r w:rsidR="00ED3885">
        <w:t>l</w:t>
      </w:r>
      <w:r w:rsidR="00363114">
        <w:t xml:space="preserve"> nebo stagnoval. </w:t>
      </w:r>
    </w:p>
    <w:p w14:paraId="2B314E4B" w14:textId="0AC970BB" w:rsidR="00D735DD" w:rsidRPr="00B021DE" w:rsidRDefault="00D735DD" w:rsidP="00F86A7C">
      <w:pPr>
        <w:spacing w:before="120" w:after="120"/>
        <w:jc w:val="both"/>
      </w:pPr>
      <w:r>
        <w:t>Z mimoevropských zemí dosáhl</w:t>
      </w:r>
      <w:r w:rsidR="00176926">
        <w:t>a</w:t>
      </w:r>
      <w:r>
        <w:t xml:space="preserve"> nejvyššího podílu </w:t>
      </w:r>
      <w:r w:rsidR="00176926">
        <w:t>Jižní K</w:t>
      </w:r>
      <w:r w:rsidR="000F5F50">
        <w:t>orea, kde hodnota ukazatele</w:t>
      </w:r>
      <w:r w:rsidR="00176926">
        <w:t xml:space="preserve"> převýšil</w:t>
      </w:r>
      <w:r w:rsidR="000F5F50">
        <w:t>a</w:t>
      </w:r>
      <w:r w:rsidR="00176926">
        <w:t xml:space="preserve"> jedno procentu HDP (konkrétně 1,2 %).</w:t>
      </w:r>
      <w:r w:rsidR="00F221A9">
        <w:t xml:space="preserve"> Téměř jedno procento zaznamenalo také Norsko (0,99 %).</w:t>
      </w:r>
      <w:r w:rsidR="00D3715D">
        <w:t xml:space="preserve"> V případě Spojených států byl podíl nižší (0,81 %), stejně tak jako u Japonska (0,64 %).</w:t>
      </w:r>
      <w:r w:rsidR="00E14A0B">
        <w:t xml:space="preserve"> </w:t>
      </w:r>
    </w:p>
    <w:p w14:paraId="1CC96193" w14:textId="72D32EBB" w:rsidR="006B6AF7" w:rsidRPr="00CB6838" w:rsidRDefault="006B6AF7" w:rsidP="006B6AF7">
      <w:pPr>
        <w:spacing w:before="120"/>
        <w:jc w:val="both"/>
        <w:rPr>
          <w:b/>
        </w:rPr>
      </w:pPr>
      <w:r w:rsidRPr="00C71B43">
        <w:rPr>
          <w:b/>
        </w:rPr>
        <w:t>GRAF 1-</w:t>
      </w:r>
      <w:r>
        <w:rPr>
          <w:b/>
        </w:rPr>
        <w:t>12</w:t>
      </w:r>
      <w:r w:rsidRPr="00C71B43">
        <w:rPr>
          <w:b/>
        </w:rPr>
        <w:t xml:space="preserve">: </w:t>
      </w:r>
      <w:r w:rsidRPr="00C43974">
        <w:rPr>
          <w:b/>
        </w:rPr>
        <w:t xml:space="preserve">Státní rozpočtové výdaje na výzkum a vývoj </w:t>
      </w:r>
      <w:r>
        <w:rPr>
          <w:b/>
        </w:rPr>
        <w:t>– V</w:t>
      </w:r>
      <w:r w:rsidRPr="00523ED3">
        <w:rPr>
          <w:b/>
        </w:rPr>
        <w:t>šeobecný rozvoj znalostí</w:t>
      </w:r>
      <w:r>
        <w:rPr>
          <w:b/>
        </w:rPr>
        <w:t xml:space="preserve"> (SEO12+SEO13) </w:t>
      </w:r>
      <w:r w:rsidRPr="00C43974">
        <w:rPr>
          <w:b/>
        </w:rPr>
        <w:t>v zemích EU a vybraných státech světa</w:t>
      </w:r>
      <w:r>
        <w:rPr>
          <w:b/>
        </w:rPr>
        <w:t xml:space="preserve"> (% podíl na celkových GBARD); 2016</w:t>
      </w:r>
    </w:p>
    <w:p w14:paraId="74B1067C" w14:textId="77777777" w:rsidR="006B6AF7" w:rsidRDefault="006B6AF7" w:rsidP="006B6AF7">
      <w:pPr>
        <w:spacing w:before="120" w:after="120"/>
        <w:jc w:val="both"/>
      </w:pPr>
      <w:r>
        <w:rPr>
          <w:noProof/>
        </w:rPr>
        <w:drawing>
          <wp:inline distT="0" distB="0" distL="0" distR="0" wp14:anchorId="7149F249" wp14:editId="2E5A71B2">
            <wp:extent cx="6105525" cy="3060000"/>
            <wp:effectExtent l="0" t="0" r="0" b="7620"/>
            <wp:docPr id="13" name="Graf 13">
              <a:extLst xmlns:a="http://schemas.openxmlformats.org/drawingml/2006/main">
                <a:ext uri="{FF2B5EF4-FFF2-40B4-BE49-F238E27FC236}">
                  <a16:creationId xmlns:a16="http://schemas.microsoft.com/office/drawing/2014/main" id="{F3AC0DAB-A0F2-4E37-8611-F12E4A58F5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652CB31" w14:textId="77777777" w:rsidR="006B6AF7" w:rsidRPr="006A3E4E" w:rsidRDefault="006B6AF7" w:rsidP="006B6AF7">
      <w:pPr>
        <w:spacing w:before="120" w:after="120"/>
        <w:jc w:val="both"/>
        <w:rPr>
          <w:sz w:val="16"/>
        </w:rPr>
      </w:pPr>
      <w:r w:rsidRPr="006A3E4E">
        <w:rPr>
          <w:sz w:val="16"/>
        </w:rPr>
        <w:t>Zdroj: Eurostat</w:t>
      </w:r>
    </w:p>
    <w:p w14:paraId="4EA438C1" w14:textId="4FD1F875" w:rsidR="00304EEE" w:rsidRDefault="00D2116B" w:rsidP="009254CF">
      <w:pPr>
        <w:spacing w:before="120" w:after="120"/>
        <w:jc w:val="both"/>
      </w:pPr>
      <w:r>
        <w:t>V zemích EU ne</w:t>
      </w:r>
      <w:r w:rsidR="002A6FB6">
        <w:t>j</w:t>
      </w:r>
      <w:r>
        <w:t>větší část podpory směřuje do všeobecného rozvoje</w:t>
      </w:r>
      <w:r w:rsidR="006C4B09">
        <w:t xml:space="preserve"> znalostí</w:t>
      </w:r>
      <w:r w:rsidR="00B810C3">
        <w:rPr>
          <w:rStyle w:val="Znakapoznpodarou"/>
        </w:rPr>
        <w:footnoteReference w:id="23"/>
      </w:r>
      <w:r>
        <w:t xml:space="preserve">, kam se řadí výzkum financovaný ze všeobecných univerzitních fondů (NABS2007-SEO12) a výzkum financovaný z ostatních zdrojů (NABS2007-SEO13). Jedná se převážně o základní výzkum prováděný vysokými školami nebo veřejnými výzkumnými </w:t>
      </w:r>
      <w:r w:rsidR="00F510B3">
        <w:t>institucemi</w:t>
      </w:r>
      <w:r>
        <w:t>.</w:t>
      </w:r>
      <w:r w:rsidR="006C4B09">
        <w:t xml:space="preserve"> </w:t>
      </w:r>
      <w:r w:rsidR="00D2266E">
        <w:t xml:space="preserve">Výše podpory </w:t>
      </w:r>
      <w:r w:rsidR="002A6FB6">
        <w:t xml:space="preserve">v těchto socioekonomických cílech </w:t>
      </w:r>
      <w:r w:rsidR="00D2266E">
        <w:t xml:space="preserve">ovlivňuje systém veřejné podpory VaV uplatňovaný v dané zemi. </w:t>
      </w:r>
      <w:r w:rsidR="006C4B09">
        <w:t>V roce 2016 byla v průměru EU28 alokována do všeobecného rozvoje znalostí více než polovina celkové státní rozpočtové podpory na VaV (konkrétně 53 %).</w:t>
      </w:r>
      <w:r w:rsidR="008C4943">
        <w:t xml:space="preserve"> V případě Česka </w:t>
      </w:r>
      <w:r w:rsidR="00AD34F9">
        <w:t xml:space="preserve">tento podíl dosáhl 62 %. </w:t>
      </w:r>
      <w:r w:rsidR="00EB3C5F">
        <w:t>Vyšší podíl zaznamenalo například Rakousko (69 %), Slovensko (70 %) a</w:t>
      </w:r>
      <w:r w:rsidR="005E4190">
        <w:t> </w:t>
      </w:r>
      <w:r w:rsidR="00EB3C5F">
        <w:t xml:space="preserve">Nizozemsko (76 %). </w:t>
      </w:r>
      <w:r w:rsidR="005E4190">
        <w:t xml:space="preserve">Mezi </w:t>
      </w:r>
      <w:r w:rsidR="003D6DE4">
        <w:t>členskými zeměmi EU vůbec nejvyššího podílu dosáhla Malta (95 %). Na opačném konci žebříčku zemí dle výše podílu se umístila Velká Británie (33 %).</w:t>
      </w:r>
      <w:r w:rsidR="00CA00B2">
        <w:t xml:space="preserve"> </w:t>
      </w:r>
    </w:p>
    <w:p w14:paraId="0D2216C3" w14:textId="17D7F05D" w:rsidR="00D2116B" w:rsidRDefault="00CA00B2" w:rsidP="000674DF">
      <w:pPr>
        <w:spacing w:before="120" w:after="240"/>
        <w:jc w:val="both"/>
      </w:pPr>
      <w:r>
        <w:t>Z</w:t>
      </w:r>
      <w:r w:rsidR="00C107FB">
        <w:t> </w:t>
      </w:r>
      <w:r>
        <w:t>mimo</w:t>
      </w:r>
      <w:r w:rsidR="00C107FB">
        <w:t xml:space="preserve">evropských zemí byl podíl státních rozpočtových výdajů na VaV směřovaný do všeobecného rozvoje znalostí velmi nízký ve Spojených státech (pouze 8 %), kde </w:t>
      </w:r>
      <w:r w:rsidR="005E4190">
        <w:t xml:space="preserve">byl </w:t>
      </w:r>
      <w:r w:rsidR="00C107FB">
        <w:t>nejvíce podpořen výzkum a vývoj v oblasti zdraví (24 %) a p</w:t>
      </w:r>
      <w:r w:rsidR="00C107FB" w:rsidRPr="00C107FB">
        <w:t>růzkum a využití kosmu</w:t>
      </w:r>
      <w:r w:rsidR="00C107FB">
        <w:t xml:space="preserve"> (8,6 %).</w:t>
      </w:r>
      <w:r w:rsidR="0036128C">
        <w:t xml:space="preserve"> Ve Spojených státech je veřejná podpora </w:t>
      </w:r>
      <w:r w:rsidR="00B65695">
        <w:t xml:space="preserve">VaV </w:t>
      </w:r>
      <w:r w:rsidR="0036128C">
        <w:t xml:space="preserve">organizována </w:t>
      </w:r>
      <w:r w:rsidR="00B65695">
        <w:t>odlišně</w:t>
      </w:r>
      <w:r w:rsidR="0036128C">
        <w:t xml:space="preserve"> než v evropských zemích. </w:t>
      </w:r>
      <w:r w:rsidR="006E02AE">
        <w:t>Naproti tomu v Japonsku má veřejná podpora VaV na vysokých školách</w:t>
      </w:r>
      <w:r w:rsidR="00E50241">
        <w:t xml:space="preserve"> a</w:t>
      </w:r>
      <w:r w:rsidR="005E4190">
        <w:t> </w:t>
      </w:r>
      <w:r w:rsidR="00E50241">
        <w:t>ve veřejných institucích</w:t>
      </w:r>
      <w:r w:rsidR="006E02AE">
        <w:t xml:space="preserve"> tradici. </w:t>
      </w:r>
      <w:r w:rsidR="00CC7EBE">
        <w:t xml:space="preserve">Podíl </w:t>
      </w:r>
      <w:r w:rsidR="002A6FB6">
        <w:t>v</w:t>
      </w:r>
      <w:r w:rsidR="00D362CA">
        <w:t>ýdajů na</w:t>
      </w:r>
      <w:r w:rsidR="002A6FB6">
        <w:t xml:space="preserve"> </w:t>
      </w:r>
      <w:r w:rsidR="00D362CA">
        <w:t>všeobecný rozvoj</w:t>
      </w:r>
      <w:r w:rsidR="00CC7EBE">
        <w:t xml:space="preserve"> znalostí na celkových státních rozpočtových výdajích na VaV</w:t>
      </w:r>
      <w:r w:rsidR="006E02AE">
        <w:t xml:space="preserve"> </w:t>
      </w:r>
      <w:r w:rsidR="00CC7EBE">
        <w:t xml:space="preserve">přesáhl padesát procent (konkrétně 57 %). V Jižní Koreji to bylo o </w:t>
      </w:r>
      <w:r w:rsidR="000F2F8A">
        <w:t>dvě třetiny</w:t>
      </w:r>
      <w:r w:rsidR="00CC7EBE">
        <w:t xml:space="preserve"> méně (21 %).</w:t>
      </w:r>
      <w:r w:rsidR="00C107FB">
        <w:t xml:space="preserve"> </w:t>
      </w:r>
    </w:p>
    <w:sectPr w:rsidR="00D2116B" w:rsidSect="00894405">
      <w:headerReference w:type="even" r:id="rId27"/>
      <w:headerReference w:type="default" r:id="rId28"/>
      <w:footerReference w:type="even" r:id="rId29"/>
      <w:footerReference w:type="default" r:id="rId30"/>
      <w:pgSz w:w="11906" w:h="16838" w:code="9"/>
      <w:pgMar w:top="1134" w:right="1134" w:bottom="1418" w:left="1134" w:header="680"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E9D7E" w14:textId="77777777" w:rsidR="002C23E4" w:rsidRDefault="002C23E4" w:rsidP="00E71A58">
      <w:r>
        <w:separator/>
      </w:r>
    </w:p>
  </w:endnote>
  <w:endnote w:type="continuationSeparator" w:id="0">
    <w:p w14:paraId="7999807F" w14:textId="77777777" w:rsidR="002C23E4" w:rsidRDefault="002C23E4"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36DAD" w14:textId="07DF89FE" w:rsidR="00B1640F" w:rsidRDefault="00B1640F" w:rsidP="003A6B38">
    <w:pPr>
      <w:pStyle w:val="Zpat"/>
      <w:tabs>
        <w:tab w:val="clear" w:pos="4536"/>
        <w:tab w:val="clear" w:pos="9072"/>
        <w:tab w:val="center" w:pos="4820"/>
        <w:tab w:val="right" w:pos="9639"/>
      </w:tabs>
    </w:pPr>
    <w:r>
      <w:rPr>
        <w:noProof/>
        <w:lang w:eastAsia="cs-CZ"/>
      </w:rPr>
      <w:drawing>
        <wp:anchor distT="0" distB="0" distL="114300" distR="114300" simplePos="0" relativeHeight="251659264" behindDoc="0" locked="0" layoutInCell="1" allowOverlap="1" wp14:anchorId="6E04A6D9" wp14:editId="4381BBE2">
          <wp:simplePos x="0" y="0"/>
          <wp:positionH relativeFrom="column">
            <wp:posOffset>5660390</wp:posOffset>
          </wp:positionH>
          <wp:positionV relativeFrom="paragraph">
            <wp:posOffset>-52070</wp:posOffset>
          </wp:positionV>
          <wp:extent cx="466725" cy="219075"/>
          <wp:effectExtent l="0" t="0" r="9525" b="9525"/>
          <wp:wrapNone/>
          <wp:docPr id="16" name="obrázek 4"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escriptio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219075"/>
                  </a:xfrm>
                  <a:prstGeom prst="rect">
                    <a:avLst/>
                  </a:prstGeom>
                  <a:noFill/>
                </pic:spPr>
              </pic:pic>
            </a:graphicData>
          </a:graphic>
        </wp:anchor>
      </w:drawing>
    </w:r>
    <w:r w:rsidRPr="005A21E0">
      <w:rPr>
        <w:rFonts w:ascii="Arial" w:hAnsi="Arial" w:cs="Arial"/>
        <w:sz w:val="16"/>
        <w:szCs w:val="16"/>
      </w:rPr>
      <w:fldChar w:fldCharType="begin"/>
    </w:r>
    <w:r w:rsidRPr="005A21E0">
      <w:rPr>
        <w:rFonts w:ascii="Arial" w:hAnsi="Arial" w:cs="Arial"/>
        <w:sz w:val="16"/>
        <w:szCs w:val="16"/>
      </w:rPr>
      <w:instrText>PAGE   \* MERGEFORMAT</w:instrText>
    </w:r>
    <w:r w:rsidRPr="005A21E0">
      <w:rPr>
        <w:rFonts w:ascii="Arial" w:hAnsi="Arial" w:cs="Arial"/>
        <w:sz w:val="16"/>
        <w:szCs w:val="16"/>
      </w:rPr>
      <w:fldChar w:fldCharType="separate"/>
    </w:r>
    <w:r w:rsidR="00FE1CD8">
      <w:rPr>
        <w:rFonts w:ascii="Arial" w:hAnsi="Arial" w:cs="Arial"/>
        <w:noProof/>
        <w:sz w:val="16"/>
        <w:szCs w:val="16"/>
      </w:rPr>
      <w:t>12</w:t>
    </w:r>
    <w:r w:rsidRPr="005A21E0">
      <w:rPr>
        <w:rFonts w:ascii="Arial" w:hAnsi="Arial" w:cs="Arial"/>
        <w:sz w:val="16"/>
        <w:szCs w:val="16"/>
      </w:rPr>
      <w:fldChar w:fldCharType="end"/>
    </w:r>
    <w:r>
      <w:rPr>
        <w:rFonts w:ascii="Arial" w:hAnsi="Arial" w:cs="Arial"/>
        <w:sz w:val="16"/>
        <w:szCs w:val="16"/>
      </w:rPr>
      <w:tab/>
      <w:t>2017</w:t>
    </w: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B68CD" w14:textId="77777777" w:rsidR="00B1640F" w:rsidRDefault="00B1640F" w:rsidP="003A6B38">
    <w:pPr>
      <w:pStyle w:val="Zpat"/>
      <w:tabs>
        <w:tab w:val="clear" w:pos="4536"/>
        <w:tab w:val="clear" w:pos="9072"/>
        <w:tab w:val="left" w:pos="1134"/>
        <w:tab w:val="left" w:pos="1920"/>
        <w:tab w:val="center" w:pos="4820"/>
        <w:tab w:val="right" w:pos="9639"/>
      </w:tabs>
    </w:pPr>
    <w:r>
      <w:rPr>
        <w:noProof/>
        <w:lang w:eastAsia="cs-CZ"/>
      </w:rPr>
      <w:drawing>
        <wp:anchor distT="0" distB="0" distL="114300" distR="114300" simplePos="0" relativeHeight="251656192" behindDoc="0" locked="0" layoutInCell="1" allowOverlap="1" wp14:anchorId="6311B0FB" wp14:editId="38BF6BE5">
          <wp:simplePos x="0" y="0"/>
          <wp:positionH relativeFrom="column">
            <wp:posOffset>3810</wp:posOffset>
          </wp:positionH>
          <wp:positionV relativeFrom="paragraph">
            <wp:posOffset>90170</wp:posOffset>
          </wp:positionV>
          <wp:extent cx="495300" cy="266700"/>
          <wp:effectExtent l="0" t="0" r="0" b="0"/>
          <wp:wrapNone/>
          <wp:docPr id="17" name="obrázek 3"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Descriptio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266700"/>
                  </a:xfrm>
                  <a:prstGeom prst="rect">
                    <a:avLst/>
                  </a:prstGeom>
                  <a:noFill/>
                </pic:spPr>
              </pic:pic>
            </a:graphicData>
          </a:graphic>
        </wp:anchor>
      </w:drawing>
    </w:r>
    <w:r>
      <w:tab/>
    </w:r>
    <w:r>
      <w:tab/>
    </w:r>
    <w:r w:rsidRPr="00DC5B3B">
      <w:t xml:space="preserve">                              </w:t>
    </w:r>
  </w:p>
  <w:p w14:paraId="3B50573D" w14:textId="70B31341" w:rsidR="00B1640F" w:rsidRPr="000E52FD" w:rsidRDefault="00B1640F" w:rsidP="00816313">
    <w:pPr>
      <w:pStyle w:val="Zpat"/>
      <w:tabs>
        <w:tab w:val="clear" w:pos="9072"/>
        <w:tab w:val="right" w:pos="9638"/>
      </w:tabs>
      <w:rPr>
        <w:rFonts w:ascii="Arial" w:hAnsi="Arial" w:cs="Arial"/>
        <w:sz w:val="16"/>
        <w:szCs w:val="16"/>
      </w:rPr>
    </w:pPr>
    <w:r>
      <w:rPr>
        <w:noProof/>
        <w:szCs w:val="16"/>
        <w:lang w:eastAsia="cs-CZ"/>
      </w:rPr>
      <w:drawing>
        <wp:anchor distT="0" distB="0" distL="114300" distR="114300" simplePos="0" relativeHeight="251661312" behindDoc="0" locked="0" layoutInCell="1" allowOverlap="1" wp14:anchorId="229AFA73" wp14:editId="2E86C17B">
          <wp:simplePos x="0" y="0"/>
          <wp:positionH relativeFrom="column">
            <wp:align>left</wp:align>
          </wp:positionH>
          <wp:positionV relativeFrom="paragraph">
            <wp:posOffset>-122555</wp:posOffset>
          </wp:positionV>
          <wp:extent cx="510540" cy="272415"/>
          <wp:effectExtent l="0" t="0" r="0" b="6985"/>
          <wp:wrapNone/>
          <wp:docPr id="10" name="Picture 10"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443">
      <w:rPr>
        <w:szCs w:val="16"/>
      </w:rPr>
      <w:tab/>
    </w:r>
    <w:r w:rsidRPr="000E52FD">
      <w:rPr>
        <w:rStyle w:val="ZpatChar"/>
        <w:rFonts w:ascii="Arial" w:hAnsi="Arial" w:cs="Arial"/>
        <w:sz w:val="16"/>
        <w:szCs w:val="16"/>
      </w:rPr>
      <w:t>2017</w:t>
    </w:r>
    <w:r w:rsidRPr="000E52FD">
      <w:rPr>
        <w:rFonts w:ascii="Arial" w:hAnsi="Arial" w:cs="Arial"/>
        <w:sz w:val="16"/>
        <w:szCs w:val="16"/>
      </w:rPr>
      <w:tab/>
    </w:r>
    <w:r w:rsidRPr="000E52FD">
      <w:rPr>
        <w:rStyle w:val="ZpatChar"/>
        <w:rFonts w:ascii="Arial" w:hAnsi="Arial" w:cs="Arial"/>
        <w:sz w:val="16"/>
        <w:szCs w:val="16"/>
      </w:rPr>
      <w:fldChar w:fldCharType="begin"/>
    </w:r>
    <w:r w:rsidRPr="000E52FD">
      <w:rPr>
        <w:rStyle w:val="ZpatChar"/>
        <w:rFonts w:ascii="Arial" w:hAnsi="Arial" w:cs="Arial"/>
        <w:sz w:val="16"/>
        <w:szCs w:val="16"/>
      </w:rPr>
      <w:instrText>PAGE   \* MERGEFORMAT</w:instrText>
    </w:r>
    <w:r w:rsidRPr="000E52FD">
      <w:rPr>
        <w:rStyle w:val="ZpatChar"/>
        <w:rFonts w:ascii="Arial" w:hAnsi="Arial" w:cs="Arial"/>
        <w:sz w:val="16"/>
        <w:szCs w:val="16"/>
      </w:rPr>
      <w:fldChar w:fldCharType="separate"/>
    </w:r>
    <w:r w:rsidR="00FE1CD8">
      <w:rPr>
        <w:rStyle w:val="ZpatChar"/>
        <w:rFonts w:ascii="Arial" w:hAnsi="Arial" w:cs="Arial"/>
        <w:noProof/>
        <w:sz w:val="16"/>
        <w:szCs w:val="16"/>
      </w:rPr>
      <w:t>13</w:t>
    </w:r>
    <w:r w:rsidRPr="000E52FD">
      <w:rPr>
        <w:rStyle w:val="ZpatCha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3BB96" w14:textId="77777777" w:rsidR="002C23E4" w:rsidRDefault="002C23E4" w:rsidP="00E71A58">
      <w:r>
        <w:separator/>
      </w:r>
    </w:p>
  </w:footnote>
  <w:footnote w:type="continuationSeparator" w:id="0">
    <w:p w14:paraId="0F68B2B0" w14:textId="77777777" w:rsidR="002C23E4" w:rsidRDefault="002C23E4" w:rsidP="00E71A58">
      <w:r>
        <w:continuationSeparator/>
      </w:r>
    </w:p>
  </w:footnote>
  <w:footnote w:id="1">
    <w:p w14:paraId="02B94BE7" w14:textId="75E4176E" w:rsidR="00B1640F" w:rsidRPr="009E431C" w:rsidRDefault="00B1640F" w:rsidP="00E60B2C">
      <w:pPr>
        <w:pStyle w:val="Textpoznpodarou"/>
        <w:spacing w:after="60"/>
        <w:rPr>
          <w:rFonts w:cs="Arial"/>
          <w:sz w:val="18"/>
          <w:szCs w:val="18"/>
        </w:rPr>
      </w:pPr>
      <w:r w:rsidRPr="00B40138">
        <w:rPr>
          <w:rStyle w:val="Znakapoznpodarou"/>
          <w:rFonts w:cs="Arial"/>
          <w:sz w:val="18"/>
          <w:szCs w:val="18"/>
        </w:rPr>
        <w:footnoteRef/>
      </w:r>
      <w:r w:rsidRPr="00B40138">
        <w:rPr>
          <w:rFonts w:cs="Arial"/>
          <w:sz w:val="18"/>
          <w:szCs w:val="18"/>
        </w:rPr>
        <w:t xml:space="preserve"> </w:t>
      </w:r>
      <w:r>
        <w:rPr>
          <w:rFonts w:cs="Arial"/>
          <w:sz w:val="18"/>
          <w:szCs w:val="18"/>
        </w:rPr>
        <w:t>Veškeré údaje týkající se státních rozpočtových výdajů na VaV (</w:t>
      </w:r>
      <w:r w:rsidR="00BA1EEC">
        <w:rPr>
          <w:rFonts w:cs="Arial"/>
          <w:sz w:val="18"/>
          <w:szCs w:val="18"/>
        </w:rPr>
        <w:t xml:space="preserve">ukazatel </w:t>
      </w:r>
      <w:r>
        <w:rPr>
          <w:rFonts w:cs="Arial"/>
          <w:sz w:val="18"/>
          <w:szCs w:val="18"/>
        </w:rPr>
        <w:t>GBARD)</w:t>
      </w:r>
      <w:r w:rsidRPr="00B40138">
        <w:rPr>
          <w:rFonts w:cs="Arial"/>
          <w:sz w:val="18"/>
          <w:szCs w:val="18"/>
        </w:rPr>
        <w:t xml:space="preserve"> vyjadřují </w:t>
      </w:r>
      <w:r w:rsidR="00BA1EEC">
        <w:rPr>
          <w:rFonts w:cs="Arial"/>
          <w:sz w:val="18"/>
          <w:szCs w:val="18"/>
        </w:rPr>
        <w:t xml:space="preserve">skutečný </w:t>
      </w:r>
      <w:r w:rsidRPr="00B40138">
        <w:rPr>
          <w:rFonts w:cs="Arial"/>
          <w:sz w:val="18"/>
          <w:szCs w:val="18"/>
        </w:rPr>
        <w:t xml:space="preserve">stav </w:t>
      </w:r>
      <w:r w:rsidR="00BA1EEC">
        <w:rPr>
          <w:rFonts w:cs="Arial"/>
          <w:sz w:val="18"/>
          <w:szCs w:val="18"/>
        </w:rPr>
        <w:t xml:space="preserve">dle státního závěrečného účtu </w:t>
      </w:r>
      <w:r w:rsidRPr="00B40138">
        <w:rPr>
          <w:rFonts w:cs="Arial"/>
          <w:sz w:val="18"/>
          <w:szCs w:val="18"/>
        </w:rPr>
        <w:t>k 31. 12. </w:t>
      </w:r>
      <w:r>
        <w:rPr>
          <w:rFonts w:cs="Arial"/>
          <w:sz w:val="18"/>
          <w:szCs w:val="18"/>
        </w:rPr>
        <w:t>2017 a</w:t>
      </w:r>
      <w:r w:rsidRPr="005D4544">
        <w:rPr>
          <w:rFonts w:cs="Arial"/>
          <w:sz w:val="18"/>
          <w:szCs w:val="18"/>
        </w:rPr>
        <w:t xml:space="preserve"> </w:t>
      </w:r>
      <w:r w:rsidRPr="00B40138">
        <w:rPr>
          <w:rFonts w:cs="Arial"/>
          <w:sz w:val="18"/>
          <w:szCs w:val="18"/>
          <w:u w:val="single"/>
        </w:rPr>
        <w:t xml:space="preserve">zahrnují pouze </w:t>
      </w:r>
      <w:r w:rsidRPr="009E431C">
        <w:rPr>
          <w:rFonts w:cs="Arial"/>
          <w:sz w:val="18"/>
          <w:szCs w:val="18"/>
          <w:u w:val="single"/>
        </w:rPr>
        <w:t>spolufinancování strukturálních fondů EU, nikoliv jejich předfinancování.</w:t>
      </w:r>
    </w:p>
  </w:footnote>
  <w:footnote w:id="2">
    <w:p w14:paraId="19A18395" w14:textId="0B964519" w:rsidR="00B1640F" w:rsidRPr="009A4BB3" w:rsidRDefault="00B1640F" w:rsidP="00E60B2C">
      <w:pPr>
        <w:pStyle w:val="Textpoznpodarou"/>
        <w:spacing w:after="60"/>
        <w:rPr>
          <w:sz w:val="18"/>
        </w:rPr>
      </w:pPr>
      <w:r>
        <w:rPr>
          <w:rStyle w:val="Znakapoznpodarou"/>
        </w:rPr>
        <w:footnoteRef/>
      </w:r>
      <w:r>
        <w:t xml:space="preserve"> </w:t>
      </w:r>
      <w:r w:rsidRPr="009A4BB3">
        <w:rPr>
          <w:sz w:val="18"/>
        </w:rPr>
        <w:t>Podrobnější údaje o financování výzkumu a vývoje z jednotlivých zdrojů získané v rámci Ročního šetření o výzkumu a</w:t>
      </w:r>
      <w:r w:rsidR="00732A53">
        <w:rPr>
          <w:sz w:val="18"/>
        </w:rPr>
        <w:t> </w:t>
      </w:r>
      <w:r w:rsidRPr="009A4BB3">
        <w:rPr>
          <w:sz w:val="18"/>
        </w:rPr>
        <w:t xml:space="preserve">vývoji VTR 5-01 </w:t>
      </w:r>
      <w:r w:rsidR="00B26352">
        <w:rPr>
          <w:sz w:val="18"/>
        </w:rPr>
        <w:t xml:space="preserve">naleznete </w:t>
      </w:r>
      <w:r w:rsidRPr="009A4BB3">
        <w:rPr>
          <w:sz w:val="18"/>
        </w:rPr>
        <w:t xml:space="preserve">na následujícím odkazu: </w:t>
      </w:r>
      <w:hyperlink r:id="rId1" w:history="1">
        <w:r w:rsidRPr="00E56C62">
          <w:rPr>
            <w:rStyle w:val="Hypertextovodkaz"/>
            <w:sz w:val="18"/>
          </w:rPr>
          <w:t>https://www.czso.cz/csu/czso/statistika_vyzkumu_a_vyvoje</w:t>
        </w:r>
      </w:hyperlink>
      <w:r>
        <w:rPr>
          <w:sz w:val="18"/>
        </w:rPr>
        <w:t xml:space="preserve"> </w:t>
      </w:r>
      <w:r w:rsidRPr="009A4BB3">
        <w:rPr>
          <w:sz w:val="18"/>
        </w:rPr>
        <w:t xml:space="preserve">  </w:t>
      </w:r>
    </w:p>
  </w:footnote>
  <w:footnote w:id="3">
    <w:p w14:paraId="72FBFDF5" w14:textId="35461E01" w:rsidR="00E60B2C" w:rsidRPr="00BB4937" w:rsidRDefault="00E60B2C" w:rsidP="00E60B2C">
      <w:pPr>
        <w:pStyle w:val="Textpoznpodarou"/>
        <w:spacing w:after="60"/>
        <w:rPr>
          <w:rFonts w:cs="Arial"/>
          <w:sz w:val="18"/>
          <w:szCs w:val="18"/>
        </w:rPr>
      </w:pPr>
      <w:r w:rsidRPr="009E431C">
        <w:rPr>
          <w:rStyle w:val="Znakapoznpodarou"/>
          <w:rFonts w:cs="Arial"/>
          <w:sz w:val="18"/>
          <w:szCs w:val="18"/>
        </w:rPr>
        <w:footnoteRef/>
      </w:r>
      <w:r w:rsidRPr="009E431C">
        <w:rPr>
          <w:rFonts w:cs="Arial"/>
          <w:sz w:val="18"/>
          <w:szCs w:val="18"/>
        </w:rPr>
        <w:t xml:space="preserve"> </w:t>
      </w:r>
      <w:r w:rsidRPr="00BB4937">
        <w:rPr>
          <w:rFonts w:cs="Arial"/>
          <w:sz w:val="18"/>
          <w:szCs w:val="18"/>
        </w:rPr>
        <w:t xml:space="preserve">V roce 2017 byly </w:t>
      </w:r>
      <w:r>
        <w:rPr>
          <w:rFonts w:cs="Arial"/>
          <w:sz w:val="18"/>
          <w:szCs w:val="18"/>
        </w:rPr>
        <w:t xml:space="preserve">na VaV ze státního rozpočtu </w:t>
      </w:r>
      <w:r w:rsidRPr="00BB4937">
        <w:rPr>
          <w:rFonts w:cs="Arial"/>
          <w:sz w:val="18"/>
          <w:szCs w:val="18"/>
        </w:rPr>
        <w:t xml:space="preserve">čerpány nespotřebované nároky ve výši </w:t>
      </w:r>
      <w:r w:rsidRPr="00BA1EEC">
        <w:rPr>
          <w:rFonts w:cs="Arial"/>
          <w:sz w:val="18"/>
          <w:szCs w:val="18"/>
        </w:rPr>
        <w:t>2,3 </w:t>
      </w:r>
      <w:r w:rsidRPr="00BA1EEC">
        <w:rPr>
          <w:sz w:val="18"/>
          <w:szCs w:val="18"/>
        </w:rPr>
        <w:t>mld. Kč z minulých let</w:t>
      </w:r>
      <w:r w:rsidRPr="00BB4937">
        <w:rPr>
          <w:rFonts w:cs="Arial"/>
          <w:sz w:val="18"/>
          <w:szCs w:val="18"/>
        </w:rPr>
        <w:t>. Souhrnná částka nevyužitých finančních prostředků z roku 201</w:t>
      </w:r>
      <w:r>
        <w:rPr>
          <w:rFonts w:cs="Arial"/>
          <w:sz w:val="18"/>
          <w:szCs w:val="18"/>
        </w:rPr>
        <w:t>7</w:t>
      </w:r>
      <w:r w:rsidRPr="00BB4937">
        <w:rPr>
          <w:rFonts w:cs="Arial"/>
          <w:sz w:val="18"/>
          <w:szCs w:val="18"/>
        </w:rPr>
        <w:t xml:space="preserve"> a z předchozích let dosáhla k 1. 1. 201</w:t>
      </w:r>
      <w:r>
        <w:rPr>
          <w:rFonts w:cs="Arial"/>
          <w:sz w:val="18"/>
          <w:szCs w:val="18"/>
        </w:rPr>
        <w:t>8</w:t>
      </w:r>
      <w:r w:rsidRPr="00BB4937">
        <w:rPr>
          <w:rFonts w:cs="Arial"/>
          <w:sz w:val="18"/>
          <w:szCs w:val="18"/>
        </w:rPr>
        <w:t xml:space="preserve"> hodnoty 6,9 mld. Kč. Tyto finanční prostředky jsou pak k</w:t>
      </w:r>
      <w:r>
        <w:rPr>
          <w:rFonts w:cs="Arial"/>
          <w:sz w:val="18"/>
          <w:szCs w:val="18"/>
        </w:rPr>
        <w:t> </w:t>
      </w:r>
      <w:r w:rsidRPr="00BB4937">
        <w:rPr>
          <w:rFonts w:cs="Arial"/>
          <w:sz w:val="18"/>
          <w:szCs w:val="18"/>
        </w:rPr>
        <w:t>dispozici pro využití v dalších letech. Nespotřebované nároky v souvislosti s předfinancováním projektů VaV hrazených z evropských fondů dosáhly k 1.</w:t>
      </w:r>
      <w:r w:rsidR="00B26352">
        <w:rPr>
          <w:rFonts w:cs="Arial"/>
          <w:sz w:val="18"/>
          <w:szCs w:val="18"/>
        </w:rPr>
        <w:t xml:space="preserve"> </w:t>
      </w:r>
      <w:r w:rsidRPr="00BB4937">
        <w:rPr>
          <w:rFonts w:cs="Arial"/>
          <w:sz w:val="18"/>
          <w:szCs w:val="18"/>
        </w:rPr>
        <w:t>1.</w:t>
      </w:r>
      <w:r w:rsidR="00B26352">
        <w:rPr>
          <w:rFonts w:cs="Arial"/>
          <w:sz w:val="18"/>
          <w:szCs w:val="18"/>
        </w:rPr>
        <w:t xml:space="preserve"> </w:t>
      </w:r>
      <w:r w:rsidRPr="00BB4937">
        <w:rPr>
          <w:rFonts w:cs="Arial"/>
          <w:sz w:val="18"/>
          <w:szCs w:val="18"/>
        </w:rPr>
        <w:t>201</w:t>
      </w:r>
      <w:r>
        <w:rPr>
          <w:rFonts w:cs="Arial"/>
          <w:sz w:val="18"/>
          <w:szCs w:val="18"/>
        </w:rPr>
        <w:t>8</w:t>
      </w:r>
      <w:r w:rsidRPr="00BB4937">
        <w:rPr>
          <w:rFonts w:cs="Arial"/>
          <w:sz w:val="18"/>
          <w:szCs w:val="18"/>
        </w:rPr>
        <w:t xml:space="preserve"> </w:t>
      </w:r>
      <w:r>
        <w:rPr>
          <w:rFonts w:cs="Arial"/>
          <w:sz w:val="18"/>
          <w:szCs w:val="18"/>
        </w:rPr>
        <w:t>rovných 9</w:t>
      </w:r>
      <w:r w:rsidRPr="00BB4937">
        <w:rPr>
          <w:rFonts w:cs="Arial"/>
          <w:sz w:val="18"/>
          <w:szCs w:val="18"/>
        </w:rPr>
        <w:t xml:space="preserve"> mld. Kč.</w:t>
      </w:r>
    </w:p>
  </w:footnote>
  <w:footnote w:id="4">
    <w:p w14:paraId="1DDBDB33" w14:textId="77777777" w:rsidR="00B1640F" w:rsidRPr="00713FCC" w:rsidRDefault="00B1640F">
      <w:pPr>
        <w:pStyle w:val="Textpoznpodarou"/>
        <w:rPr>
          <w:sz w:val="18"/>
        </w:rPr>
      </w:pPr>
      <w:r w:rsidRPr="00713FCC">
        <w:rPr>
          <w:rStyle w:val="Znakapoznpodarou"/>
          <w:sz w:val="18"/>
        </w:rPr>
        <w:footnoteRef/>
      </w:r>
      <w:r w:rsidRPr="00713FCC">
        <w:rPr>
          <w:sz w:val="18"/>
        </w:rPr>
        <w:t xml:space="preserve"> V rámci operačního programu OP PIK nebyly v roce 2017 spolufinancovány žádné projekty hrazené z evropských fondů. Tyto projekty jsou pouze předfinancovány. </w:t>
      </w:r>
      <w:r w:rsidR="00495524">
        <w:rPr>
          <w:sz w:val="18"/>
        </w:rPr>
        <w:t xml:space="preserve">Investice do rozšiřování výzkumných kapacit </w:t>
      </w:r>
      <w:r w:rsidR="005B1C07">
        <w:rPr>
          <w:sz w:val="18"/>
        </w:rPr>
        <w:t>nejsou hrazeny MPO.</w:t>
      </w:r>
      <w:r w:rsidRPr="00713FCC">
        <w:rPr>
          <w:sz w:val="18"/>
        </w:rPr>
        <w:t xml:space="preserve"> </w:t>
      </w:r>
    </w:p>
  </w:footnote>
  <w:footnote w:id="5">
    <w:p w14:paraId="1674F47E" w14:textId="74B82DAF" w:rsidR="00B1640F" w:rsidRPr="00761AB3" w:rsidRDefault="00B1640F" w:rsidP="009E03E5">
      <w:pPr>
        <w:pStyle w:val="Textpoznpodarou"/>
        <w:spacing w:after="60"/>
        <w:rPr>
          <w:sz w:val="18"/>
          <w:szCs w:val="18"/>
        </w:rPr>
      </w:pPr>
      <w:r w:rsidRPr="00761AB3">
        <w:rPr>
          <w:rStyle w:val="Znakapoznpodarou"/>
          <w:sz w:val="18"/>
          <w:szCs w:val="18"/>
        </w:rPr>
        <w:footnoteRef/>
      </w:r>
      <w:r w:rsidRPr="00761AB3">
        <w:rPr>
          <w:sz w:val="18"/>
          <w:szCs w:val="18"/>
        </w:rPr>
        <w:t xml:space="preserve"> </w:t>
      </w:r>
      <w:r w:rsidRPr="00543213">
        <w:rPr>
          <w:sz w:val="18"/>
          <w:szCs w:val="18"/>
          <w:u w:val="single"/>
        </w:rPr>
        <w:t>Institucionální podpora VaV</w:t>
      </w:r>
      <w:r w:rsidRPr="00761AB3">
        <w:rPr>
          <w:sz w:val="18"/>
          <w:szCs w:val="18"/>
        </w:rPr>
        <w:t xml:space="preserve"> jsou státní rozpočtové prostředky na VaV, které jsou v souladu </w:t>
      </w:r>
      <w:r>
        <w:rPr>
          <w:sz w:val="18"/>
          <w:szCs w:val="18"/>
        </w:rPr>
        <w:t xml:space="preserve">s metodikou OECD poskytnuty zejména na </w:t>
      </w:r>
      <w:r w:rsidRPr="00761AB3">
        <w:rPr>
          <w:sz w:val="18"/>
          <w:szCs w:val="18"/>
        </w:rPr>
        <w:t>dlouhodobý konce</w:t>
      </w:r>
      <w:r>
        <w:rPr>
          <w:sz w:val="18"/>
          <w:szCs w:val="18"/>
        </w:rPr>
        <w:t>pční rozvoj výzkumné organizace, specifický výzkum na vysokých školách a</w:t>
      </w:r>
      <w:r w:rsidR="00835229">
        <w:rPr>
          <w:sz w:val="18"/>
          <w:szCs w:val="18"/>
        </w:rPr>
        <w:t> </w:t>
      </w:r>
      <w:r>
        <w:rPr>
          <w:sz w:val="18"/>
          <w:szCs w:val="18"/>
        </w:rPr>
        <w:t>mezinárodní spolupráci ve VaV.</w:t>
      </w:r>
    </w:p>
  </w:footnote>
  <w:footnote w:id="6">
    <w:p w14:paraId="1FD44BC2" w14:textId="77777777" w:rsidR="00B1640F" w:rsidRPr="00761AB3" w:rsidRDefault="00B1640F" w:rsidP="009E03E5">
      <w:pPr>
        <w:pStyle w:val="Textpoznpodarou"/>
        <w:spacing w:after="60"/>
        <w:rPr>
          <w:sz w:val="18"/>
        </w:rPr>
      </w:pPr>
      <w:r w:rsidRPr="00761AB3">
        <w:rPr>
          <w:rStyle w:val="Znakapoznpodarou"/>
          <w:sz w:val="18"/>
        </w:rPr>
        <w:footnoteRef/>
      </w:r>
      <w:r w:rsidRPr="00761AB3">
        <w:rPr>
          <w:sz w:val="18"/>
        </w:rPr>
        <w:t xml:space="preserve"> </w:t>
      </w:r>
      <w:r w:rsidRPr="00543213">
        <w:rPr>
          <w:sz w:val="18"/>
          <w:u w:val="single"/>
        </w:rPr>
        <w:t>Účelová podpora VaV</w:t>
      </w:r>
      <w:r>
        <w:rPr>
          <w:sz w:val="18"/>
        </w:rPr>
        <w:t xml:space="preserve"> jsou státní rozpočtové prostředky na VaV, které jsou v souladu </w:t>
      </w:r>
      <w:r>
        <w:rPr>
          <w:sz w:val="18"/>
          <w:szCs w:val="18"/>
        </w:rPr>
        <w:t xml:space="preserve">s metodikou OECD </w:t>
      </w:r>
      <w:r>
        <w:rPr>
          <w:sz w:val="18"/>
        </w:rPr>
        <w:t xml:space="preserve">poskytnuty zejména na grantový projekt, programový projekt (včetně hrazených z fondů EU) nebo financování velké výzkumné infrastruktury. </w:t>
      </w:r>
    </w:p>
  </w:footnote>
  <w:footnote w:id="7">
    <w:p w14:paraId="2E6B1DFB" w14:textId="77777777" w:rsidR="00B1640F" w:rsidRDefault="00B1640F">
      <w:pPr>
        <w:pStyle w:val="Textpoznpodarou"/>
      </w:pPr>
      <w:r w:rsidRPr="00D744BC">
        <w:rPr>
          <w:rStyle w:val="Znakapoznpodarou"/>
          <w:sz w:val="18"/>
        </w:rPr>
        <w:footnoteRef/>
      </w:r>
      <w:r w:rsidRPr="00D744BC">
        <w:rPr>
          <w:sz w:val="18"/>
        </w:rPr>
        <w:t xml:space="preserve"> Blíže viz </w:t>
      </w:r>
      <w:hyperlink r:id="rId2" w:history="1">
        <w:r w:rsidRPr="00D744BC">
          <w:rPr>
            <w:rStyle w:val="Hypertextovodkaz"/>
            <w:sz w:val="18"/>
          </w:rPr>
          <w:t>http://www.dotaceeu.cz/cs/Fondy-EU</w:t>
        </w:r>
      </w:hyperlink>
      <w:r w:rsidRPr="00D744BC">
        <w:rPr>
          <w:sz w:val="18"/>
        </w:rPr>
        <w:t xml:space="preserve"> </w:t>
      </w:r>
    </w:p>
  </w:footnote>
  <w:footnote w:id="8">
    <w:p w14:paraId="417465BC" w14:textId="77777777" w:rsidR="009E03E5" w:rsidRPr="0014473F" w:rsidRDefault="009E03E5" w:rsidP="000D59D3">
      <w:pPr>
        <w:pStyle w:val="Textpoznpodarou"/>
        <w:spacing w:after="60"/>
        <w:rPr>
          <w:sz w:val="18"/>
          <w:szCs w:val="18"/>
        </w:rPr>
      </w:pPr>
      <w:r w:rsidRPr="0014473F">
        <w:rPr>
          <w:rStyle w:val="Znakapoznpodarou"/>
          <w:sz w:val="18"/>
          <w:szCs w:val="18"/>
        </w:rPr>
        <w:footnoteRef/>
      </w:r>
      <w:r w:rsidRPr="0014473F">
        <w:rPr>
          <w:sz w:val="18"/>
          <w:szCs w:val="18"/>
        </w:rPr>
        <w:t xml:space="preserve"> Blíže o Grantové agentuře viz: </w:t>
      </w:r>
      <w:hyperlink r:id="rId3" w:history="1">
        <w:r w:rsidRPr="0014473F">
          <w:rPr>
            <w:rStyle w:val="Hypertextovodkaz"/>
            <w:sz w:val="18"/>
            <w:szCs w:val="18"/>
          </w:rPr>
          <w:t>http://gacr.cz/</w:t>
        </w:r>
      </w:hyperlink>
      <w:r w:rsidRPr="0014473F">
        <w:rPr>
          <w:sz w:val="18"/>
          <w:szCs w:val="18"/>
        </w:rPr>
        <w:t xml:space="preserve"> </w:t>
      </w:r>
    </w:p>
  </w:footnote>
  <w:footnote w:id="9">
    <w:p w14:paraId="206DBBF0" w14:textId="77777777" w:rsidR="00B1640F" w:rsidRPr="0014473F" w:rsidRDefault="00B1640F" w:rsidP="000D59D3">
      <w:pPr>
        <w:pStyle w:val="Textpoznpodarou"/>
        <w:spacing w:after="60"/>
        <w:rPr>
          <w:sz w:val="18"/>
          <w:szCs w:val="18"/>
        </w:rPr>
      </w:pPr>
      <w:r w:rsidRPr="0014473F">
        <w:rPr>
          <w:rStyle w:val="Znakapoznpodarou"/>
          <w:sz w:val="18"/>
          <w:szCs w:val="18"/>
        </w:rPr>
        <w:footnoteRef/>
      </w:r>
      <w:r w:rsidRPr="0014473F">
        <w:rPr>
          <w:sz w:val="18"/>
          <w:szCs w:val="18"/>
        </w:rPr>
        <w:t xml:space="preserve">Technologická agentura byla založena v roce 2009. Blíže o Technologické agentuře viz: </w:t>
      </w:r>
      <w:hyperlink r:id="rId4" w:history="1">
        <w:r w:rsidRPr="0014473F">
          <w:rPr>
            <w:rStyle w:val="Hypertextovodkaz"/>
            <w:sz w:val="18"/>
            <w:szCs w:val="18"/>
          </w:rPr>
          <w:t>https://www.tacr.cz/index.php/cz/o-ta-cr.html</w:t>
        </w:r>
      </w:hyperlink>
      <w:r w:rsidRPr="0014473F">
        <w:rPr>
          <w:sz w:val="18"/>
          <w:szCs w:val="18"/>
        </w:rPr>
        <w:t xml:space="preserve">  </w:t>
      </w:r>
    </w:p>
  </w:footnote>
  <w:footnote w:id="10">
    <w:p w14:paraId="2CCF9817" w14:textId="77777777" w:rsidR="00B1640F" w:rsidRPr="0014473F" w:rsidRDefault="00B1640F" w:rsidP="000D59D3">
      <w:pPr>
        <w:pStyle w:val="Textpoznpodarou"/>
        <w:spacing w:after="60"/>
        <w:rPr>
          <w:sz w:val="18"/>
          <w:szCs w:val="18"/>
        </w:rPr>
      </w:pPr>
      <w:r w:rsidRPr="0014473F">
        <w:rPr>
          <w:rStyle w:val="Znakapoznpodarou"/>
          <w:sz w:val="18"/>
          <w:szCs w:val="18"/>
        </w:rPr>
        <w:footnoteRef/>
      </w:r>
      <w:r w:rsidRPr="0014473F">
        <w:rPr>
          <w:sz w:val="18"/>
          <w:szCs w:val="18"/>
        </w:rPr>
        <w:t xml:space="preserve"> Program ALFA se zaměřuje na podporu aplikovaného výzkumu a experimentálního vývoje zejména v oblasti progresivních technologií, materiálů a systémů, energetických zdrojů a ochrany a tvorby životního prostředí a dále v oblasti udržitelného rozvoje dopravy.</w:t>
      </w:r>
    </w:p>
  </w:footnote>
  <w:footnote w:id="11">
    <w:p w14:paraId="330A8326" w14:textId="68161EF3" w:rsidR="00B1640F" w:rsidRDefault="00B1640F" w:rsidP="000D59D3">
      <w:pPr>
        <w:pStyle w:val="Textpoznpodarou"/>
        <w:spacing w:after="60"/>
      </w:pPr>
      <w:r w:rsidRPr="0014473F">
        <w:rPr>
          <w:rStyle w:val="Znakapoznpodarou"/>
          <w:sz w:val="18"/>
          <w:szCs w:val="18"/>
        </w:rPr>
        <w:footnoteRef/>
      </w:r>
      <w:r w:rsidRPr="0014473F">
        <w:rPr>
          <w:sz w:val="18"/>
          <w:szCs w:val="18"/>
        </w:rPr>
        <w:t xml:space="preserve"> Program </w:t>
      </w:r>
      <w:r>
        <w:rPr>
          <w:sz w:val="18"/>
          <w:szCs w:val="18"/>
        </w:rPr>
        <w:t>BETA</w:t>
      </w:r>
      <w:r w:rsidRPr="0014473F">
        <w:rPr>
          <w:sz w:val="18"/>
          <w:szCs w:val="18"/>
        </w:rPr>
        <w:t xml:space="preserve"> </w:t>
      </w:r>
      <w:r w:rsidRPr="006B6589">
        <w:rPr>
          <w:sz w:val="18"/>
          <w:szCs w:val="18"/>
        </w:rPr>
        <w:t>je zaměřen na podporu projektů Program veřejných zakázek ve výzkumu, experimentálním vývoji a</w:t>
      </w:r>
      <w:r w:rsidR="00692925">
        <w:rPr>
          <w:sz w:val="18"/>
          <w:szCs w:val="18"/>
        </w:rPr>
        <w:t> </w:t>
      </w:r>
      <w:r w:rsidRPr="006B6589">
        <w:rPr>
          <w:sz w:val="18"/>
          <w:szCs w:val="18"/>
        </w:rPr>
        <w:t>inovacích pro potřeby státní správy.</w:t>
      </w:r>
    </w:p>
  </w:footnote>
  <w:footnote w:id="12">
    <w:p w14:paraId="355605A6" w14:textId="77777777" w:rsidR="00B1640F" w:rsidRPr="0014473F" w:rsidRDefault="00B1640F">
      <w:pPr>
        <w:pStyle w:val="Textpoznpodarou"/>
        <w:rPr>
          <w:sz w:val="18"/>
          <w:szCs w:val="18"/>
        </w:rPr>
      </w:pPr>
      <w:r w:rsidRPr="0014473F">
        <w:rPr>
          <w:rStyle w:val="Znakapoznpodarou"/>
          <w:sz w:val="18"/>
          <w:szCs w:val="18"/>
        </w:rPr>
        <w:footnoteRef/>
      </w:r>
      <w:r w:rsidRPr="0014473F">
        <w:rPr>
          <w:sz w:val="18"/>
          <w:szCs w:val="18"/>
        </w:rPr>
        <w:t xml:space="preserve"> </w:t>
      </w:r>
      <w:r>
        <w:rPr>
          <w:rFonts w:cs="Arial"/>
          <w:sz w:val="18"/>
          <w:szCs w:val="18"/>
        </w:rPr>
        <w:t>K dalším informacím</w:t>
      </w:r>
      <w:r w:rsidRPr="0014473F">
        <w:rPr>
          <w:rFonts w:cs="Arial"/>
          <w:sz w:val="18"/>
          <w:szCs w:val="18"/>
        </w:rPr>
        <w:t xml:space="preserve"> o Operačních programech v gesci MŠMT viz následující odkaz: </w:t>
      </w:r>
      <w:hyperlink r:id="rId5" w:history="1">
        <w:r w:rsidRPr="00DC15C4">
          <w:rPr>
            <w:rStyle w:val="Hypertextovodkaz"/>
            <w:rFonts w:cs="Arial"/>
            <w:sz w:val="18"/>
            <w:szCs w:val="18"/>
          </w:rPr>
          <w:t>http://www.msmt.cz/strukturalni-fondy-1</w:t>
        </w:r>
      </w:hyperlink>
      <w:r>
        <w:rPr>
          <w:rFonts w:cs="Arial"/>
          <w:sz w:val="18"/>
          <w:szCs w:val="18"/>
        </w:rPr>
        <w:t xml:space="preserve"> </w:t>
      </w:r>
    </w:p>
  </w:footnote>
  <w:footnote w:id="13">
    <w:p w14:paraId="402377AA" w14:textId="77777777" w:rsidR="00B1640F" w:rsidRPr="0014473F" w:rsidRDefault="00B1640F">
      <w:pPr>
        <w:pStyle w:val="Textpoznpodarou"/>
        <w:rPr>
          <w:rFonts w:cs="Arial"/>
          <w:sz w:val="18"/>
          <w:szCs w:val="18"/>
        </w:rPr>
      </w:pPr>
      <w:r w:rsidRPr="0014473F">
        <w:rPr>
          <w:rStyle w:val="Znakapoznpodarou"/>
          <w:rFonts w:cs="Arial"/>
          <w:sz w:val="18"/>
          <w:szCs w:val="18"/>
        </w:rPr>
        <w:footnoteRef/>
      </w:r>
      <w:r w:rsidRPr="0014473F">
        <w:rPr>
          <w:rFonts w:cs="Arial"/>
          <w:sz w:val="18"/>
          <w:szCs w:val="18"/>
        </w:rPr>
        <w:t xml:space="preserve"> Včetně ústředí Akademie věd ČR, která má v Registru ekonomických subjektů atribut organizační složky státu.</w:t>
      </w:r>
    </w:p>
  </w:footnote>
  <w:footnote w:id="14">
    <w:p w14:paraId="2BB27DBD" w14:textId="77777777" w:rsidR="00B1640F" w:rsidRPr="0049796C" w:rsidRDefault="00B1640F" w:rsidP="000925C7">
      <w:pPr>
        <w:pStyle w:val="Textpoznpodarou"/>
        <w:rPr>
          <w:sz w:val="18"/>
        </w:rPr>
      </w:pPr>
      <w:r w:rsidRPr="001D7FBC">
        <w:rPr>
          <w:rStyle w:val="Znakapoznpodarou"/>
          <w:sz w:val="18"/>
        </w:rPr>
        <w:footnoteRef/>
      </w:r>
      <w:r w:rsidRPr="001D7FBC">
        <w:rPr>
          <w:sz w:val="18"/>
        </w:rPr>
        <w:t xml:space="preserve"> </w:t>
      </w:r>
      <w:r w:rsidRPr="00256E94">
        <w:rPr>
          <w:sz w:val="18"/>
        </w:rPr>
        <w:t>V roce 201</w:t>
      </w:r>
      <w:r>
        <w:rPr>
          <w:sz w:val="18"/>
        </w:rPr>
        <w:t>7</w:t>
      </w:r>
      <w:r w:rsidRPr="00256E94">
        <w:rPr>
          <w:sz w:val="18"/>
        </w:rPr>
        <w:t xml:space="preserve"> Ministerstvo školství, mládeže a tělovýchovy vydalo na podporu zapojení ČR do mezinárodního výzkumu celkem 868 mil. Kč ve formě příspěvků a poplatků.</w:t>
      </w:r>
      <w:r w:rsidRPr="0049796C">
        <w:rPr>
          <w:sz w:val="18"/>
        </w:rPr>
        <w:t xml:space="preserve"> </w:t>
      </w:r>
      <w:r>
        <w:rPr>
          <w:sz w:val="18"/>
        </w:rPr>
        <w:t xml:space="preserve">Dalších 20 mil. Kč šlo zahraničním příjemcům v rámci kolaborativního VaV. Celkem 31 mil. Kč bylo dále vyplaceno </w:t>
      </w:r>
      <w:r w:rsidR="004A4013">
        <w:rPr>
          <w:sz w:val="18"/>
        </w:rPr>
        <w:t>fyzickým osobám be</w:t>
      </w:r>
      <w:r w:rsidR="00621149">
        <w:rPr>
          <w:sz w:val="18"/>
        </w:rPr>
        <w:t>z IČO, u nichž se místo provádění VaV činností</w:t>
      </w:r>
      <w:r w:rsidR="004A4013">
        <w:rPr>
          <w:sz w:val="18"/>
        </w:rPr>
        <w:t xml:space="preserve"> nesleduje. </w:t>
      </w:r>
      <w:r>
        <w:rPr>
          <w:sz w:val="18"/>
        </w:rPr>
        <w:t xml:space="preserve"> </w:t>
      </w:r>
    </w:p>
  </w:footnote>
  <w:footnote w:id="15">
    <w:p w14:paraId="798E9259" w14:textId="77777777" w:rsidR="00B1640F" w:rsidRDefault="00B1640F" w:rsidP="00B940FD">
      <w:pPr>
        <w:pStyle w:val="Textpoznpodarou"/>
        <w:rPr>
          <w:rFonts w:cs="Arial"/>
          <w:sz w:val="18"/>
          <w:szCs w:val="18"/>
        </w:rPr>
      </w:pPr>
      <w:r w:rsidRPr="007A2F09">
        <w:rPr>
          <w:rStyle w:val="Znakapoznpodarou"/>
          <w:rFonts w:cs="Arial"/>
          <w:sz w:val="18"/>
          <w:szCs w:val="18"/>
        </w:rPr>
        <w:footnoteRef/>
      </w:r>
      <w:r w:rsidRPr="007A2F09">
        <w:rPr>
          <w:rFonts w:cs="Arial"/>
          <w:sz w:val="18"/>
          <w:szCs w:val="18"/>
        </w:rPr>
        <w:t xml:space="preserve"> Klasifikace NABS: Nomenklatura pro analýzu a srovnání vědeckých programů a rozpočtů</w:t>
      </w:r>
      <w:r>
        <w:rPr>
          <w:rFonts w:cs="Arial"/>
          <w:sz w:val="18"/>
          <w:szCs w:val="18"/>
        </w:rPr>
        <w:t xml:space="preserve"> (Eurostat). Kompletní</w:t>
      </w:r>
      <w:r w:rsidRPr="007A2F09">
        <w:rPr>
          <w:rFonts w:cs="Arial"/>
          <w:sz w:val="18"/>
          <w:szCs w:val="18"/>
        </w:rPr>
        <w:t xml:space="preserve"> výčet všech socioekonomických cílů je uveden v příloze č. 1 a 2.</w:t>
      </w:r>
      <w:r>
        <w:rPr>
          <w:rFonts w:cs="Arial"/>
          <w:sz w:val="18"/>
          <w:szCs w:val="18"/>
        </w:rPr>
        <w:t xml:space="preserve"> </w:t>
      </w:r>
      <w:r w:rsidRPr="00EA7D42">
        <w:rPr>
          <w:rFonts w:cs="Arial"/>
          <w:sz w:val="18"/>
          <w:szCs w:val="18"/>
        </w:rPr>
        <w:t xml:space="preserve">Nomenklatura byla původně </w:t>
      </w:r>
      <w:r>
        <w:rPr>
          <w:rFonts w:cs="Arial"/>
          <w:sz w:val="18"/>
          <w:szCs w:val="18"/>
        </w:rPr>
        <w:t xml:space="preserve">Eurostatem </w:t>
      </w:r>
      <w:r w:rsidRPr="00EA7D42">
        <w:rPr>
          <w:rFonts w:cs="Arial"/>
          <w:sz w:val="18"/>
          <w:szCs w:val="18"/>
        </w:rPr>
        <w:t>vypraco</w:t>
      </w:r>
      <w:r>
        <w:rPr>
          <w:rFonts w:cs="Arial"/>
          <w:sz w:val="18"/>
          <w:szCs w:val="18"/>
        </w:rPr>
        <w:t>vána již v roce 1969 a její pozdější</w:t>
      </w:r>
      <w:r w:rsidRPr="00EA7D42">
        <w:rPr>
          <w:rFonts w:cs="Arial"/>
          <w:sz w:val="18"/>
          <w:szCs w:val="18"/>
        </w:rPr>
        <w:t xml:space="preserve"> verze byly </w:t>
      </w:r>
      <w:r>
        <w:rPr>
          <w:rFonts w:cs="Arial"/>
          <w:sz w:val="18"/>
          <w:szCs w:val="18"/>
        </w:rPr>
        <w:t xml:space="preserve">několikrát </w:t>
      </w:r>
      <w:r w:rsidRPr="00EA7D42">
        <w:rPr>
          <w:rFonts w:cs="Arial"/>
          <w:sz w:val="18"/>
          <w:szCs w:val="18"/>
        </w:rPr>
        <w:t xml:space="preserve">revidovány </w:t>
      </w:r>
      <w:r>
        <w:rPr>
          <w:rFonts w:cs="Arial"/>
          <w:sz w:val="18"/>
          <w:szCs w:val="18"/>
        </w:rPr>
        <w:t>(</w:t>
      </w:r>
      <w:r w:rsidRPr="00EA7D42">
        <w:rPr>
          <w:rFonts w:cs="Arial"/>
          <w:sz w:val="18"/>
          <w:szCs w:val="18"/>
        </w:rPr>
        <w:t>v letech 1975</w:t>
      </w:r>
      <w:r>
        <w:rPr>
          <w:rFonts w:cs="Arial"/>
          <w:sz w:val="18"/>
          <w:szCs w:val="18"/>
        </w:rPr>
        <w:t xml:space="preserve">, </w:t>
      </w:r>
      <w:r w:rsidRPr="00EA7D42">
        <w:rPr>
          <w:rFonts w:cs="Arial"/>
          <w:sz w:val="18"/>
          <w:szCs w:val="18"/>
        </w:rPr>
        <w:t>1983</w:t>
      </w:r>
      <w:r>
        <w:rPr>
          <w:rFonts w:cs="Arial"/>
          <w:sz w:val="18"/>
          <w:szCs w:val="18"/>
        </w:rPr>
        <w:t>, 1992 a 2007)</w:t>
      </w:r>
      <w:r w:rsidRPr="00EA7D42">
        <w:rPr>
          <w:rFonts w:cs="Arial"/>
          <w:sz w:val="18"/>
          <w:szCs w:val="18"/>
        </w:rPr>
        <w:t>.</w:t>
      </w:r>
    </w:p>
    <w:p w14:paraId="6D91669A" w14:textId="77777777" w:rsidR="00B1640F" w:rsidRPr="007A2F09" w:rsidRDefault="00B1640F" w:rsidP="00B940FD">
      <w:pPr>
        <w:pStyle w:val="Textpoznpodarou"/>
        <w:rPr>
          <w:rFonts w:cs="Arial"/>
          <w:sz w:val="18"/>
          <w:szCs w:val="18"/>
        </w:rPr>
      </w:pPr>
      <w:r w:rsidRPr="008F0BC7">
        <w:rPr>
          <w:rFonts w:cs="Arial"/>
          <w:sz w:val="18"/>
          <w:szCs w:val="18"/>
          <w:u w:val="single"/>
        </w:rPr>
        <w:t>Socioekonomickým cílem</w:t>
      </w:r>
      <w:r>
        <w:rPr>
          <w:rFonts w:cs="Arial"/>
          <w:sz w:val="18"/>
          <w:szCs w:val="18"/>
        </w:rPr>
        <w:t xml:space="preserve"> se rozumí předem vymezená oblast výzkumu a vývoje, která se používá pro analytické účely při klasifikaci státních rozpočtových výdajů na VaV.  </w:t>
      </w:r>
    </w:p>
  </w:footnote>
  <w:footnote w:id="16">
    <w:p w14:paraId="7E1A0EF6" w14:textId="77777777" w:rsidR="00B1640F" w:rsidRPr="00C74B4D" w:rsidRDefault="00B1640F" w:rsidP="000925C7">
      <w:pPr>
        <w:pStyle w:val="Textpoznpodarou"/>
        <w:rPr>
          <w:rFonts w:cs="Arial"/>
          <w:sz w:val="18"/>
          <w:szCs w:val="18"/>
        </w:rPr>
      </w:pPr>
      <w:r w:rsidRPr="006533BA">
        <w:rPr>
          <w:rStyle w:val="Znakapoznpodarou"/>
          <w:rFonts w:cs="Arial"/>
          <w:sz w:val="18"/>
          <w:szCs w:val="18"/>
        </w:rPr>
        <w:footnoteRef/>
      </w:r>
      <w:r w:rsidRPr="006533BA">
        <w:rPr>
          <w:rFonts w:cs="Arial"/>
          <w:sz w:val="18"/>
          <w:szCs w:val="18"/>
        </w:rPr>
        <w:t xml:space="preserve"> U dvou výše uvedených cílů bez konkrétního zaměření jde ve většině případů o základní výzkum. V roce 2017 se tyto cíle</w:t>
      </w:r>
      <w:r w:rsidR="007F63E0">
        <w:rPr>
          <w:rFonts w:cs="Arial"/>
          <w:sz w:val="18"/>
          <w:szCs w:val="18"/>
        </w:rPr>
        <w:t xml:space="preserve"> podílely v souhrnu z téměř tří pětin</w:t>
      </w:r>
      <w:r w:rsidRPr="006533BA">
        <w:rPr>
          <w:rFonts w:cs="Arial"/>
          <w:sz w:val="18"/>
          <w:szCs w:val="18"/>
        </w:rPr>
        <w:t xml:space="preserve"> (59,4 %) na využitých finančních prostředcích pocházejících ze státního rozpočtu ČR na výzkum a vývoj, což odpovídá částce 18 198 mil. Kč.</w:t>
      </w:r>
    </w:p>
  </w:footnote>
  <w:footnote w:id="17">
    <w:p w14:paraId="48BCFEA9" w14:textId="77777777" w:rsidR="00B1640F" w:rsidRPr="002E75CD" w:rsidRDefault="00B1640F" w:rsidP="00B940FD">
      <w:pPr>
        <w:pStyle w:val="Textpoznpodarou"/>
        <w:rPr>
          <w:rFonts w:cs="Arial"/>
          <w:sz w:val="18"/>
          <w:szCs w:val="18"/>
        </w:rPr>
      </w:pPr>
      <w:r w:rsidRPr="00314145">
        <w:rPr>
          <w:rStyle w:val="Znakapoznpodarou"/>
          <w:rFonts w:cs="Arial"/>
          <w:sz w:val="18"/>
          <w:szCs w:val="18"/>
        </w:rPr>
        <w:footnoteRef/>
      </w:r>
      <w:r w:rsidRPr="00314145">
        <w:rPr>
          <w:rFonts w:cs="Arial"/>
          <w:sz w:val="18"/>
          <w:szCs w:val="18"/>
        </w:rPr>
        <w:t xml:space="preserve"> </w:t>
      </w:r>
      <w:r w:rsidRPr="005626C2">
        <w:rPr>
          <w:rFonts w:cs="Arial"/>
          <w:sz w:val="18"/>
          <w:szCs w:val="18"/>
        </w:rPr>
        <w:t xml:space="preserve">Započteme-li do veřejného financování VaV v této oblasti také investice do VaV v oblasti technických věd, které jsou podcílem „Všeobecného výzkumu na vysokých školách“ (SEO 10) a „Neorientovaný výzkum“ (SEO 11), vzrostou celkové výdaje na VaV v oblasti průmyslové výroby a </w:t>
      </w:r>
      <w:r w:rsidRPr="002E75CD">
        <w:rPr>
          <w:rFonts w:cs="Arial"/>
          <w:sz w:val="18"/>
          <w:szCs w:val="18"/>
        </w:rPr>
        <w:t>technologie na částku 5 428 mil. Kč.</w:t>
      </w:r>
    </w:p>
  </w:footnote>
  <w:footnote w:id="18">
    <w:p w14:paraId="158266A6" w14:textId="77777777" w:rsidR="00B1640F" w:rsidRPr="00A06C1F" w:rsidRDefault="00B1640F" w:rsidP="006B6AF7">
      <w:pPr>
        <w:pStyle w:val="Textpoznpodarou"/>
        <w:spacing w:after="60"/>
        <w:rPr>
          <w:rFonts w:cs="Arial"/>
          <w:sz w:val="18"/>
          <w:szCs w:val="18"/>
        </w:rPr>
      </w:pPr>
      <w:r w:rsidRPr="00BF070A">
        <w:rPr>
          <w:rStyle w:val="Znakapoznpodarou"/>
          <w:rFonts w:cs="Arial"/>
          <w:sz w:val="18"/>
          <w:szCs w:val="18"/>
        </w:rPr>
        <w:footnoteRef/>
      </w:r>
      <w:r w:rsidRPr="00BF070A">
        <w:rPr>
          <w:rFonts w:cs="Arial"/>
          <w:sz w:val="18"/>
          <w:szCs w:val="18"/>
        </w:rPr>
        <w:t xml:space="preserve"> Započteme-li také lékařské vědy spadající do cílů „Všeobecný výzkum na VŠ“ (SEO10) a „Neorientovaný výzkum“ (SEO11), potom do výzkumu ochrany a zlepšování lidského zdraví </w:t>
      </w:r>
      <w:r w:rsidRPr="004B3778">
        <w:rPr>
          <w:rFonts w:cs="Arial"/>
          <w:sz w:val="18"/>
          <w:szCs w:val="18"/>
        </w:rPr>
        <w:t>směřovalo v souhrnu 4 478 mil. Kč.</w:t>
      </w:r>
    </w:p>
  </w:footnote>
  <w:footnote w:id="19">
    <w:p w14:paraId="46A8AC32" w14:textId="77777777" w:rsidR="00B1640F" w:rsidRPr="00CE5E1D" w:rsidRDefault="00B1640F" w:rsidP="006B6AF7">
      <w:pPr>
        <w:pStyle w:val="Textpoznpodarou"/>
        <w:spacing w:after="60"/>
        <w:rPr>
          <w:sz w:val="18"/>
          <w:szCs w:val="18"/>
        </w:rPr>
      </w:pPr>
      <w:r w:rsidRPr="00CE5E1D">
        <w:rPr>
          <w:rStyle w:val="Znakapoznpodarou"/>
          <w:sz w:val="18"/>
          <w:szCs w:val="18"/>
        </w:rPr>
        <w:footnoteRef/>
      </w:r>
      <w:r w:rsidRPr="00CE5E1D">
        <w:rPr>
          <w:sz w:val="18"/>
          <w:szCs w:val="18"/>
        </w:rPr>
        <w:t xml:space="preserve"> Započteme-li také zemědělské vědy </w:t>
      </w:r>
      <w:r w:rsidRPr="00CE5E1D">
        <w:rPr>
          <w:rFonts w:cs="Arial"/>
          <w:sz w:val="18"/>
          <w:szCs w:val="18"/>
        </w:rPr>
        <w:t>spadající do cílů „Všeobecný výzkum na VŠ“ (SEO10) a „Neorientovaný výzkum“ (SEO11), p</w:t>
      </w:r>
      <w:r>
        <w:rPr>
          <w:rFonts w:cs="Arial"/>
          <w:sz w:val="18"/>
          <w:szCs w:val="18"/>
        </w:rPr>
        <w:t xml:space="preserve">ak </w:t>
      </w:r>
      <w:r w:rsidRPr="00CE5E1D">
        <w:rPr>
          <w:rFonts w:cs="Arial"/>
          <w:sz w:val="18"/>
          <w:szCs w:val="18"/>
        </w:rPr>
        <w:t>výzkum</w:t>
      </w:r>
      <w:r>
        <w:rPr>
          <w:rFonts w:cs="Arial"/>
          <w:sz w:val="18"/>
          <w:szCs w:val="18"/>
        </w:rPr>
        <w:t xml:space="preserve"> zemědělské výroby a technologie byl podpořen </w:t>
      </w:r>
      <w:r w:rsidRPr="004203C8">
        <w:rPr>
          <w:rFonts w:cs="Arial"/>
          <w:sz w:val="18"/>
          <w:szCs w:val="18"/>
        </w:rPr>
        <w:t>částkou v souhrnu 1</w:t>
      </w:r>
      <w:r>
        <w:rPr>
          <w:rFonts w:cs="Arial"/>
          <w:sz w:val="18"/>
          <w:szCs w:val="18"/>
        </w:rPr>
        <w:t> </w:t>
      </w:r>
      <w:r w:rsidRPr="004203C8">
        <w:rPr>
          <w:rFonts w:cs="Arial"/>
          <w:sz w:val="18"/>
          <w:szCs w:val="18"/>
        </w:rPr>
        <w:t>598</w:t>
      </w:r>
      <w:r>
        <w:rPr>
          <w:rFonts w:cs="Arial"/>
          <w:sz w:val="18"/>
          <w:szCs w:val="18"/>
        </w:rPr>
        <w:t> </w:t>
      </w:r>
      <w:r w:rsidRPr="004203C8">
        <w:rPr>
          <w:rFonts w:cs="Arial"/>
          <w:sz w:val="18"/>
          <w:szCs w:val="18"/>
        </w:rPr>
        <w:t>mil. Kč.</w:t>
      </w:r>
    </w:p>
  </w:footnote>
  <w:footnote w:id="20">
    <w:p w14:paraId="4FE2D55A" w14:textId="77777777" w:rsidR="00B1640F" w:rsidRPr="00106359" w:rsidRDefault="00B1640F" w:rsidP="006B6AF7">
      <w:pPr>
        <w:pStyle w:val="Textpoznpodarou"/>
        <w:spacing w:after="60"/>
        <w:rPr>
          <w:sz w:val="18"/>
        </w:rPr>
      </w:pPr>
      <w:r w:rsidRPr="001E0912">
        <w:rPr>
          <w:rStyle w:val="Znakapoznpodarou"/>
          <w:sz w:val="18"/>
        </w:rPr>
        <w:footnoteRef/>
      </w:r>
      <w:r w:rsidRPr="001E0912">
        <w:rPr>
          <w:sz w:val="18"/>
        </w:rPr>
        <w:t xml:space="preserve"> </w:t>
      </w:r>
      <w:r w:rsidRPr="00106359">
        <w:rPr>
          <w:sz w:val="18"/>
        </w:rPr>
        <w:t xml:space="preserve">V případě vysokých škol může být část institucionálních finančních prostředků plynoucích na výzkum v oblasti životního prostředí částečně klasifikována pod položkou </w:t>
      </w:r>
      <w:r w:rsidRPr="00106359">
        <w:rPr>
          <w:rFonts w:cs="Arial"/>
          <w:sz w:val="18"/>
          <w:szCs w:val="18"/>
        </w:rPr>
        <w:t>„Vědy o Zemi a jim příbuzné (ekologické) vědy“. Tento dílčí cíl se ale spojuje se socioekonomickým cílem SEO 01 – Průzkum a využití zdrojů Země.</w:t>
      </w:r>
    </w:p>
  </w:footnote>
  <w:footnote w:id="21">
    <w:p w14:paraId="4C1FB9B5" w14:textId="77777777" w:rsidR="00B1640F" w:rsidRPr="00B9650F" w:rsidRDefault="00B1640F" w:rsidP="006B6AF7">
      <w:pPr>
        <w:pStyle w:val="Textpoznpodarou"/>
        <w:spacing w:after="60"/>
        <w:rPr>
          <w:rFonts w:cs="Arial"/>
          <w:sz w:val="18"/>
          <w:szCs w:val="18"/>
        </w:rPr>
      </w:pPr>
      <w:r w:rsidRPr="00106359">
        <w:rPr>
          <w:rStyle w:val="Znakapoznpodarou"/>
          <w:rFonts w:cs="Arial"/>
          <w:sz w:val="18"/>
          <w:szCs w:val="18"/>
        </w:rPr>
        <w:footnoteRef/>
      </w:r>
      <w:r w:rsidRPr="00106359">
        <w:rPr>
          <w:rFonts w:cs="Arial"/>
          <w:sz w:val="18"/>
          <w:szCs w:val="18"/>
        </w:rPr>
        <w:t xml:space="preserve"> Stejně jako v případě ochrany a zlepšování zdraví a zemědělské výroby a techniky je možné také státní prostředky investované do průzkumu a využití zdrojů Země rozšířit o finanční částky zařazené pod cíli „Všeobecný výzkum na VŠ (SEO10)“ a „Neorientovaný výzkum“ (SEO11) pod položkou „Vědy o Zemi a jim příbuzné (ekologické) vědy“. Celkově by pak do výzkumu spojeného se Zemí bylo </w:t>
      </w:r>
      <w:r w:rsidRPr="00B9650F">
        <w:rPr>
          <w:rFonts w:cs="Arial"/>
          <w:sz w:val="18"/>
          <w:szCs w:val="18"/>
        </w:rPr>
        <w:t>alokováno rovných 912 mil. Kč.</w:t>
      </w:r>
    </w:p>
  </w:footnote>
  <w:footnote w:id="22">
    <w:p w14:paraId="782430B0" w14:textId="77777777" w:rsidR="00B1640F" w:rsidRPr="00E23F25" w:rsidRDefault="00B1640F" w:rsidP="006B6AF7">
      <w:pPr>
        <w:pStyle w:val="Textpoznpodarou"/>
        <w:spacing w:after="60"/>
        <w:rPr>
          <w:rFonts w:cs="Arial"/>
          <w:sz w:val="18"/>
          <w:szCs w:val="18"/>
        </w:rPr>
      </w:pPr>
      <w:r w:rsidRPr="00106359">
        <w:rPr>
          <w:rStyle w:val="Znakapoznpodarou"/>
          <w:rFonts w:cs="Arial"/>
          <w:sz w:val="18"/>
          <w:szCs w:val="18"/>
        </w:rPr>
        <w:footnoteRef/>
      </w:r>
      <w:r w:rsidRPr="00106359">
        <w:rPr>
          <w:rFonts w:cs="Arial"/>
          <w:sz w:val="18"/>
          <w:szCs w:val="18"/>
        </w:rPr>
        <w:t xml:space="preserve"> Kosmický výzkum je lépe a kompletněji zachycen v klasifikaci NABS 2007 – SEO 03 (Průzkum a využití kosmu). Podíl tohoto cíle na celkových GBARD zde dosáhl 1,8 % (viz tabulka A19).</w:t>
      </w:r>
      <w:r>
        <w:rPr>
          <w:rFonts w:cs="Arial"/>
          <w:sz w:val="18"/>
          <w:szCs w:val="18"/>
        </w:rPr>
        <w:t xml:space="preserve"> </w:t>
      </w:r>
    </w:p>
  </w:footnote>
  <w:footnote w:id="23">
    <w:p w14:paraId="1F6CCB46" w14:textId="77777777" w:rsidR="00B810C3" w:rsidRPr="00382570" w:rsidRDefault="00B810C3">
      <w:pPr>
        <w:pStyle w:val="Textpoznpodarou"/>
        <w:rPr>
          <w:sz w:val="18"/>
        </w:rPr>
      </w:pPr>
      <w:r w:rsidRPr="00382570">
        <w:rPr>
          <w:rStyle w:val="Znakapoznpodarou"/>
          <w:sz w:val="18"/>
        </w:rPr>
        <w:footnoteRef/>
      </w:r>
      <w:r w:rsidRPr="00382570">
        <w:rPr>
          <w:sz w:val="18"/>
        </w:rPr>
        <w:t xml:space="preserve"> Eurostat publikuje</w:t>
      </w:r>
      <w:r w:rsidR="00382570" w:rsidRPr="00382570">
        <w:rPr>
          <w:sz w:val="18"/>
        </w:rPr>
        <w:t xml:space="preserve"> </w:t>
      </w:r>
      <w:r w:rsidR="00CD7D97">
        <w:rPr>
          <w:sz w:val="18"/>
        </w:rPr>
        <w:t xml:space="preserve">od roku 2008 </w:t>
      </w:r>
      <w:r w:rsidR="00382570" w:rsidRPr="00382570">
        <w:rPr>
          <w:sz w:val="18"/>
        </w:rPr>
        <w:t>údaje</w:t>
      </w:r>
      <w:r w:rsidRPr="00382570">
        <w:rPr>
          <w:sz w:val="18"/>
        </w:rPr>
        <w:t xml:space="preserve"> pouze podle klasifikace NABS 2007</w:t>
      </w:r>
      <w:r w:rsidR="00382570" w:rsidRPr="00382570">
        <w:rPr>
          <w:sz w:val="18"/>
        </w:rPr>
        <w:t>, k</w:t>
      </w:r>
      <w:r w:rsidR="00CD7D97">
        <w:rPr>
          <w:sz w:val="18"/>
        </w:rPr>
        <w:t>terá je méně podrobná než</w:t>
      </w:r>
      <w:r w:rsidR="00382570" w:rsidRPr="00382570">
        <w:rPr>
          <w:sz w:val="18"/>
        </w:rPr>
        <w:t xml:space="preserve"> předchozí verze NABS 1992</w:t>
      </w:r>
      <w:r w:rsidRPr="00382570">
        <w:rPr>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95378" w14:textId="77777777" w:rsidR="00B1640F" w:rsidRPr="001F708A" w:rsidRDefault="00B1640F" w:rsidP="001F708A">
    <w:pPr>
      <w:pStyle w:val="Zhlav"/>
      <w:tabs>
        <w:tab w:val="clear" w:pos="4536"/>
        <w:tab w:val="clear" w:pos="9072"/>
        <w:tab w:val="left" w:pos="-6379"/>
        <w:tab w:val="center" w:pos="4820"/>
        <w:tab w:val="right" w:pos="9639"/>
      </w:tabs>
      <w:rPr>
        <w:rFonts w:ascii="Arial" w:hAnsi="Arial" w:cs="Arial"/>
        <w:sz w:val="16"/>
        <w:szCs w:val="16"/>
      </w:rPr>
    </w:pPr>
    <w:r w:rsidRPr="001F6591">
      <w:rPr>
        <w:rFonts w:ascii="Arial" w:hAnsi="Arial" w:cs="Arial"/>
        <w:sz w:val="16"/>
        <w:szCs w:val="16"/>
      </w:rPr>
      <w:t>Přímá veřejná podpora výzkumu a vývoje / Direct public support of Research and Development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22BBF" w14:textId="77777777" w:rsidR="00B1640F" w:rsidRPr="00DC5B3B" w:rsidRDefault="00B1640F" w:rsidP="001F708A">
    <w:pPr>
      <w:pStyle w:val="Zhlav"/>
      <w:tabs>
        <w:tab w:val="clear" w:pos="4536"/>
        <w:tab w:val="clear" w:pos="9072"/>
        <w:tab w:val="left" w:pos="-6379"/>
        <w:tab w:val="center" w:pos="4820"/>
        <w:tab w:val="right" w:pos="9639"/>
      </w:tabs>
      <w:rPr>
        <w:rFonts w:ascii="Arial" w:hAnsi="Arial" w:cs="Arial"/>
        <w:sz w:val="16"/>
        <w:szCs w:val="16"/>
      </w:rPr>
    </w:pPr>
    <w:r w:rsidRPr="001F6591">
      <w:rPr>
        <w:rFonts w:ascii="Arial" w:hAnsi="Arial" w:cs="Arial"/>
        <w:sz w:val="16"/>
        <w:szCs w:val="16"/>
      </w:rPr>
      <w:t xml:space="preserve">Přímá veřejná podpora výzkumu a vývoje / Direct public support of Research and Development </w:t>
    </w:r>
  </w:p>
  <w:p w14:paraId="04B527D1" w14:textId="77777777" w:rsidR="00B1640F" w:rsidRPr="00DC5B3B" w:rsidRDefault="00B1640F" w:rsidP="009B6FD3">
    <w:pPr>
      <w:pStyle w:val="Zhlav"/>
      <w:tabs>
        <w:tab w:val="clear" w:pos="4536"/>
        <w:tab w:val="clear" w:pos="9072"/>
        <w:tab w:val="left" w:pos="-6379"/>
        <w:tab w:val="center" w:pos="4820"/>
        <w:tab w:val="right" w:pos="9639"/>
      </w:tabs>
      <w:jc w:val="cent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B3CE2"/>
    <w:multiLevelType w:val="hybridMultilevel"/>
    <w:tmpl w:val="C1AED6CC"/>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F8C1721"/>
    <w:multiLevelType w:val="hybridMultilevel"/>
    <w:tmpl w:val="1774032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D5F"/>
    <w:rsid w:val="0000087C"/>
    <w:rsid w:val="00000A97"/>
    <w:rsid w:val="0000316C"/>
    <w:rsid w:val="00004431"/>
    <w:rsid w:val="0000487C"/>
    <w:rsid w:val="0000517D"/>
    <w:rsid w:val="00006457"/>
    <w:rsid w:val="00006FA4"/>
    <w:rsid w:val="0000767A"/>
    <w:rsid w:val="000077E7"/>
    <w:rsid w:val="000100CF"/>
    <w:rsid w:val="000103AE"/>
    <w:rsid w:val="00010702"/>
    <w:rsid w:val="00010728"/>
    <w:rsid w:val="00011090"/>
    <w:rsid w:val="000119C9"/>
    <w:rsid w:val="00011AD9"/>
    <w:rsid w:val="00012145"/>
    <w:rsid w:val="000133D7"/>
    <w:rsid w:val="00014FA5"/>
    <w:rsid w:val="000158B9"/>
    <w:rsid w:val="00015D19"/>
    <w:rsid w:val="00016CCE"/>
    <w:rsid w:val="00017F12"/>
    <w:rsid w:val="00020A5D"/>
    <w:rsid w:val="00020DDB"/>
    <w:rsid w:val="000217E8"/>
    <w:rsid w:val="00022779"/>
    <w:rsid w:val="00023413"/>
    <w:rsid w:val="000239C2"/>
    <w:rsid w:val="00023B89"/>
    <w:rsid w:val="00024C3A"/>
    <w:rsid w:val="000262A4"/>
    <w:rsid w:val="00026961"/>
    <w:rsid w:val="00027052"/>
    <w:rsid w:val="000313F1"/>
    <w:rsid w:val="000318CE"/>
    <w:rsid w:val="000319F1"/>
    <w:rsid w:val="00031D06"/>
    <w:rsid w:val="00034163"/>
    <w:rsid w:val="0003523C"/>
    <w:rsid w:val="00035E0B"/>
    <w:rsid w:val="000367B6"/>
    <w:rsid w:val="000368A7"/>
    <w:rsid w:val="00036CDB"/>
    <w:rsid w:val="00036F9D"/>
    <w:rsid w:val="000372D7"/>
    <w:rsid w:val="00037A9F"/>
    <w:rsid w:val="00040041"/>
    <w:rsid w:val="000418DD"/>
    <w:rsid w:val="00043079"/>
    <w:rsid w:val="0004310A"/>
    <w:rsid w:val="00043A7E"/>
    <w:rsid w:val="0004694F"/>
    <w:rsid w:val="000472C0"/>
    <w:rsid w:val="000472ED"/>
    <w:rsid w:val="000478A7"/>
    <w:rsid w:val="000509B6"/>
    <w:rsid w:val="00050F9D"/>
    <w:rsid w:val="000517B0"/>
    <w:rsid w:val="00051C4D"/>
    <w:rsid w:val="00052B04"/>
    <w:rsid w:val="000536D9"/>
    <w:rsid w:val="000556B7"/>
    <w:rsid w:val="00055C01"/>
    <w:rsid w:val="00056385"/>
    <w:rsid w:val="0005739C"/>
    <w:rsid w:val="000576D7"/>
    <w:rsid w:val="000603F3"/>
    <w:rsid w:val="00060D0B"/>
    <w:rsid w:val="00062EC5"/>
    <w:rsid w:val="00063B70"/>
    <w:rsid w:val="00064171"/>
    <w:rsid w:val="00065675"/>
    <w:rsid w:val="00065DD1"/>
    <w:rsid w:val="00065E55"/>
    <w:rsid w:val="00065F81"/>
    <w:rsid w:val="00065F83"/>
    <w:rsid w:val="00066B31"/>
    <w:rsid w:val="00066B5A"/>
    <w:rsid w:val="00066F49"/>
    <w:rsid w:val="000674DF"/>
    <w:rsid w:val="00067EB6"/>
    <w:rsid w:val="000728FD"/>
    <w:rsid w:val="00072EB4"/>
    <w:rsid w:val="00073592"/>
    <w:rsid w:val="0007414B"/>
    <w:rsid w:val="000741A9"/>
    <w:rsid w:val="00075BDE"/>
    <w:rsid w:val="00080E37"/>
    <w:rsid w:val="000812FD"/>
    <w:rsid w:val="00081AAC"/>
    <w:rsid w:val="00081AB2"/>
    <w:rsid w:val="00082F96"/>
    <w:rsid w:val="00083CFA"/>
    <w:rsid w:val="00085870"/>
    <w:rsid w:val="00085C2F"/>
    <w:rsid w:val="00085CBD"/>
    <w:rsid w:val="000867D1"/>
    <w:rsid w:val="00087634"/>
    <w:rsid w:val="00087A0A"/>
    <w:rsid w:val="00090449"/>
    <w:rsid w:val="00090E52"/>
    <w:rsid w:val="00091E44"/>
    <w:rsid w:val="000925C7"/>
    <w:rsid w:val="00092C9A"/>
    <w:rsid w:val="00093C42"/>
    <w:rsid w:val="00093D46"/>
    <w:rsid w:val="00093F9D"/>
    <w:rsid w:val="00094263"/>
    <w:rsid w:val="00094FFB"/>
    <w:rsid w:val="000957AA"/>
    <w:rsid w:val="000A0505"/>
    <w:rsid w:val="000A05A7"/>
    <w:rsid w:val="000A0CD3"/>
    <w:rsid w:val="000A1183"/>
    <w:rsid w:val="000A1EC6"/>
    <w:rsid w:val="000A2D07"/>
    <w:rsid w:val="000A3A68"/>
    <w:rsid w:val="000A403D"/>
    <w:rsid w:val="000A46E5"/>
    <w:rsid w:val="000A4977"/>
    <w:rsid w:val="000A5B13"/>
    <w:rsid w:val="000A5CF5"/>
    <w:rsid w:val="000A76ED"/>
    <w:rsid w:val="000A7E0B"/>
    <w:rsid w:val="000B0280"/>
    <w:rsid w:val="000B05FC"/>
    <w:rsid w:val="000B0735"/>
    <w:rsid w:val="000B0777"/>
    <w:rsid w:val="000B3D2A"/>
    <w:rsid w:val="000B409F"/>
    <w:rsid w:val="000B43EA"/>
    <w:rsid w:val="000B46B1"/>
    <w:rsid w:val="000B67B8"/>
    <w:rsid w:val="000B703D"/>
    <w:rsid w:val="000C06D6"/>
    <w:rsid w:val="000C0751"/>
    <w:rsid w:val="000C0AF8"/>
    <w:rsid w:val="000C0B53"/>
    <w:rsid w:val="000C149A"/>
    <w:rsid w:val="000C1883"/>
    <w:rsid w:val="000C1CE8"/>
    <w:rsid w:val="000C3408"/>
    <w:rsid w:val="000C4625"/>
    <w:rsid w:val="000C4ABE"/>
    <w:rsid w:val="000C4C58"/>
    <w:rsid w:val="000C5C5D"/>
    <w:rsid w:val="000C5EE6"/>
    <w:rsid w:val="000C663D"/>
    <w:rsid w:val="000C69C0"/>
    <w:rsid w:val="000C7A37"/>
    <w:rsid w:val="000C7C55"/>
    <w:rsid w:val="000D009C"/>
    <w:rsid w:val="000D00A0"/>
    <w:rsid w:val="000D0EAF"/>
    <w:rsid w:val="000D1A09"/>
    <w:rsid w:val="000D2A47"/>
    <w:rsid w:val="000D33A9"/>
    <w:rsid w:val="000D34DA"/>
    <w:rsid w:val="000D48A0"/>
    <w:rsid w:val="000D59D3"/>
    <w:rsid w:val="000D6EF6"/>
    <w:rsid w:val="000E0C52"/>
    <w:rsid w:val="000E2043"/>
    <w:rsid w:val="000E2207"/>
    <w:rsid w:val="000E36B0"/>
    <w:rsid w:val="000E3FAA"/>
    <w:rsid w:val="000E42CB"/>
    <w:rsid w:val="000E4300"/>
    <w:rsid w:val="000E52FD"/>
    <w:rsid w:val="000E69B6"/>
    <w:rsid w:val="000F02C5"/>
    <w:rsid w:val="000F0B7C"/>
    <w:rsid w:val="000F1F88"/>
    <w:rsid w:val="000F2F8A"/>
    <w:rsid w:val="000F34FD"/>
    <w:rsid w:val="000F393A"/>
    <w:rsid w:val="000F41F1"/>
    <w:rsid w:val="000F46BF"/>
    <w:rsid w:val="000F4B6B"/>
    <w:rsid w:val="000F525F"/>
    <w:rsid w:val="000F5C63"/>
    <w:rsid w:val="000F5D9B"/>
    <w:rsid w:val="000F5F50"/>
    <w:rsid w:val="000F6553"/>
    <w:rsid w:val="000F6A39"/>
    <w:rsid w:val="00101A5E"/>
    <w:rsid w:val="001057F6"/>
    <w:rsid w:val="00105AEC"/>
    <w:rsid w:val="00106359"/>
    <w:rsid w:val="00106DA0"/>
    <w:rsid w:val="00107471"/>
    <w:rsid w:val="001101D5"/>
    <w:rsid w:val="001102C2"/>
    <w:rsid w:val="001103C6"/>
    <w:rsid w:val="00110CA8"/>
    <w:rsid w:val="0011197B"/>
    <w:rsid w:val="00112972"/>
    <w:rsid w:val="00112DEE"/>
    <w:rsid w:val="00114D74"/>
    <w:rsid w:val="001153FB"/>
    <w:rsid w:val="00117EB4"/>
    <w:rsid w:val="00121CFA"/>
    <w:rsid w:val="001223FC"/>
    <w:rsid w:val="00122D2E"/>
    <w:rsid w:val="001242E6"/>
    <w:rsid w:val="00124784"/>
    <w:rsid w:val="0012480B"/>
    <w:rsid w:val="00126337"/>
    <w:rsid w:val="00127CDF"/>
    <w:rsid w:val="00130761"/>
    <w:rsid w:val="00130C70"/>
    <w:rsid w:val="00130D16"/>
    <w:rsid w:val="00131CFB"/>
    <w:rsid w:val="00134390"/>
    <w:rsid w:val="001348DA"/>
    <w:rsid w:val="00135C14"/>
    <w:rsid w:val="0013656F"/>
    <w:rsid w:val="00136C92"/>
    <w:rsid w:val="00137A58"/>
    <w:rsid w:val="0014020B"/>
    <w:rsid w:val="001405FA"/>
    <w:rsid w:val="00140A1B"/>
    <w:rsid w:val="00140B28"/>
    <w:rsid w:val="001410BB"/>
    <w:rsid w:val="00141C52"/>
    <w:rsid w:val="001425C3"/>
    <w:rsid w:val="00142861"/>
    <w:rsid w:val="00143453"/>
    <w:rsid w:val="0014473F"/>
    <w:rsid w:val="00144E72"/>
    <w:rsid w:val="00145800"/>
    <w:rsid w:val="001459FA"/>
    <w:rsid w:val="00146553"/>
    <w:rsid w:val="001475F6"/>
    <w:rsid w:val="00150A46"/>
    <w:rsid w:val="00151F64"/>
    <w:rsid w:val="001528D0"/>
    <w:rsid w:val="00153228"/>
    <w:rsid w:val="001544C2"/>
    <w:rsid w:val="00154AC5"/>
    <w:rsid w:val="00155181"/>
    <w:rsid w:val="00155AEC"/>
    <w:rsid w:val="00156A62"/>
    <w:rsid w:val="00156C72"/>
    <w:rsid w:val="00156F9A"/>
    <w:rsid w:val="00157324"/>
    <w:rsid w:val="001604A9"/>
    <w:rsid w:val="001608FF"/>
    <w:rsid w:val="00160BB7"/>
    <w:rsid w:val="00162076"/>
    <w:rsid w:val="00163793"/>
    <w:rsid w:val="0016425E"/>
    <w:rsid w:val="0016610C"/>
    <w:rsid w:val="0016661D"/>
    <w:rsid w:val="00166CFA"/>
    <w:rsid w:val="001673AF"/>
    <w:rsid w:val="00167F92"/>
    <w:rsid w:val="00170BC0"/>
    <w:rsid w:val="001714F2"/>
    <w:rsid w:val="00171CD8"/>
    <w:rsid w:val="00172573"/>
    <w:rsid w:val="00172871"/>
    <w:rsid w:val="00172948"/>
    <w:rsid w:val="00173078"/>
    <w:rsid w:val="00174007"/>
    <w:rsid w:val="00174067"/>
    <w:rsid w:val="00175980"/>
    <w:rsid w:val="00175A98"/>
    <w:rsid w:val="00176360"/>
    <w:rsid w:val="00176926"/>
    <w:rsid w:val="00176B3E"/>
    <w:rsid w:val="00177334"/>
    <w:rsid w:val="001775E7"/>
    <w:rsid w:val="00177999"/>
    <w:rsid w:val="00180381"/>
    <w:rsid w:val="001807A4"/>
    <w:rsid w:val="00181A8D"/>
    <w:rsid w:val="00181D98"/>
    <w:rsid w:val="00182307"/>
    <w:rsid w:val="00182C43"/>
    <w:rsid w:val="0018408A"/>
    <w:rsid w:val="00185010"/>
    <w:rsid w:val="001876D6"/>
    <w:rsid w:val="0018773B"/>
    <w:rsid w:val="00190BF6"/>
    <w:rsid w:val="00191E4B"/>
    <w:rsid w:val="00191F3E"/>
    <w:rsid w:val="001929C3"/>
    <w:rsid w:val="0019317E"/>
    <w:rsid w:val="0019470B"/>
    <w:rsid w:val="001952D6"/>
    <w:rsid w:val="00195C8C"/>
    <w:rsid w:val="00195D5A"/>
    <w:rsid w:val="00195FB6"/>
    <w:rsid w:val="001960C2"/>
    <w:rsid w:val="00196897"/>
    <w:rsid w:val="001969C9"/>
    <w:rsid w:val="001972E3"/>
    <w:rsid w:val="001A08A6"/>
    <w:rsid w:val="001A364E"/>
    <w:rsid w:val="001A377F"/>
    <w:rsid w:val="001A3B6E"/>
    <w:rsid w:val="001A3F7F"/>
    <w:rsid w:val="001A4051"/>
    <w:rsid w:val="001A42D3"/>
    <w:rsid w:val="001A4F0B"/>
    <w:rsid w:val="001A51D6"/>
    <w:rsid w:val="001A552F"/>
    <w:rsid w:val="001A5BBB"/>
    <w:rsid w:val="001A6513"/>
    <w:rsid w:val="001A6A18"/>
    <w:rsid w:val="001B0241"/>
    <w:rsid w:val="001B0260"/>
    <w:rsid w:val="001B0CFD"/>
    <w:rsid w:val="001B26AC"/>
    <w:rsid w:val="001B2E25"/>
    <w:rsid w:val="001B3110"/>
    <w:rsid w:val="001B4888"/>
    <w:rsid w:val="001B4A9D"/>
    <w:rsid w:val="001B4D02"/>
    <w:rsid w:val="001B6EE0"/>
    <w:rsid w:val="001B75ED"/>
    <w:rsid w:val="001B7941"/>
    <w:rsid w:val="001B7C2E"/>
    <w:rsid w:val="001C2071"/>
    <w:rsid w:val="001C2B90"/>
    <w:rsid w:val="001C30F8"/>
    <w:rsid w:val="001C3BB4"/>
    <w:rsid w:val="001C4C36"/>
    <w:rsid w:val="001C51A8"/>
    <w:rsid w:val="001C53AE"/>
    <w:rsid w:val="001C628C"/>
    <w:rsid w:val="001C65E0"/>
    <w:rsid w:val="001C6D21"/>
    <w:rsid w:val="001C7670"/>
    <w:rsid w:val="001D03CD"/>
    <w:rsid w:val="001D39EA"/>
    <w:rsid w:val="001D3DFA"/>
    <w:rsid w:val="001D406B"/>
    <w:rsid w:val="001D5183"/>
    <w:rsid w:val="001D5849"/>
    <w:rsid w:val="001D622E"/>
    <w:rsid w:val="001D73FD"/>
    <w:rsid w:val="001D7670"/>
    <w:rsid w:val="001D7A62"/>
    <w:rsid w:val="001D7AC8"/>
    <w:rsid w:val="001D7FBC"/>
    <w:rsid w:val="001E0831"/>
    <w:rsid w:val="001E0904"/>
    <w:rsid w:val="001E0C6A"/>
    <w:rsid w:val="001E2E1C"/>
    <w:rsid w:val="001E42DA"/>
    <w:rsid w:val="001E5CBD"/>
    <w:rsid w:val="001E74D7"/>
    <w:rsid w:val="001F0082"/>
    <w:rsid w:val="001F0E77"/>
    <w:rsid w:val="001F11E4"/>
    <w:rsid w:val="001F199C"/>
    <w:rsid w:val="001F28A3"/>
    <w:rsid w:val="001F36C7"/>
    <w:rsid w:val="001F3E03"/>
    <w:rsid w:val="001F4597"/>
    <w:rsid w:val="001F46EA"/>
    <w:rsid w:val="001F4C47"/>
    <w:rsid w:val="001F50E8"/>
    <w:rsid w:val="001F52C4"/>
    <w:rsid w:val="001F647A"/>
    <w:rsid w:val="001F6591"/>
    <w:rsid w:val="001F68A0"/>
    <w:rsid w:val="001F708A"/>
    <w:rsid w:val="001F7541"/>
    <w:rsid w:val="001F7FF3"/>
    <w:rsid w:val="00201076"/>
    <w:rsid w:val="00201371"/>
    <w:rsid w:val="00201641"/>
    <w:rsid w:val="00201A1B"/>
    <w:rsid w:val="0020344B"/>
    <w:rsid w:val="00203AC6"/>
    <w:rsid w:val="00203D12"/>
    <w:rsid w:val="0020498B"/>
    <w:rsid w:val="0020650B"/>
    <w:rsid w:val="00206C36"/>
    <w:rsid w:val="002073DB"/>
    <w:rsid w:val="00207A19"/>
    <w:rsid w:val="00210505"/>
    <w:rsid w:val="00211943"/>
    <w:rsid w:val="00211C1E"/>
    <w:rsid w:val="0021207D"/>
    <w:rsid w:val="002122DC"/>
    <w:rsid w:val="0021258E"/>
    <w:rsid w:val="0021282D"/>
    <w:rsid w:val="00213BB3"/>
    <w:rsid w:val="002145E1"/>
    <w:rsid w:val="00215943"/>
    <w:rsid w:val="00215E0F"/>
    <w:rsid w:val="00216EB6"/>
    <w:rsid w:val="002201D9"/>
    <w:rsid w:val="002202D4"/>
    <w:rsid w:val="002204C3"/>
    <w:rsid w:val="00220822"/>
    <w:rsid w:val="0022139E"/>
    <w:rsid w:val="002216A8"/>
    <w:rsid w:val="002216F1"/>
    <w:rsid w:val="00221957"/>
    <w:rsid w:val="00222322"/>
    <w:rsid w:val="00222D55"/>
    <w:rsid w:val="002233FF"/>
    <w:rsid w:val="0022439C"/>
    <w:rsid w:val="002248D4"/>
    <w:rsid w:val="002252E0"/>
    <w:rsid w:val="002255F6"/>
    <w:rsid w:val="00225C66"/>
    <w:rsid w:val="00225EE9"/>
    <w:rsid w:val="0022691D"/>
    <w:rsid w:val="00226D6E"/>
    <w:rsid w:val="00230FA2"/>
    <w:rsid w:val="00234209"/>
    <w:rsid w:val="00234AC0"/>
    <w:rsid w:val="0023512E"/>
    <w:rsid w:val="00236333"/>
    <w:rsid w:val="00236443"/>
    <w:rsid w:val="00236D1F"/>
    <w:rsid w:val="0024129B"/>
    <w:rsid w:val="002436BA"/>
    <w:rsid w:val="0024379D"/>
    <w:rsid w:val="002439D6"/>
    <w:rsid w:val="002443A5"/>
    <w:rsid w:val="0024490F"/>
    <w:rsid w:val="00244A15"/>
    <w:rsid w:val="00244F0F"/>
    <w:rsid w:val="002451FF"/>
    <w:rsid w:val="00246294"/>
    <w:rsid w:val="00246C23"/>
    <w:rsid w:val="00247178"/>
    <w:rsid w:val="002478CD"/>
    <w:rsid w:val="0024799E"/>
    <w:rsid w:val="00247ED1"/>
    <w:rsid w:val="002516CC"/>
    <w:rsid w:val="00253C42"/>
    <w:rsid w:val="00254352"/>
    <w:rsid w:val="00256E94"/>
    <w:rsid w:val="00260046"/>
    <w:rsid w:val="002601F6"/>
    <w:rsid w:val="00263096"/>
    <w:rsid w:val="00264463"/>
    <w:rsid w:val="00264CC7"/>
    <w:rsid w:val="00265D1A"/>
    <w:rsid w:val="00266B15"/>
    <w:rsid w:val="00267C5E"/>
    <w:rsid w:val="00267F2F"/>
    <w:rsid w:val="002704E6"/>
    <w:rsid w:val="00270567"/>
    <w:rsid w:val="002720C3"/>
    <w:rsid w:val="002729FF"/>
    <w:rsid w:val="0027307F"/>
    <w:rsid w:val="002737B6"/>
    <w:rsid w:val="00273BD1"/>
    <w:rsid w:val="00273F9D"/>
    <w:rsid w:val="00276B63"/>
    <w:rsid w:val="002771CE"/>
    <w:rsid w:val="00277478"/>
    <w:rsid w:val="00277AA3"/>
    <w:rsid w:val="002810FD"/>
    <w:rsid w:val="00281435"/>
    <w:rsid w:val="00283284"/>
    <w:rsid w:val="002835A8"/>
    <w:rsid w:val="0028363A"/>
    <w:rsid w:val="00284544"/>
    <w:rsid w:val="002872C2"/>
    <w:rsid w:val="00290C0F"/>
    <w:rsid w:val="00292845"/>
    <w:rsid w:val="00292B40"/>
    <w:rsid w:val="00292F47"/>
    <w:rsid w:val="00293CEF"/>
    <w:rsid w:val="00293F7A"/>
    <w:rsid w:val="00295694"/>
    <w:rsid w:val="00295B27"/>
    <w:rsid w:val="0029633E"/>
    <w:rsid w:val="002964D0"/>
    <w:rsid w:val="002976B9"/>
    <w:rsid w:val="00297EEE"/>
    <w:rsid w:val="00297FBA"/>
    <w:rsid w:val="002A0702"/>
    <w:rsid w:val="002A07F7"/>
    <w:rsid w:val="002A1933"/>
    <w:rsid w:val="002A20BA"/>
    <w:rsid w:val="002A2148"/>
    <w:rsid w:val="002A21A2"/>
    <w:rsid w:val="002A2CF9"/>
    <w:rsid w:val="002A46FF"/>
    <w:rsid w:val="002A4779"/>
    <w:rsid w:val="002A4F13"/>
    <w:rsid w:val="002A5BAA"/>
    <w:rsid w:val="002A67A5"/>
    <w:rsid w:val="002A6FB6"/>
    <w:rsid w:val="002A7CDE"/>
    <w:rsid w:val="002B1DF8"/>
    <w:rsid w:val="002B2848"/>
    <w:rsid w:val="002B2B3E"/>
    <w:rsid w:val="002B30B3"/>
    <w:rsid w:val="002B3194"/>
    <w:rsid w:val="002B3B30"/>
    <w:rsid w:val="002B439B"/>
    <w:rsid w:val="002B6CDB"/>
    <w:rsid w:val="002B782B"/>
    <w:rsid w:val="002C0D94"/>
    <w:rsid w:val="002C0FFC"/>
    <w:rsid w:val="002C1CCB"/>
    <w:rsid w:val="002C2278"/>
    <w:rsid w:val="002C23E4"/>
    <w:rsid w:val="002C30CA"/>
    <w:rsid w:val="002C31C4"/>
    <w:rsid w:val="002C31D3"/>
    <w:rsid w:val="002C3C8D"/>
    <w:rsid w:val="002C430B"/>
    <w:rsid w:val="002C43BD"/>
    <w:rsid w:val="002C4EB9"/>
    <w:rsid w:val="002C63C8"/>
    <w:rsid w:val="002C7784"/>
    <w:rsid w:val="002D007E"/>
    <w:rsid w:val="002D0D0A"/>
    <w:rsid w:val="002D13DD"/>
    <w:rsid w:val="002D3010"/>
    <w:rsid w:val="002D362F"/>
    <w:rsid w:val="002D3869"/>
    <w:rsid w:val="002D3DF2"/>
    <w:rsid w:val="002D3EAF"/>
    <w:rsid w:val="002D3F0F"/>
    <w:rsid w:val="002D4104"/>
    <w:rsid w:val="002D47D8"/>
    <w:rsid w:val="002D487C"/>
    <w:rsid w:val="002D5837"/>
    <w:rsid w:val="002D6AFD"/>
    <w:rsid w:val="002D6DDD"/>
    <w:rsid w:val="002D73A9"/>
    <w:rsid w:val="002D7465"/>
    <w:rsid w:val="002D7A34"/>
    <w:rsid w:val="002E0064"/>
    <w:rsid w:val="002E02A1"/>
    <w:rsid w:val="002E0AD7"/>
    <w:rsid w:val="002E19C4"/>
    <w:rsid w:val="002E4155"/>
    <w:rsid w:val="002E53EB"/>
    <w:rsid w:val="002E5DF8"/>
    <w:rsid w:val="002E75CD"/>
    <w:rsid w:val="002E7ACB"/>
    <w:rsid w:val="002E7D89"/>
    <w:rsid w:val="002F1C06"/>
    <w:rsid w:val="002F23F1"/>
    <w:rsid w:val="002F2B9F"/>
    <w:rsid w:val="002F3032"/>
    <w:rsid w:val="002F313B"/>
    <w:rsid w:val="002F3150"/>
    <w:rsid w:val="002F3249"/>
    <w:rsid w:val="002F3D67"/>
    <w:rsid w:val="002F453F"/>
    <w:rsid w:val="002F455B"/>
    <w:rsid w:val="002F473A"/>
    <w:rsid w:val="002F4840"/>
    <w:rsid w:val="002F53A6"/>
    <w:rsid w:val="002F6B60"/>
    <w:rsid w:val="002F7080"/>
    <w:rsid w:val="002F7590"/>
    <w:rsid w:val="0030115C"/>
    <w:rsid w:val="00301A1D"/>
    <w:rsid w:val="00301C0F"/>
    <w:rsid w:val="003040D3"/>
    <w:rsid w:val="00304147"/>
    <w:rsid w:val="0030424D"/>
    <w:rsid w:val="00304771"/>
    <w:rsid w:val="00304EEE"/>
    <w:rsid w:val="00305F36"/>
    <w:rsid w:val="003061B7"/>
    <w:rsid w:val="00306C5B"/>
    <w:rsid w:val="00307719"/>
    <w:rsid w:val="00311453"/>
    <w:rsid w:val="00311963"/>
    <w:rsid w:val="00311D3E"/>
    <w:rsid w:val="00313553"/>
    <w:rsid w:val="00314A3C"/>
    <w:rsid w:val="00314AAB"/>
    <w:rsid w:val="00314EE7"/>
    <w:rsid w:val="003155FB"/>
    <w:rsid w:val="003156E7"/>
    <w:rsid w:val="00315720"/>
    <w:rsid w:val="0031638D"/>
    <w:rsid w:val="00317713"/>
    <w:rsid w:val="003209D6"/>
    <w:rsid w:val="00320DA4"/>
    <w:rsid w:val="0032123E"/>
    <w:rsid w:val="00321C29"/>
    <w:rsid w:val="00321F4E"/>
    <w:rsid w:val="0032208D"/>
    <w:rsid w:val="003225B0"/>
    <w:rsid w:val="00322A85"/>
    <w:rsid w:val="00322B58"/>
    <w:rsid w:val="003257F5"/>
    <w:rsid w:val="00325833"/>
    <w:rsid w:val="0032669A"/>
    <w:rsid w:val="00327A2B"/>
    <w:rsid w:val="00327C7C"/>
    <w:rsid w:val="00330D12"/>
    <w:rsid w:val="00331292"/>
    <w:rsid w:val="00331641"/>
    <w:rsid w:val="00331663"/>
    <w:rsid w:val="00332DE4"/>
    <w:rsid w:val="0033380D"/>
    <w:rsid w:val="00334AF9"/>
    <w:rsid w:val="00335304"/>
    <w:rsid w:val="003357F1"/>
    <w:rsid w:val="00336576"/>
    <w:rsid w:val="00337AE4"/>
    <w:rsid w:val="00341E45"/>
    <w:rsid w:val="003429AA"/>
    <w:rsid w:val="00342A7A"/>
    <w:rsid w:val="00343938"/>
    <w:rsid w:val="0034579B"/>
    <w:rsid w:val="00346045"/>
    <w:rsid w:val="00346895"/>
    <w:rsid w:val="00347A9E"/>
    <w:rsid w:val="003507F7"/>
    <w:rsid w:val="003543F2"/>
    <w:rsid w:val="00354634"/>
    <w:rsid w:val="00354986"/>
    <w:rsid w:val="00354B78"/>
    <w:rsid w:val="003559DE"/>
    <w:rsid w:val="00356039"/>
    <w:rsid w:val="003562CA"/>
    <w:rsid w:val="00356A61"/>
    <w:rsid w:val="00356ABD"/>
    <w:rsid w:val="00356BC6"/>
    <w:rsid w:val="00357632"/>
    <w:rsid w:val="00357CC8"/>
    <w:rsid w:val="003603CE"/>
    <w:rsid w:val="00360DEF"/>
    <w:rsid w:val="0036128C"/>
    <w:rsid w:val="00361F49"/>
    <w:rsid w:val="00363114"/>
    <w:rsid w:val="003657F3"/>
    <w:rsid w:val="00366251"/>
    <w:rsid w:val="003665AB"/>
    <w:rsid w:val="003702C7"/>
    <w:rsid w:val="00370721"/>
    <w:rsid w:val="003715C8"/>
    <w:rsid w:val="00371906"/>
    <w:rsid w:val="00372E02"/>
    <w:rsid w:val="00372ECF"/>
    <w:rsid w:val="003738F1"/>
    <w:rsid w:val="003748FE"/>
    <w:rsid w:val="00374920"/>
    <w:rsid w:val="003756DC"/>
    <w:rsid w:val="0037582D"/>
    <w:rsid w:val="00376D7A"/>
    <w:rsid w:val="00377B43"/>
    <w:rsid w:val="00381287"/>
    <w:rsid w:val="00381B38"/>
    <w:rsid w:val="00382570"/>
    <w:rsid w:val="00383531"/>
    <w:rsid w:val="00383C4C"/>
    <w:rsid w:val="00383DD8"/>
    <w:rsid w:val="003855FD"/>
    <w:rsid w:val="00385D98"/>
    <w:rsid w:val="00386193"/>
    <w:rsid w:val="003864AE"/>
    <w:rsid w:val="003869AD"/>
    <w:rsid w:val="00386CFD"/>
    <w:rsid w:val="003909D7"/>
    <w:rsid w:val="0039159A"/>
    <w:rsid w:val="00391639"/>
    <w:rsid w:val="00391B49"/>
    <w:rsid w:val="0039328F"/>
    <w:rsid w:val="00394398"/>
    <w:rsid w:val="00394756"/>
    <w:rsid w:val="00395EBF"/>
    <w:rsid w:val="003962DF"/>
    <w:rsid w:val="003A071A"/>
    <w:rsid w:val="003A139A"/>
    <w:rsid w:val="003A2000"/>
    <w:rsid w:val="003A2B4D"/>
    <w:rsid w:val="003A3DC5"/>
    <w:rsid w:val="003A4766"/>
    <w:rsid w:val="003A478C"/>
    <w:rsid w:val="003A5169"/>
    <w:rsid w:val="003A5525"/>
    <w:rsid w:val="003A6B38"/>
    <w:rsid w:val="003A7D04"/>
    <w:rsid w:val="003A7EF5"/>
    <w:rsid w:val="003B07C1"/>
    <w:rsid w:val="003B07D7"/>
    <w:rsid w:val="003B1F4B"/>
    <w:rsid w:val="003B2C29"/>
    <w:rsid w:val="003B3719"/>
    <w:rsid w:val="003B3854"/>
    <w:rsid w:val="003B3E11"/>
    <w:rsid w:val="003B43F5"/>
    <w:rsid w:val="003B57B7"/>
    <w:rsid w:val="003B5A32"/>
    <w:rsid w:val="003B75E7"/>
    <w:rsid w:val="003C1606"/>
    <w:rsid w:val="003C2B86"/>
    <w:rsid w:val="003C3177"/>
    <w:rsid w:val="003C40CE"/>
    <w:rsid w:val="003C4755"/>
    <w:rsid w:val="003C48BB"/>
    <w:rsid w:val="003C508F"/>
    <w:rsid w:val="003C54D3"/>
    <w:rsid w:val="003C5BAF"/>
    <w:rsid w:val="003C5BE5"/>
    <w:rsid w:val="003C5FB3"/>
    <w:rsid w:val="003C77D1"/>
    <w:rsid w:val="003C7B97"/>
    <w:rsid w:val="003D20B9"/>
    <w:rsid w:val="003D2347"/>
    <w:rsid w:val="003D3D33"/>
    <w:rsid w:val="003D4D7C"/>
    <w:rsid w:val="003D5042"/>
    <w:rsid w:val="003D53AA"/>
    <w:rsid w:val="003D6DE4"/>
    <w:rsid w:val="003D7C24"/>
    <w:rsid w:val="003D7CF3"/>
    <w:rsid w:val="003E081A"/>
    <w:rsid w:val="003E22E9"/>
    <w:rsid w:val="003E2BEE"/>
    <w:rsid w:val="003E4697"/>
    <w:rsid w:val="003E6D10"/>
    <w:rsid w:val="003E7003"/>
    <w:rsid w:val="003E71A3"/>
    <w:rsid w:val="003E796F"/>
    <w:rsid w:val="003E7A25"/>
    <w:rsid w:val="003F0699"/>
    <w:rsid w:val="003F0E25"/>
    <w:rsid w:val="003F0FD3"/>
    <w:rsid w:val="003F1F84"/>
    <w:rsid w:val="003F313C"/>
    <w:rsid w:val="003F52E9"/>
    <w:rsid w:val="003F5792"/>
    <w:rsid w:val="003F586E"/>
    <w:rsid w:val="003F62AA"/>
    <w:rsid w:val="003F7C34"/>
    <w:rsid w:val="00400636"/>
    <w:rsid w:val="00402062"/>
    <w:rsid w:val="0040280F"/>
    <w:rsid w:val="004039E7"/>
    <w:rsid w:val="00403B3D"/>
    <w:rsid w:val="00403ED7"/>
    <w:rsid w:val="00405CD5"/>
    <w:rsid w:val="00405D48"/>
    <w:rsid w:val="00406C11"/>
    <w:rsid w:val="004073A2"/>
    <w:rsid w:val="00407605"/>
    <w:rsid w:val="00410D5F"/>
    <w:rsid w:val="00412434"/>
    <w:rsid w:val="00412F1A"/>
    <w:rsid w:val="0041398E"/>
    <w:rsid w:val="00414240"/>
    <w:rsid w:val="00414F8F"/>
    <w:rsid w:val="00415FAD"/>
    <w:rsid w:val="004166B2"/>
    <w:rsid w:val="0041734A"/>
    <w:rsid w:val="00417424"/>
    <w:rsid w:val="00417ECE"/>
    <w:rsid w:val="004203C8"/>
    <w:rsid w:val="00420985"/>
    <w:rsid w:val="00421359"/>
    <w:rsid w:val="00422315"/>
    <w:rsid w:val="004236B3"/>
    <w:rsid w:val="00423910"/>
    <w:rsid w:val="00423BBA"/>
    <w:rsid w:val="00424AB7"/>
    <w:rsid w:val="00426330"/>
    <w:rsid w:val="00426422"/>
    <w:rsid w:val="00427185"/>
    <w:rsid w:val="00427765"/>
    <w:rsid w:val="00430090"/>
    <w:rsid w:val="00430CE0"/>
    <w:rsid w:val="004310C7"/>
    <w:rsid w:val="004313F0"/>
    <w:rsid w:val="0043194A"/>
    <w:rsid w:val="004322C6"/>
    <w:rsid w:val="0043232A"/>
    <w:rsid w:val="004341DF"/>
    <w:rsid w:val="00434B73"/>
    <w:rsid w:val="00434E4A"/>
    <w:rsid w:val="00434EA2"/>
    <w:rsid w:val="00435439"/>
    <w:rsid w:val="00436048"/>
    <w:rsid w:val="004362C7"/>
    <w:rsid w:val="004366E7"/>
    <w:rsid w:val="004407F7"/>
    <w:rsid w:val="00440863"/>
    <w:rsid w:val="0044161B"/>
    <w:rsid w:val="004418B6"/>
    <w:rsid w:val="004423DA"/>
    <w:rsid w:val="00443FBC"/>
    <w:rsid w:val="00445AF9"/>
    <w:rsid w:val="00446A05"/>
    <w:rsid w:val="00446C05"/>
    <w:rsid w:val="0044781D"/>
    <w:rsid w:val="004479AD"/>
    <w:rsid w:val="00450CA5"/>
    <w:rsid w:val="00451CBF"/>
    <w:rsid w:val="00452E0F"/>
    <w:rsid w:val="00454B4B"/>
    <w:rsid w:val="00455781"/>
    <w:rsid w:val="004560BE"/>
    <w:rsid w:val="00460DFF"/>
    <w:rsid w:val="004618CF"/>
    <w:rsid w:val="004619D9"/>
    <w:rsid w:val="00462172"/>
    <w:rsid w:val="00463277"/>
    <w:rsid w:val="004644D9"/>
    <w:rsid w:val="004663E3"/>
    <w:rsid w:val="00466611"/>
    <w:rsid w:val="004670EF"/>
    <w:rsid w:val="0047159E"/>
    <w:rsid w:val="00471D56"/>
    <w:rsid w:val="00472688"/>
    <w:rsid w:val="00473149"/>
    <w:rsid w:val="00473708"/>
    <w:rsid w:val="00473C4D"/>
    <w:rsid w:val="00473EC5"/>
    <w:rsid w:val="00475D13"/>
    <w:rsid w:val="00475FE9"/>
    <w:rsid w:val="00480043"/>
    <w:rsid w:val="00480A0A"/>
    <w:rsid w:val="0048139F"/>
    <w:rsid w:val="00481B3C"/>
    <w:rsid w:val="00483CCC"/>
    <w:rsid w:val="00484781"/>
    <w:rsid w:val="00485EF6"/>
    <w:rsid w:val="00486571"/>
    <w:rsid w:val="0048673C"/>
    <w:rsid w:val="004868AB"/>
    <w:rsid w:val="00486D50"/>
    <w:rsid w:val="00486EDF"/>
    <w:rsid w:val="0048734B"/>
    <w:rsid w:val="0049040D"/>
    <w:rsid w:val="00490F7D"/>
    <w:rsid w:val="004918CF"/>
    <w:rsid w:val="00492782"/>
    <w:rsid w:val="004932C0"/>
    <w:rsid w:val="00493A82"/>
    <w:rsid w:val="00494BB0"/>
    <w:rsid w:val="00495524"/>
    <w:rsid w:val="00497328"/>
    <w:rsid w:val="004976DF"/>
    <w:rsid w:val="0049796C"/>
    <w:rsid w:val="00497E1B"/>
    <w:rsid w:val="004A0961"/>
    <w:rsid w:val="004A0C12"/>
    <w:rsid w:val="004A0ED7"/>
    <w:rsid w:val="004A1A0B"/>
    <w:rsid w:val="004A2ED0"/>
    <w:rsid w:val="004A2FD3"/>
    <w:rsid w:val="004A3B8F"/>
    <w:rsid w:val="004A4013"/>
    <w:rsid w:val="004A4D9F"/>
    <w:rsid w:val="004A735E"/>
    <w:rsid w:val="004A774A"/>
    <w:rsid w:val="004A77DF"/>
    <w:rsid w:val="004A7C15"/>
    <w:rsid w:val="004A7F6D"/>
    <w:rsid w:val="004B0CF8"/>
    <w:rsid w:val="004B0EFC"/>
    <w:rsid w:val="004B1EFD"/>
    <w:rsid w:val="004B2A2D"/>
    <w:rsid w:val="004B2ECC"/>
    <w:rsid w:val="004B3778"/>
    <w:rsid w:val="004B38CF"/>
    <w:rsid w:val="004B55B1"/>
    <w:rsid w:val="004B55B7"/>
    <w:rsid w:val="004C152D"/>
    <w:rsid w:val="004C1966"/>
    <w:rsid w:val="004C1B6F"/>
    <w:rsid w:val="004C2E6C"/>
    <w:rsid w:val="004C3867"/>
    <w:rsid w:val="004C4121"/>
    <w:rsid w:val="004C43FF"/>
    <w:rsid w:val="004C4CD0"/>
    <w:rsid w:val="004C5960"/>
    <w:rsid w:val="004C6F38"/>
    <w:rsid w:val="004C70DC"/>
    <w:rsid w:val="004D0211"/>
    <w:rsid w:val="004D059E"/>
    <w:rsid w:val="004D3AA6"/>
    <w:rsid w:val="004D4ED3"/>
    <w:rsid w:val="004D68B3"/>
    <w:rsid w:val="004D6D09"/>
    <w:rsid w:val="004D6E66"/>
    <w:rsid w:val="004D70A1"/>
    <w:rsid w:val="004D70DB"/>
    <w:rsid w:val="004D7622"/>
    <w:rsid w:val="004E0DA0"/>
    <w:rsid w:val="004E2E1B"/>
    <w:rsid w:val="004E2E2C"/>
    <w:rsid w:val="004E3005"/>
    <w:rsid w:val="004E3936"/>
    <w:rsid w:val="004E3D6B"/>
    <w:rsid w:val="004E3E7B"/>
    <w:rsid w:val="004E44F4"/>
    <w:rsid w:val="004E46DF"/>
    <w:rsid w:val="004E4AF3"/>
    <w:rsid w:val="004E4E44"/>
    <w:rsid w:val="004E57C7"/>
    <w:rsid w:val="004E5C31"/>
    <w:rsid w:val="004E6919"/>
    <w:rsid w:val="004E6BC8"/>
    <w:rsid w:val="004E6BE2"/>
    <w:rsid w:val="004E74C2"/>
    <w:rsid w:val="004E7551"/>
    <w:rsid w:val="004E789E"/>
    <w:rsid w:val="004E7A13"/>
    <w:rsid w:val="004E7D3D"/>
    <w:rsid w:val="004F06F5"/>
    <w:rsid w:val="004F0BD9"/>
    <w:rsid w:val="004F0F92"/>
    <w:rsid w:val="004F1915"/>
    <w:rsid w:val="004F25E7"/>
    <w:rsid w:val="004F2DFF"/>
    <w:rsid w:val="004F33A0"/>
    <w:rsid w:val="004F411B"/>
    <w:rsid w:val="004F4D12"/>
    <w:rsid w:val="004F4FE7"/>
    <w:rsid w:val="004F5578"/>
    <w:rsid w:val="004F6BBE"/>
    <w:rsid w:val="004F7BC4"/>
    <w:rsid w:val="00500B29"/>
    <w:rsid w:val="00500D87"/>
    <w:rsid w:val="0050138A"/>
    <w:rsid w:val="0050264F"/>
    <w:rsid w:val="00502D0B"/>
    <w:rsid w:val="00502D0E"/>
    <w:rsid w:val="00503A24"/>
    <w:rsid w:val="00505692"/>
    <w:rsid w:val="005072D0"/>
    <w:rsid w:val="00507F95"/>
    <w:rsid w:val="005108C0"/>
    <w:rsid w:val="00510A30"/>
    <w:rsid w:val="00510C06"/>
    <w:rsid w:val="00510CB2"/>
    <w:rsid w:val="005110A5"/>
    <w:rsid w:val="005116AE"/>
    <w:rsid w:val="00511873"/>
    <w:rsid w:val="005119CB"/>
    <w:rsid w:val="00512441"/>
    <w:rsid w:val="005130E9"/>
    <w:rsid w:val="00513433"/>
    <w:rsid w:val="00513683"/>
    <w:rsid w:val="00513B7E"/>
    <w:rsid w:val="00513C82"/>
    <w:rsid w:val="00514924"/>
    <w:rsid w:val="005161B9"/>
    <w:rsid w:val="00516807"/>
    <w:rsid w:val="00516A92"/>
    <w:rsid w:val="00516C32"/>
    <w:rsid w:val="00516CC3"/>
    <w:rsid w:val="005171EB"/>
    <w:rsid w:val="00517B67"/>
    <w:rsid w:val="00521533"/>
    <w:rsid w:val="00523ED3"/>
    <w:rsid w:val="00525137"/>
    <w:rsid w:val="005251DD"/>
    <w:rsid w:val="005253B1"/>
    <w:rsid w:val="00526709"/>
    <w:rsid w:val="00526DF5"/>
    <w:rsid w:val="00527020"/>
    <w:rsid w:val="0052748E"/>
    <w:rsid w:val="0052775C"/>
    <w:rsid w:val="00527BD3"/>
    <w:rsid w:val="00527E4A"/>
    <w:rsid w:val="00530814"/>
    <w:rsid w:val="00530BFD"/>
    <w:rsid w:val="0053208A"/>
    <w:rsid w:val="005323FC"/>
    <w:rsid w:val="0053254A"/>
    <w:rsid w:val="00533F4C"/>
    <w:rsid w:val="00534195"/>
    <w:rsid w:val="00535248"/>
    <w:rsid w:val="00535DB6"/>
    <w:rsid w:val="005361D3"/>
    <w:rsid w:val="005363FE"/>
    <w:rsid w:val="00536462"/>
    <w:rsid w:val="005405D4"/>
    <w:rsid w:val="00540CEC"/>
    <w:rsid w:val="00540F29"/>
    <w:rsid w:val="005419BA"/>
    <w:rsid w:val="00543213"/>
    <w:rsid w:val="00543761"/>
    <w:rsid w:val="005438A7"/>
    <w:rsid w:val="005438DE"/>
    <w:rsid w:val="0054507F"/>
    <w:rsid w:val="00545ADF"/>
    <w:rsid w:val="00545AFD"/>
    <w:rsid w:val="005460E9"/>
    <w:rsid w:val="00551E93"/>
    <w:rsid w:val="005529F6"/>
    <w:rsid w:val="00552F1A"/>
    <w:rsid w:val="0055358A"/>
    <w:rsid w:val="0055454F"/>
    <w:rsid w:val="005547E7"/>
    <w:rsid w:val="005565F3"/>
    <w:rsid w:val="005568FC"/>
    <w:rsid w:val="00560485"/>
    <w:rsid w:val="00560C17"/>
    <w:rsid w:val="00560FB2"/>
    <w:rsid w:val="005626C2"/>
    <w:rsid w:val="005629BB"/>
    <w:rsid w:val="00562E49"/>
    <w:rsid w:val="00562F22"/>
    <w:rsid w:val="00563888"/>
    <w:rsid w:val="00563D83"/>
    <w:rsid w:val="00564425"/>
    <w:rsid w:val="0056597A"/>
    <w:rsid w:val="00565A4E"/>
    <w:rsid w:val="005679C5"/>
    <w:rsid w:val="005706B1"/>
    <w:rsid w:val="005709D3"/>
    <w:rsid w:val="00570CD6"/>
    <w:rsid w:val="0057175E"/>
    <w:rsid w:val="00571D93"/>
    <w:rsid w:val="00571E9F"/>
    <w:rsid w:val="005729F5"/>
    <w:rsid w:val="00573FFF"/>
    <w:rsid w:val="00574490"/>
    <w:rsid w:val="00574547"/>
    <w:rsid w:val="00574590"/>
    <w:rsid w:val="00574E20"/>
    <w:rsid w:val="00575AFF"/>
    <w:rsid w:val="00576906"/>
    <w:rsid w:val="00576FE4"/>
    <w:rsid w:val="00577790"/>
    <w:rsid w:val="00577F03"/>
    <w:rsid w:val="00581B79"/>
    <w:rsid w:val="00581C5D"/>
    <w:rsid w:val="00583CBA"/>
    <w:rsid w:val="00583F8C"/>
    <w:rsid w:val="00583FFD"/>
    <w:rsid w:val="0058628D"/>
    <w:rsid w:val="0058644C"/>
    <w:rsid w:val="005866E9"/>
    <w:rsid w:val="00586E76"/>
    <w:rsid w:val="005872D8"/>
    <w:rsid w:val="005874A9"/>
    <w:rsid w:val="005877D7"/>
    <w:rsid w:val="00587951"/>
    <w:rsid w:val="00590645"/>
    <w:rsid w:val="00590782"/>
    <w:rsid w:val="005916AD"/>
    <w:rsid w:val="00593152"/>
    <w:rsid w:val="00593415"/>
    <w:rsid w:val="00593616"/>
    <w:rsid w:val="005938F5"/>
    <w:rsid w:val="005940A0"/>
    <w:rsid w:val="0059475B"/>
    <w:rsid w:val="00594A1D"/>
    <w:rsid w:val="0059538A"/>
    <w:rsid w:val="00595B7A"/>
    <w:rsid w:val="00595DF4"/>
    <w:rsid w:val="005962A0"/>
    <w:rsid w:val="005A0590"/>
    <w:rsid w:val="005A0714"/>
    <w:rsid w:val="005A0F15"/>
    <w:rsid w:val="005A21E0"/>
    <w:rsid w:val="005A28B5"/>
    <w:rsid w:val="005A2ADA"/>
    <w:rsid w:val="005A35C9"/>
    <w:rsid w:val="005A390B"/>
    <w:rsid w:val="005A3CEB"/>
    <w:rsid w:val="005A40D8"/>
    <w:rsid w:val="005A4539"/>
    <w:rsid w:val="005A5FA9"/>
    <w:rsid w:val="005A6B73"/>
    <w:rsid w:val="005A7D8C"/>
    <w:rsid w:val="005A7DA5"/>
    <w:rsid w:val="005B1C07"/>
    <w:rsid w:val="005B259E"/>
    <w:rsid w:val="005B3E33"/>
    <w:rsid w:val="005B4204"/>
    <w:rsid w:val="005B4A27"/>
    <w:rsid w:val="005B52EE"/>
    <w:rsid w:val="005B56EF"/>
    <w:rsid w:val="005B5E34"/>
    <w:rsid w:val="005B609E"/>
    <w:rsid w:val="005B6B27"/>
    <w:rsid w:val="005B7AFC"/>
    <w:rsid w:val="005C0359"/>
    <w:rsid w:val="005C0BF9"/>
    <w:rsid w:val="005C11AC"/>
    <w:rsid w:val="005C1EB6"/>
    <w:rsid w:val="005C2E31"/>
    <w:rsid w:val="005C2F69"/>
    <w:rsid w:val="005C2F7B"/>
    <w:rsid w:val="005C3DB0"/>
    <w:rsid w:val="005C4202"/>
    <w:rsid w:val="005C5DD9"/>
    <w:rsid w:val="005C6194"/>
    <w:rsid w:val="005C665F"/>
    <w:rsid w:val="005C66E8"/>
    <w:rsid w:val="005D22D1"/>
    <w:rsid w:val="005D2342"/>
    <w:rsid w:val="005D2755"/>
    <w:rsid w:val="005D353F"/>
    <w:rsid w:val="005D3651"/>
    <w:rsid w:val="005D37AA"/>
    <w:rsid w:val="005D3A8D"/>
    <w:rsid w:val="005D44A6"/>
    <w:rsid w:val="005D4544"/>
    <w:rsid w:val="005D4FFA"/>
    <w:rsid w:val="005D5733"/>
    <w:rsid w:val="005D5802"/>
    <w:rsid w:val="005D5C82"/>
    <w:rsid w:val="005D5E5F"/>
    <w:rsid w:val="005E1FDE"/>
    <w:rsid w:val="005E2022"/>
    <w:rsid w:val="005E2DDB"/>
    <w:rsid w:val="005E2E0B"/>
    <w:rsid w:val="005E33B5"/>
    <w:rsid w:val="005E3A2D"/>
    <w:rsid w:val="005E3FBD"/>
    <w:rsid w:val="005E4190"/>
    <w:rsid w:val="005E505B"/>
    <w:rsid w:val="005E507B"/>
    <w:rsid w:val="005E5795"/>
    <w:rsid w:val="005E5841"/>
    <w:rsid w:val="005E68B8"/>
    <w:rsid w:val="005E763D"/>
    <w:rsid w:val="005F0B96"/>
    <w:rsid w:val="005F0BD1"/>
    <w:rsid w:val="005F2478"/>
    <w:rsid w:val="005F260F"/>
    <w:rsid w:val="005F3C22"/>
    <w:rsid w:val="005F4810"/>
    <w:rsid w:val="005F5097"/>
    <w:rsid w:val="005F5310"/>
    <w:rsid w:val="005F5DA3"/>
    <w:rsid w:val="005F6461"/>
    <w:rsid w:val="005F6F84"/>
    <w:rsid w:val="006010B5"/>
    <w:rsid w:val="00601C10"/>
    <w:rsid w:val="00602941"/>
    <w:rsid w:val="0060342E"/>
    <w:rsid w:val="00603BF6"/>
    <w:rsid w:val="00604307"/>
    <w:rsid w:val="00604542"/>
    <w:rsid w:val="0060487F"/>
    <w:rsid w:val="00606238"/>
    <w:rsid w:val="00607283"/>
    <w:rsid w:val="006078AD"/>
    <w:rsid w:val="00610EDF"/>
    <w:rsid w:val="006119BF"/>
    <w:rsid w:val="006137B9"/>
    <w:rsid w:val="00613EFD"/>
    <w:rsid w:val="006148A5"/>
    <w:rsid w:val="00615C91"/>
    <w:rsid w:val="00616B00"/>
    <w:rsid w:val="00616B56"/>
    <w:rsid w:val="006179E9"/>
    <w:rsid w:val="00620044"/>
    <w:rsid w:val="00620179"/>
    <w:rsid w:val="00621149"/>
    <w:rsid w:val="00623456"/>
    <w:rsid w:val="00624093"/>
    <w:rsid w:val="006248C6"/>
    <w:rsid w:val="006257D8"/>
    <w:rsid w:val="00625CD9"/>
    <w:rsid w:val="0062654A"/>
    <w:rsid w:val="006269EA"/>
    <w:rsid w:val="00626F55"/>
    <w:rsid w:val="0063056C"/>
    <w:rsid w:val="00630EFD"/>
    <w:rsid w:val="00631500"/>
    <w:rsid w:val="00632D0E"/>
    <w:rsid w:val="0063382F"/>
    <w:rsid w:val="0063437C"/>
    <w:rsid w:val="006343AA"/>
    <w:rsid w:val="00635C2B"/>
    <w:rsid w:val="0063630B"/>
    <w:rsid w:val="006400ED"/>
    <w:rsid w:val="00640294"/>
    <w:rsid w:val="006404A7"/>
    <w:rsid w:val="0064152C"/>
    <w:rsid w:val="00641532"/>
    <w:rsid w:val="006434C4"/>
    <w:rsid w:val="006437D6"/>
    <w:rsid w:val="00643C82"/>
    <w:rsid w:val="00644401"/>
    <w:rsid w:val="00644C9D"/>
    <w:rsid w:val="00644F5A"/>
    <w:rsid w:val="006451E4"/>
    <w:rsid w:val="006451F0"/>
    <w:rsid w:val="00645B93"/>
    <w:rsid w:val="00647A9C"/>
    <w:rsid w:val="00647F62"/>
    <w:rsid w:val="00650E29"/>
    <w:rsid w:val="00652AFC"/>
    <w:rsid w:val="006532F0"/>
    <w:rsid w:val="006533BA"/>
    <w:rsid w:val="00654593"/>
    <w:rsid w:val="00654E5F"/>
    <w:rsid w:val="00656BF8"/>
    <w:rsid w:val="006577E2"/>
    <w:rsid w:val="00657E87"/>
    <w:rsid w:val="00660575"/>
    <w:rsid w:val="00662212"/>
    <w:rsid w:val="00662351"/>
    <w:rsid w:val="00662635"/>
    <w:rsid w:val="00662A19"/>
    <w:rsid w:val="00663D1D"/>
    <w:rsid w:val="00663E02"/>
    <w:rsid w:val="006646F2"/>
    <w:rsid w:val="006652C4"/>
    <w:rsid w:val="006655D8"/>
    <w:rsid w:val="006664F5"/>
    <w:rsid w:val="00666A0B"/>
    <w:rsid w:val="006704A4"/>
    <w:rsid w:val="00670A01"/>
    <w:rsid w:val="006710C9"/>
    <w:rsid w:val="0067118A"/>
    <w:rsid w:val="00671F0C"/>
    <w:rsid w:val="00673310"/>
    <w:rsid w:val="00673CD6"/>
    <w:rsid w:val="00675136"/>
    <w:rsid w:val="00675670"/>
    <w:rsid w:val="00675ACF"/>
    <w:rsid w:val="00675E37"/>
    <w:rsid w:val="00681EC9"/>
    <w:rsid w:val="0068221E"/>
    <w:rsid w:val="0068260E"/>
    <w:rsid w:val="00682E35"/>
    <w:rsid w:val="00683E98"/>
    <w:rsid w:val="0068705D"/>
    <w:rsid w:val="00687495"/>
    <w:rsid w:val="006902F9"/>
    <w:rsid w:val="00690FC3"/>
    <w:rsid w:val="00692262"/>
    <w:rsid w:val="00692925"/>
    <w:rsid w:val="006930E2"/>
    <w:rsid w:val="0069355F"/>
    <w:rsid w:val="006938CA"/>
    <w:rsid w:val="00693C50"/>
    <w:rsid w:val="00693D68"/>
    <w:rsid w:val="006954F9"/>
    <w:rsid w:val="006959FA"/>
    <w:rsid w:val="00695BEF"/>
    <w:rsid w:val="006977F6"/>
    <w:rsid w:val="00697A13"/>
    <w:rsid w:val="00697C74"/>
    <w:rsid w:val="006A109C"/>
    <w:rsid w:val="006A281E"/>
    <w:rsid w:val="006A2DAC"/>
    <w:rsid w:val="006A3AB0"/>
    <w:rsid w:val="006A3CD2"/>
    <w:rsid w:val="006A3E4E"/>
    <w:rsid w:val="006A41F7"/>
    <w:rsid w:val="006A4FCA"/>
    <w:rsid w:val="006A5CB1"/>
    <w:rsid w:val="006A5DA3"/>
    <w:rsid w:val="006A68FD"/>
    <w:rsid w:val="006A6EDE"/>
    <w:rsid w:val="006B084D"/>
    <w:rsid w:val="006B1DE7"/>
    <w:rsid w:val="006B2637"/>
    <w:rsid w:val="006B2EFB"/>
    <w:rsid w:val="006B44EB"/>
    <w:rsid w:val="006B616B"/>
    <w:rsid w:val="006B6589"/>
    <w:rsid w:val="006B663A"/>
    <w:rsid w:val="006B666B"/>
    <w:rsid w:val="006B6AF7"/>
    <w:rsid w:val="006B6C1B"/>
    <w:rsid w:val="006B78D8"/>
    <w:rsid w:val="006B79DE"/>
    <w:rsid w:val="006B7AF3"/>
    <w:rsid w:val="006C1136"/>
    <w:rsid w:val="006C113F"/>
    <w:rsid w:val="006C1501"/>
    <w:rsid w:val="006C1F4A"/>
    <w:rsid w:val="006C2600"/>
    <w:rsid w:val="006C27E6"/>
    <w:rsid w:val="006C3601"/>
    <w:rsid w:val="006C3C9F"/>
    <w:rsid w:val="006C446E"/>
    <w:rsid w:val="006C4B09"/>
    <w:rsid w:val="006C4F1F"/>
    <w:rsid w:val="006C7525"/>
    <w:rsid w:val="006C7A7F"/>
    <w:rsid w:val="006C7EA7"/>
    <w:rsid w:val="006D0D80"/>
    <w:rsid w:val="006D1CB5"/>
    <w:rsid w:val="006D24BB"/>
    <w:rsid w:val="006D2559"/>
    <w:rsid w:val="006D2594"/>
    <w:rsid w:val="006D2BB0"/>
    <w:rsid w:val="006D2BDA"/>
    <w:rsid w:val="006D34C1"/>
    <w:rsid w:val="006D4821"/>
    <w:rsid w:val="006D566D"/>
    <w:rsid w:val="006D5D5B"/>
    <w:rsid w:val="006D61F6"/>
    <w:rsid w:val="006D7F8A"/>
    <w:rsid w:val="006E022D"/>
    <w:rsid w:val="006E02AE"/>
    <w:rsid w:val="006E0C18"/>
    <w:rsid w:val="006E0C59"/>
    <w:rsid w:val="006E20A5"/>
    <w:rsid w:val="006E279A"/>
    <w:rsid w:val="006E30C5"/>
    <w:rsid w:val="006E313B"/>
    <w:rsid w:val="006E332C"/>
    <w:rsid w:val="006E3865"/>
    <w:rsid w:val="006E39B0"/>
    <w:rsid w:val="006E4920"/>
    <w:rsid w:val="006E4DBB"/>
    <w:rsid w:val="006E5CD2"/>
    <w:rsid w:val="006E76EF"/>
    <w:rsid w:val="006E77B8"/>
    <w:rsid w:val="006E7C47"/>
    <w:rsid w:val="006F1594"/>
    <w:rsid w:val="006F1979"/>
    <w:rsid w:val="006F1D47"/>
    <w:rsid w:val="006F3933"/>
    <w:rsid w:val="006F3D79"/>
    <w:rsid w:val="006F44F9"/>
    <w:rsid w:val="006F51D5"/>
    <w:rsid w:val="006F5D28"/>
    <w:rsid w:val="006F5D5F"/>
    <w:rsid w:val="006F62F4"/>
    <w:rsid w:val="006F6A6F"/>
    <w:rsid w:val="006F6BF4"/>
    <w:rsid w:val="006F7318"/>
    <w:rsid w:val="006F7D6F"/>
    <w:rsid w:val="007003A4"/>
    <w:rsid w:val="0070046A"/>
    <w:rsid w:val="007011A3"/>
    <w:rsid w:val="0070199D"/>
    <w:rsid w:val="00701DE3"/>
    <w:rsid w:val="00702312"/>
    <w:rsid w:val="007025AB"/>
    <w:rsid w:val="00702D4C"/>
    <w:rsid w:val="0070315E"/>
    <w:rsid w:val="00703A95"/>
    <w:rsid w:val="00703FAA"/>
    <w:rsid w:val="00704E80"/>
    <w:rsid w:val="007064B5"/>
    <w:rsid w:val="00706947"/>
    <w:rsid w:val="00707ACC"/>
    <w:rsid w:val="00710016"/>
    <w:rsid w:val="00710A84"/>
    <w:rsid w:val="00710C31"/>
    <w:rsid w:val="00711334"/>
    <w:rsid w:val="00711A84"/>
    <w:rsid w:val="00713FCC"/>
    <w:rsid w:val="00714539"/>
    <w:rsid w:val="00714A89"/>
    <w:rsid w:val="007158BD"/>
    <w:rsid w:val="00715C3C"/>
    <w:rsid w:val="00717608"/>
    <w:rsid w:val="0072015F"/>
    <w:rsid w:val="0072031C"/>
    <w:rsid w:val="007211F5"/>
    <w:rsid w:val="00721870"/>
    <w:rsid w:val="00721D01"/>
    <w:rsid w:val="007220AB"/>
    <w:rsid w:val="007225E2"/>
    <w:rsid w:val="00726B87"/>
    <w:rsid w:val="00730645"/>
    <w:rsid w:val="00730AE8"/>
    <w:rsid w:val="00730E5F"/>
    <w:rsid w:val="007312CD"/>
    <w:rsid w:val="00731782"/>
    <w:rsid w:val="007325E4"/>
    <w:rsid w:val="00732A53"/>
    <w:rsid w:val="00732A80"/>
    <w:rsid w:val="00733287"/>
    <w:rsid w:val="00733953"/>
    <w:rsid w:val="007353FC"/>
    <w:rsid w:val="007357DE"/>
    <w:rsid w:val="007361DE"/>
    <w:rsid w:val="00737392"/>
    <w:rsid w:val="00737F64"/>
    <w:rsid w:val="00740247"/>
    <w:rsid w:val="0074024F"/>
    <w:rsid w:val="00741493"/>
    <w:rsid w:val="0074315B"/>
    <w:rsid w:val="00744210"/>
    <w:rsid w:val="0074449E"/>
    <w:rsid w:val="0074502D"/>
    <w:rsid w:val="00746E46"/>
    <w:rsid w:val="00751513"/>
    <w:rsid w:val="0075203E"/>
    <w:rsid w:val="00752180"/>
    <w:rsid w:val="00753D5E"/>
    <w:rsid w:val="0075538A"/>
    <w:rsid w:val="00755703"/>
    <w:rsid w:val="00755AFC"/>
    <w:rsid w:val="00755D3A"/>
    <w:rsid w:val="007578DF"/>
    <w:rsid w:val="00757E60"/>
    <w:rsid w:val="0076034C"/>
    <w:rsid w:val="007609C6"/>
    <w:rsid w:val="0076194D"/>
    <w:rsid w:val="00761AB3"/>
    <w:rsid w:val="00761B3D"/>
    <w:rsid w:val="00763242"/>
    <w:rsid w:val="007640EA"/>
    <w:rsid w:val="00764739"/>
    <w:rsid w:val="00764CB6"/>
    <w:rsid w:val="0076531B"/>
    <w:rsid w:val="0076676A"/>
    <w:rsid w:val="007669CA"/>
    <w:rsid w:val="00770172"/>
    <w:rsid w:val="007701FB"/>
    <w:rsid w:val="00771B63"/>
    <w:rsid w:val="00772A22"/>
    <w:rsid w:val="00772FD6"/>
    <w:rsid w:val="00774040"/>
    <w:rsid w:val="0077528D"/>
    <w:rsid w:val="0077546E"/>
    <w:rsid w:val="00776527"/>
    <w:rsid w:val="00776925"/>
    <w:rsid w:val="00776E52"/>
    <w:rsid w:val="00777A7F"/>
    <w:rsid w:val="0078001E"/>
    <w:rsid w:val="00782419"/>
    <w:rsid w:val="007828B0"/>
    <w:rsid w:val="00782C2D"/>
    <w:rsid w:val="00784FF8"/>
    <w:rsid w:val="00785F01"/>
    <w:rsid w:val="0078609D"/>
    <w:rsid w:val="007862F6"/>
    <w:rsid w:val="007866DC"/>
    <w:rsid w:val="007902DA"/>
    <w:rsid w:val="00790A88"/>
    <w:rsid w:val="00790BA8"/>
    <w:rsid w:val="00791489"/>
    <w:rsid w:val="00792D65"/>
    <w:rsid w:val="00792E1B"/>
    <w:rsid w:val="0079384B"/>
    <w:rsid w:val="00797B10"/>
    <w:rsid w:val="00797F5F"/>
    <w:rsid w:val="007A04CE"/>
    <w:rsid w:val="007A1D16"/>
    <w:rsid w:val="007A33E4"/>
    <w:rsid w:val="007A3862"/>
    <w:rsid w:val="007A3CED"/>
    <w:rsid w:val="007A5252"/>
    <w:rsid w:val="007A5794"/>
    <w:rsid w:val="007A5DA4"/>
    <w:rsid w:val="007A6182"/>
    <w:rsid w:val="007A7491"/>
    <w:rsid w:val="007A7ED9"/>
    <w:rsid w:val="007B05E9"/>
    <w:rsid w:val="007B06B2"/>
    <w:rsid w:val="007B06EC"/>
    <w:rsid w:val="007B077B"/>
    <w:rsid w:val="007B19B6"/>
    <w:rsid w:val="007B27B9"/>
    <w:rsid w:val="007B31E6"/>
    <w:rsid w:val="007B39E8"/>
    <w:rsid w:val="007B5BAF"/>
    <w:rsid w:val="007B6B44"/>
    <w:rsid w:val="007B7A8E"/>
    <w:rsid w:val="007C0251"/>
    <w:rsid w:val="007C0837"/>
    <w:rsid w:val="007C0839"/>
    <w:rsid w:val="007C17BE"/>
    <w:rsid w:val="007C1D4D"/>
    <w:rsid w:val="007C1FCD"/>
    <w:rsid w:val="007C20B9"/>
    <w:rsid w:val="007C295A"/>
    <w:rsid w:val="007C2A31"/>
    <w:rsid w:val="007C328F"/>
    <w:rsid w:val="007C3B94"/>
    <w:rsid w:val="007C3F6A"/>
    <w:rsid w:val="007C4C1A"/>
    <w:rsid w:val="007C626D"/>
    <w:rsid w:val="007C632B"/>
    <w:rsid w:val="007D0303"/>
    <w:rsid w:val="007D0714"/>
    <w:rsid w:val="007D0CCD"/>
    <w:rsid w:val="007D1FB5"/>
    <w:rsid w:val="007D2C7A"/>
    <w:rsid w:val="007D3AD7"/>
    <w:rsid w:val="007D4055"/>
    <w:rsid w:val="007D41D7"/>
    <w:rsid w:val="007D4863"/>
    <w:rsid w:val="007D4F0E"/>
    <w:rsid w:val="007D66A3"/>
    <w:rsid w:val="007E115D"/>
    <w:rsid w:val="007E135C"/>
    <w:rsid w:val="007E2B9E"/>
    <w:rsid w:val="007E2CCC"/>
    <w:rsid w:val="007E32F3"/>
    <w:rsid w:val="007E3FA2"/>
    <w:rsid w:val="007E41A1"/>
    <w:rsid w:val="007E44B3"/>
    <w:rsid w:val="007E575C"/>
    <w:rsid w:val="007E7B1C"/>
    <w:rsid w:val="007E7E61"/>
    <w:rsid w:val="007F0845"/>
    <w:rsid w:val="007F0945"/>
    <w:rsid w:val="007F0E95"/>
    <w:rsid w:val="007F146E"/>
    <w:rsid w:val="007F1DB7"/>
    <w:rsid w:val="007F21F2"/>
    <w:rsid w:val="007F234B"/>
    <w:rsid w:val="007F2C20"/>
    <w:rsid w:val="007F3CBA"/>
    <w:rsid w:val="007F3DCD"/>
    <w:rsid w:val="007F43BF"/>
    <w:rsid w:val="007F54C9"/>
    <w:rsid w:val="007F5A1B"/>
    <w:rsid w:val="007F6055"/>
    <w:rsid w:val="007F63E0"/>
    <w:rsid w:val="007F7649"/>
    <w:rsid w:val="007F77F4"/>
    <w:rsid w:val="007F7B14"/>
    <w:rsid w:val="007F7CD2"/>
    <w:rsid w:val="0080002C"/>
    <w:rsid w:val="0080103E"/>
    <w:rsid w:val="00801042"/>
    <w:rsid w:val="00801128"/>
    <w:rsid w:val="00801B0C"/>
    <w:rsid w:val="00801E54"/>
    <w:rsid w:val="008046CE"/>
    <w:rsid w:val="0080498A"/>
    <w:rsid w:val="00804F81"/>
    <w:rsid w:val="0080500B"/>
    <w:rsid w:val="0080521C"/>
    <w:rsid w:val="00805E10"/>
    <w:rsid w:val="0080613B"/>
    <w:rsid w:val="00807741"/>
    <w:rsid w:val="00807C33"/>
    <w:rsid w:val="00807EA1"/>
    <w:rsid w:val="008101D1"/>
    <w:rsid w:val="00810B09"/>
    <w:rsid w:val="00810E9D"/>
    <w:rsid w:val="00811C55"/>
    <w:rsid w:val="00811FBB"/>
    <w:rsid w:val="00811FFE"/>
    <w:rsid w:val="008124BB"/>
    <w:rsid w:val="0081287F"/>
    <w:rsid w:val="008132DA"/>
    <w:rsid w:val="008136CB"/>
    <w:rsid w:val="00813D05"/>
    <w:rsid w:val="008144AC"/>
    <w:rsid w:val="008144F5"/>
    <w:rsid w:val="00816313"/>
    <w:rsid w:val="00817A19"/>
    <w:rsid w:val="00820B41"/>
    <w:rsid w:val="00821847"/>
    <w:rsid w:val="00821FF6"/>
    <w:rsid w:val="00822FAF"/>
    <w:rsid w:val="008239D7"/>
    <w:rsid w:val="00825F7B"/>
    <w:rsid w:val="008260FA"/>
    <w:rsid w:val="0083143E"/>
    <w:rsid w:val="0083159F"/>
    <w:rsid w:val="00832251"/>
    <w:rsid w:val="00832F47"/>
    <w:rsid w:val="0083479A"/>
    <w:rsid w:val="00834FAA"/>
    <w:rsid w:val="00835229"/>
    <w:rsid w:val="00836086"/>
    <w:rsid w:val="00840136"/>
    <w:rsid w:val="00840C7B"/>
    <w:rsid w:val="00840E30"/>
    <w:rsid w:val="00841063"/>
    <w:rsid w:val="00842E41"/>
    <w:rsid w:val="00844405"/>
    <w:rsid w:val="00844545"/>
    <w:rsid w:val="00844734"/>
    <w:rsid w:val="008458BA"/>
    <w:rsid w:val="00847509"/>
    <w:rsid w:val="00847B1D"/>
    <w:rsid w:val="00847E75"/>
    <w:rsid w:val="0085095D"/>
    <w:rsid w:val="0085164D"/>
    <w:rsid w:val="008530CD"/>
    <w:rsid w:val="00856E6C"/>
    <w:rsid w:val="00857C86"/>
    <w:rsid w:val="00857CF9"/>
    <w:rsid w:val="008603C2"/>
    <w:rsid w:val="0086188F"/>
    <w:rsid w:val="008623C5"/>
    <w:rsid w:val="00862F08"/>
    <w:rsid w:val="00863620"/>
    <w:rsid w:val="00863D57"/>
    <w:rsid w:val="00864CB8"/>
    <w:rsid w:val="00866C5B"/>
    <w:rsid w:val="00866D1D"/>
    <w:rsid w:val="00867F87"/>
    <w:rsid w:val="00870BD2"/>
    <w:rsid w:val="0087136A"/>
    <w:rsid w:val="00874347"/>
    <w:rsid w:val="00874492"/>
    <w:rsid w:val="0087478F"/>
    <w:rsid w:val="00875ACA"/>
    <w:rsid w:val="00875DD5"/>
    <w:rsid w:val="00876086"/>
    <w:rsid w:val="00876CA7"/>
    <w:rsid w:val="00876ED6"/>
    <w:rsid w:val="00877369"/>
    <w:rsid w:val="00877587"/>
    <w:rsid w:val="00877B42"/>
    <w:rsid w:val="00880079"/>
    <w:rsid w:val="00880A24"/>
    <w:rsid w:val="008821EB"/>
    <w:rsid w:val="00882361"/>
    <w:rsid w:val="008829B8"/>
    <w:rsid w:val="00882CA7"/>
    <w:rsid w:val="008839A7"/>
    <w:rsid w:val="00883EF6"/>
    <w:rsid w:val="00885F25"/>
    <w:rsid w:val="0088724D"/>
    <w:rsid w:val="0088749F"/>
    <w:rsid w:val="008877F9"/>
    <w:rsid w:val="00887973"/>
    <w:rsid w:val="00887BDA"/>
    <w:rsid w:val="00890779"/>
    <w:rsid w:val="00891172"/>
    <w:rsid w:val="00892BA5"/>
    <w:rsid w:val="00892C22"/>
    <w:rsid w:val="008937CB"/>
    <w:rsid w:val="00893C93"/>
    <w:rsid w:val="00893EC7"/>
    <w:rsid w:val="00893F91"/>
    <w:rsid w:val="00894405"/>
    <w:rsid w:val="0089478A"/>
    <w:rsid w:val="008A1102"/>
    <w:rsid w:val="008A1882"/>
    <w:rsid w:val="008A1F0F"/>
    <w:rsid w:val="008A23EC"/>
    <w:rsid w:val="008A2CD5"/>
    <w:rsid w:val="008A31DC"/>
    <w:rsid w:val="008A5856"/>
    <w:rsid w:val="008A5FFF"/>
    <w:rsid w:val="008A69D9"/>
    <w:rsid w:val="008A6C6F"/>
    <w:rsid w:val="008A7D69"/>
    <w:rsid w:val="008B24B4"/>
    <w:rsid w:val="008B272B"/>
    <w:rsid w:val="008B2742"/>
    <w:rsid w:val="008B2B07"/>
    <w:rsid w:val="008B4E2F"/>
    <w:rsid w:val="008B5BB8"/>
    <w:rsid w:val="008B5E16"/>
    <w:rsid w:val="008B6E1F"/>
    <w:rsid w:val="008B7497"/>
    <w:rsid w:val="008B7A7D"/>
    <w:rsid w:val="008B7C02"/>
    <w:rsid w:val="008C0003"/>
    <w:rsid w:val="008C0742"/>
    <w:rsid w:val="008C07F6"/>
    <w:rsid w:val="008C082F"/>
    <w:rsid w:val="008C0B92"/>
    <w:rsid w:val="008C0E88"/>
    <w:rsid w:val="008C1A57"/>
    <w:rsid w:val="008C3631"/>
    <w:rsid w:val="008C3A0F"/>
    <w:rsid w:val="008C461B"/>
    <w:rsid w:val="008C4943"/>
    <w:rsid w:val="008C608F"/>
    <w:rsid w:val="008C6900"/>
    <w:rsid w:val="008C7E53"/>
    <w:rsid w:val="008D0319"/>
    <w:rsid w:val="008D0BD0"/>
    <w:rsid w:val="008D1336"/>
    <w:rsid w:val="008D2A16"/>
    <w:rsid w:val="008D3CBD"/>
    <w:rsid w:val="008D6563"/>
    <w:rsid w:val="008D68F3"/>
    <w:rsid w:val="008E0B7B"/>
    <w:rsid w:val="008E183C"/>
    <w:rsid w:val="008E31FF"/>
    <w:rsid w:val="008E3F5C"/>
    <w:rsid w:val="008E4065"/>
    <w:rsid w:val="008E6520"/>
    <w:rsid w:val="008E66FB"/>
    <w:rsid w:val="008F0178"/>
    <w:rsid w:val="008F0538"/>
    <w:rsid w:val="008F1814"/>
    <w:rsid w:val="008F196F"/>
    <w:rsid w:val="008F1F72"/>
    <w:rsid w:val="008F2FA9"/>
    <w:rsid w:val="008F371B"/>
    <w:rsid w:val="008F5169"/>
    <w:rsid w:val="008F5329"/>
    <w:rsid w:val="008F658F"/>
    <w:rsid w:val="009003A8"/>
    <w:rsid w:val="00901510"/>
    <w:rsid w:val="00902EFF"/>
    <w:rsid w:val="00903707"/>
    <w:rsid w:val="009037D1"/>
    <w:rsid w:val="009059F0"/>
    <w:rsid w:val="009064E1"/>
    <w:rsid w:val="00906960"/>
    <w:rsid w:val="00910405"/>
    <w:rsid w:val="00910A05"/>
    <w:rsid w:val="00912CAA"/>
    <w:rsid w:val="00913185"/>
    <w:rsid w:val="00914A9A"/>
    <w:rsid w:val="00915C41"/>
    <w:rsid w:val="00916458"/>
    <w:rsid w:val="00916650"/>
    <w:rsid w:val="00916804"/>
    <w:rsid w:val="00917541"/>
    <w:rsid w:val="009204DF"/>
    <w:rsid w:val="00920FA8"/>
    <w:rsid w:val="00920FDF"/>
    <w:rsid w:val="00921108"/>
    <w:rsid w:val="00921695"/>
    <w:rsid w:val="0092187B"/>
    <w:rsid w:val="00921F14"/>
    <w:rsid w:val="00922BAC"/>
    <w:rsid w:val="00922BE8"/>
    <w:rsid w:val="009230B4"/>
    <w:rsid w:val="00924E49"/>
    <w:rsid w:val="009254CF"/>
    <w:rsid w:val="00925994"/>
    <w:rsid w:val="009259D3"/>
    <w:rsid w:val="00925CA7"/>
    <w:rsid w:val="00927A01"/>
    <w:rsid w:val="00927C8B"/>
    <w:rsid w:val="009311FE"/>
    <w:rsid w:val="00932499"/>
    <w:rsid w:val="00933073"/>
    <w:rsid w:val="009338E5"/>
    <w:rsid w:val="009338EC"/>
    <w:rsid w:val="0093390B"/>
    <w:rsid w:val="00933D08"/>
    <w:rsid w:val="00935B0F"/>
    <w:rsid w:val="00935DC3"/>
    <w:rsid w:val="00936FF1"/>
    <w:rsid w:val="00941519"/>
    <w:rsid w:val="00941A36"/>
    <w:rsid w:val="009427E0"/>
    <w:rsid w:val="00942A69"/>
    <w:rsid w:val="00942F4E"/>
    <w:rsid w:val="0094427A"/>
    <w:rsid w:val="0094535A"/>
    <w:rsid w:val="00946240"/>
    <w:rsid w:val="00946733"/>
    <w:rsid w:val="00947596"/>
    <w:rsid w:val="00950886"/>
    <w:rsid w:val="0095097A"/>
    <w:rsid w:val="00951172"/>
    <w:rsid w:val="009511FD"/>
    <w:rsid w:val="00952983"/>
    <w:rsid w:val="009542CD"/>
    <w:rsid w:val="009558BD"/>
    <w:rsid w:val="00955B8B"/>
    <w:rsid w:val="00956737"/>
    <w:rsid w:val="009571CF"/>
    <w:rsid w:val="00957211"/>
    <w:rsid w:val="00957B33"/>
    <w:rsid w:val="009600FD"/>
    <w:rsid w:val="00960870"/>
    <w:rsid w:val="00960C15"/>
    <w:rsid w:val="00961E31"/>
    <w:rsid w:val="00962A7A"/>
    <w:rsid w:val="00963F00"/>
    <w:rsid w:val="00965629"/>
    <w:rsid w:val="00966372"/>
    <w:rsid w:val="0096694B"/>
    <w:rsid w:val="00970275"/>
    <w:rsid w:val="00970D6B"/>
    <w:rsid w:val="009711D5"/>
    <w:rsid w:val="0097142A"/>
    <w:rsid w:val="00971699"/>
    <w:rsid w:val="009717A8"/>
    <w:rsid w:val="0097180D"/>
    <w:rsid w:val="00971E56"/>
    <w:rsid w:val="00971FA1"/>
    <w:rsid w:val="00974923"/>
    <w:rsid w:val="009757A9"/>
    <w:rsid w:val="00976B35"/>
    <w:rsid w:val="00977E3B"/>
    <w:rsid w:val="009804D9"/>
    <w:rsid w:val="009804EE"/>
    <w:rsid w:val="0098213E"/>
    <w:rsid w:val="00982A83"/>
    <w:rsid w:val="00984A3F"/>
    <w:rsid w:val="00984E5A"/>
    <w:rsid w:val="00984E99"/>
    <w:rsid w:val="00985A59"/>
    <w:rsid w:val="00986188"/>
    <w:rsid w:val="00986ADD"/>
    <w:rsid w:val="00987713"/>
    <w:rsid w:val="00987E97"/>
    <w:rsid w:val="009932AF"/>
    <w:rsid w:val="009932EC"/>
    <w:rsid w:val="00994A4E"/>
    <w:rsid w:val="00995A29"/>
    <w:rsid w:val="00995C04"/>
    <w:rsid w:val="00995CA1"/>
    <w:rsid w:val="009A13D3"/>
    <w:rsid w:val="009A1C6B"/>
    <w:rsid w:val="009A30E6"/>
    <w:rsid w:val="009A3AED"/>
    <w:rsid w:val="009A3E2E"/>
    <w:rsid w:val="009A42BA"/>
    <w:rsid w:val="009A4BB3"/>
    <w:rsid w:val="009A5806"/>
    <w:rsid w:val="009A7070"/>
    <w:rsid w:val="009A7503"/>
    <w:rsid w:val="009A7B85"/>
    <w:rsid w:val="009B0673"/>
    <w:rsid w:val="009B0C5E"/>
    <w:rsid w:val="009B429E"/>
    <w:rsid w:val="009B460B"/>
    <w:rsid w:val="009B6FD3"/>
    <w:rsid w:val="009B76CE"/>
    <w:rsid w:val="009B7811"/>
    <w:rsid w:val="009B7F74"/>
    <w:rsid w:val="009C084A"/>
    <w:rsid w:val="009C17B4"/>
    <w:rsid w:val="009C2D27"/>
    <w:rsid w:val="009C3246"/>
    <w:rsid w:val="009C340A"/>
    <w:rsid w:val="009C3B7E"/>
    <w:rsid w:val="009C5416"/>
    <w:rsid w:val="009C5518"/>
    <w:rsid w:val="009C6FC8"/>
    <w:rsid w:val="009D029E"/>
    <w:rsid w:val="009D2407"/>
    <w:rsid w:val="009D2BBA"/>
    <w:rsid w:val="009D2EFB"/>
    <w:rsid w:val="009D31C9"/>
    <w:rsid w:val="009D35E6"/>
    <w:rsid w:val="009D493D"/>
    <w:rsid w:val="009D5058"/>
    <w:rsid w:val="009D53E3"/>
    <w:rsid w:val="009D549B"/>
    <w:rsid w:val="009D7A68"/>
    <w:rsid w:val="009E03E5"/>
    <w:rsid w:val="009E07D9"/>
    <w:rsid w:val="009E1A45"/>
    <w:rsid w:val="009E20CC"/>
    <w:rsid w:val="009E3B01"/>
    <w:rsid w:val="009E431C"/>
    <w:rsid w:val="009E5537"/>
    <w:rsid w:val="009E5D62"/>
    <w:rsid w:val="009E6321"/>
    <w:rsid w:val="009E65B8"/>
    <w:rsid w:val="009E7CBA"/>
    <w:rsid w:val="009E7D09"/>
    <w:rsid w:val="009F0FDD"/>
    <w:rsid w:val="009F1D4A"/>
    <w:rsid w:val="009F2015"/>
    <w:rsid w:val="009F25B3"/>
    <w:rsid w:val="009F29BB"/>
    <w:rsid w:val="009F374A"/>
    <w:rsid w:val="009F4C2C"/>
    <w:rsid w:val="009F4F6A"/>
    <w:rsid w:val="009F73C2"/>
    <w:rsid w:val="009F78A6"/>
    <w:rsid w:val="00A00D69"/>
    <w:rsid w:val="00A01CE6"/>
    <w:rsid w:val="00A031E5"/>
    <w:rsid w:val="00A033E7"/>
    <w:rsid w:val="00A04299"/>
    <w:rsid w:val="00A05934"/>
    <w:rsid w:val="00A05C52"/>
    <w:rsid w:val="00A05E18"/>
    <w:rsid w:val="00A0746B"/>
    <w:rsid w:val="00A07932"/>
    <w:rsid w:val="00A10A16"/>
    <w:rsid w:val="00A10D66"/>
    <w:rsid w:val="00A11505"/>
    <w:rsid w:val="00A11A90"/>
    <w:rsid w:val="00A1203B"/>
    <w:rsid w:val="00A149F3"/>
    <w:rsid w:val="00A1562B"/>
    <w:rsid w:val="00A156D3"/>
    <w:rsid w:val="00A16023"/>
    <w:rsid w:val="00A166E0"/>
    <w:rsid w:val="00A17122"/>
    <w:rsid w:val="00A17ECA"/>
    <w:rsid w:val="00A21A2E"/>
    <w:rsid w:val="00A22DA0"/>
    <w:rsid w:val="00A231CB"/>
    <w:rsid w:val="00A23E43"/>
    <w:rsid w:val="00A2466D"/>
    <w:rsid w:val="00A24F42"/>
    <w:rsid w:val="00A25902"/>
    <w:rsid w:val="00A259C1"/>
    <w:rsid w:val="00A32F3F"/>
    <w:rsid w:val="00A33820"/>
    <w:rsid w:val="00A33985"/>
    <w:rsid w:val="00A33A6A"/>
    <w:rsid w:val="00A33BB6"/>
    <w:rsid w:val="00A3413D"/>
    <w:rsid w:val="00A346BD"/>
    <w:rsid w:val="00A367FC"/>
    <w:rsid w:val="00A4170C"/>
    <w:rsid w:val="00A41C6D"/>
    <w:rsid w:val="00A41D78"/>
    <w:rsid w:val="00A439C2"/>
    <w:rsid w:val="00A43DD3"/>
    <w:rsid w:val="00A44775"/>
    <w:rsid w:val="00A459EC"/>
    <w:rsid w:val="00A46DE0"/>
    <w:rsid w:val="00A47D05"/>
    <w:rsid w:val="00A5354B"/>
    <w:rsid w:val="00A53AC9"/>
    <w:rsid w:val="00A53F26"/>
    <w:rsid w:val="00A542FC"/>
    <w:rsid w:val="00A565CA"/>
    <w:rsid w:val="00A56914"/>
    <w:rsid w:val="00A56BD4"/>
    <w:rsid w:val="00A56D87"/>
    <w:rsid w:val="00A5724F"/>
    <w:rsid w:val="00A57A3A"/>
    <w:rsid w:val="00A605DD"/>
    <w:rsid w:val="00A60E56"/>
    <w:rsid w:val="00A62CE1"/>
    <w:rsid w:val="00A62D42"/>
    <w:rsid w:val="00A63804"/>
    <w:rsid w:val="00A63C51"/>
    <w:rsid w:val="00A6499A"/>
    <w:rsid w:val="00A650A8"/>
    <w:rsid w:val="00A65F61"/>
    <w:rsid w:val="00A67FDB"/>
    <w:rsid w:val="00A67FFE"/>
    <w:rsid w:val="00A70410"/>
    <w:rsid w:val="00A7061B"/>
    <w:rsid w:val="00A7066B"/>
    <w:rsid w:val="00A70A04"/>
    <w:rsid w:val="00A70E08"/>
    <w:rsid w:val="00A72F8C"/>
    <w:rsid w:val="00A7383D"/>
    <w:rsid w:val="00A75964"/>
    <w:rsid w:val="00A75E40"/>
    <w:rsid w:val="00A7694F"/>
    <w:rsid w:val="00A76B96"/>
    <w:rsid w:val="00A77CC5"/>
    <w:rsid w:val="00A808E6"/>
    <w:rsid w:val="00A813BF"/>
    <w:rsid w:val="00A81C4D"/>
    <w:rsid w:val="00A82C45"/>
    <w:rsid w:val="00A85057"/>
    <w:rsid w:val="00A857C0"/>
    <w:rsid w:val="00A86CA7"/>
    <w:rsid w:val="00A87389"/>
    <w:rsid w:val="00A87C69"/>
    <w:rsid w:val="00A9156C"/>
    <w:rsid w:val="00A91F3E"/>
    <w:rsid w:val="00A92058"/>
    <w:rsid w:val="00A92478"/>
    <w:rsid w:val="00A92FE8"/>
    <w:rsid w:val="00A93911"/>
    <w:rsid w:val="00A9460A"/>
    <w:rsid w:val="00A94A15"/>
    <w:rsid w:val="00A94E20"/>
    <w:rsid w:val="00A95120"/>
    <w:rsid w:val="00A95A16"/>
    <w:rsid w:val="00A95E74"/>
    <w:rsid w:val="00A976FF"/>
    <w:rsid w:val="00AA177A"/>
    <w:rsid w:val="00AA28CB"/>
    <w:rsid w:val="00AA294B"/>
    <w:rsid w:val="00AA2A73"/>
    <w:rsid w:val="00AA2DF1"/>
    <w:rsid w:val="00AA421E"/>
    <w:rsid w:val="00AA442F"/>
    <w:rsid w:val="00AA4791"/>
    <w:rsid w:val="00AA5473"/>
    <w:rsid w:val="00AA5586"/>
    <w:rsid w:val="00AA559A"/>
    <w:rsid w:val="00AA6495"/>
    <w:rsid w:val="00AA672D"/>
    <w:rsid w:val="00AA6C83"/>
    <w:rsid w:val="00AA77CA"/>
    <w:rsid w:val="00AB0477"/>
    <w:rsid w:val="00AB10C4"/>
    <w:rsid w:val="00AB1E85"/>
    <w:rsid w:val="00AB25BC"/>
    <w:rsid w:val="00AB2AF1"/>
    <w:rsid w:val="00AB58D3"/>
    <w:rsid w:val="00AB67CD"/>
    <w:rsid w:val="00AB6DA6"/>
    <w:rsid w:val="00AB70B0"/>
    <w:rsid w:val="00AC1013"/>
    <w:rsid w:val="00AC1015"/>
    <w:rsid w:val="00AC126E"/>
    <w:rsid w:val="00AC197B"/>
    <w:rsid w:val="00AC1AEC"/>
    <w:rsid w:val="00AC2066"/>
    <w:rsid w:val="00AC222C"/>
    <w:rsid w:val="00AC2691"/>
    <w:rsid w:val="00AC28A9"/>
    <w:rsid w:val="00AC2B58"/>
    <w:rsid w:val="00AC3332"/>
    <w:rsid w:val="00AC3597"/>
    <w:rsid w:val="00AC3697"/>
    <w:rsid w:val="00AC392B"/>
    <w:rsid w:val="00AC408B"/>
    <w:rsid w:val="00AC47BD"/>
    <w:rsid w:val="00AC48C9"/>
    <w:rsid w:val="00AC56FB"/>
    <w:rsid w:val="00AC57CA"/>
    <w:rsid w:val="00AC5832"/>
    <w:rsid w:val="00AC62CF"/>
    <w:rsid w:val="00AC67EB"/>
    <w:rsid w:val="00AC69BC"/>
    <w:rsid w:val="00AC715F"/>
    <w:rsid w:val="00AC73E8"/>
    <w:rsid w:val="00AD0520"/>
    <w:rsid w:val="00AD056B"/>
    <w:rsid w:val="00AD07A1"/>
    <w:rsid w:val="00AD0B82"/>
    <w:rsid w:val="00AD233C"/>
    <w:rsid w:val="00AD262F"/>
    <w:rsid w:val="00AD306C"/>
    <w:rsid w:val="00AD34F9"/>
    <w:rsid w:val="00AD3CE8"/>
    <w:rsid w:val="00AD4220"/>
    <w:rsid w:val="00AD4691"/>
    <w:rsid w:val="00AD50ED"/>
    <w:rsid w:val="00AD5637"/>
    <w:rsid w:val="00AD7A5A"/>
    <w:rsid w:val="00AE0ECC"/>
    <w:rsid w:val="00AE12DC"/>
    <w:rsid w:val="00AE20C4"/>
    <w:rsid w:val="00AE302E"/>
    <w:rsid w:val="00AE3995"/>
    <w:rsid w:val="00AE3BAB"/>
    <w:rsid w:val="00AE4011"/>
    <w:rsid w:val="00AE44B5"/>
    <w:rsid w:val="00AE4989"/>
    <w:rsid w:val="00AE501C"/>
    <w:rsid w:val="00AE5259"/>
    <w:rsid w:val="00AE6425"/>
    <w:rsid w:val="00AE66B6"/>
    <w:rsid w:val="00AE7361"/>
    <w:rsid w:val="00AE7B7E"/>
    <w:rsid w:val="00AE7CE0"/>
    <w:rsid w:val="00AF290F"/>
    <w:rsid w:val="00AF3EF6"/>
    <w:rsid w:val="00AF543B"/>
    <w:rsid w:val="00AF6897"/>
    <w:rsid w:val="00AF71E4"/>
    <w:rsid w:val="00AF750B"/>
    <w:rsid w:val="00AF77F0"/>
    <w:rsid w:val="00B00C7B"/>
    <w:rsid w:val="00B00DEC"/>
    <w:rsid w:val="00B00E2A"/>
    <w:rsid w:val="00B01DF1"/>
    <w:rsid w:val="00B021DC"/>
    <w:rsid w:val="00B021DE"/>
    <w:rsid w:val="00B031D4"/>
    <w:rsid w:val="00B03333"/>
    <w:rsid w:val="00B050E2"/>
    <w:rsid w:val="00B0569B"/>
    <w:rsid w:val="00B057FE"/>
    <w:rsid w:val="00B05D3F"/>
    <w:rsid w:val="00B062B3"/>
    <w:rsid w:val="00B06698"/>
    <w:rsid w:val="00B06DA9"/>
    <w:rsid w:val="00B0768F"/>
    <w:rsid w:val="00B07DD5"/>
    <w:rsid w:val="00B10F37"/>
    <w:rsid w:val="00B11B89"/>
    <w:rsid w:val="00B136B7"/>
    <w:rsid w:val="00B13FFF"/>
    <w:rsid w:val="00B14834"/>
    <w:rsid w:val="00B14B39"/>
    <w:rsid w:val="00B15254"/>
    <w:rsid w:val="00B1640F"/>
    <w:rsid w:val="00B16BD5"/>
    <w:rsid w:val="00B16F44"/>
    <w:rsid w:val="00B178A2"/>
    <w:rsid w:val="00B17E71"/>
    <w:rsid w:val="00B17FDE"/>
    <w:rsid w:val="00B2077E"/>
    <w:rsid w:val="00B214B0"/>
    <w:rsid w:val="00B233C9"/>
    <w:rsid w:val="00B23985"/>
    <w:rsid w:val="00B2443A"/>
    <w:rsid w:val="00B24A27"/>
    <w:rsid w:val="00B26352"/>
    <w:rsid w:val="00B278A0"/>
    <w:rsid w:val="00B27E1F"/>
    <w:rsid w:val="00B30BF1"/>
    <w:rsid w:val="00B30CE9"/>
    <w:rsid w:val="00B32114"/>
    <w:rsid w:val="00B32283"/>
    <w:rsid w:val="00B325AF"/>
    <w:rsid w:val="00B32DDB"/>
    <w:rsid w:val="00B3335A"/>
    <w:rsid w:val="00B33686"/>
    <w:rsid w:val="00B33C76"/>
    <w:rsid w:val="00B351AF"/>
    <w:rsid w:val="00B360DE"/>
    <w:rsid w:val="00B40138"/>
    <w:rsid w:val="00B404F3"/>
    <w:rsid w:val="00B4079B"/>
    <w:rsid w:val="00B42399"/>
    <w:rsid w:val="00B42A43"/>
    <w:rsid w:val="00B4423C"/>
    <w:rsid w:val="00B45180"/>
    <w:rsid w:val="00B45197"/>
    <w:rsid w:val="00B456FE"/>
    <w:rsid w:val="00B45F1C"/>
    <w:rsid w:val="00B465A4"/>
    <w:rsid w:val="00B46AE7"/>
    <w:rsid w:val="00B512AC"/>
    <w:rsid w:val="00B51679"/>
    <w:rsid w:val="00B51B74"/>
    <w:rsid w:val="00B522F9"/>
    <w:rsid w:val="00B5555B"/>
    <w:rsid w:val="00B56796"/>
    <w:rsid w:val="00B6116F"/>
    <w:rsid w:val="00B61FAF"/>
    <w:rsid w:val="00B62DF4"/>
    <w:rsid w:val="00B63135"/>
    <w:rsid w:val="00B6340D"/>
    <w:rsid w:val="00B6503F"/>
    <w:rsid w:val="00B6506C"/>
    <w:rsid w:val="00B6551F"/>
    <w:rsid w:val="00B65695"/>
    <w:rsid w:val="00B658C4"/>
    <w:rsid w:val="00B6608F"/>
    <w:rsid w:val="00B66298"/>
    <w:rsid w:val="00B664E4"/>
    <w:rsid w:val="00B67CC5"/>
    <w:rsid w:val="00B70075"/>
    <w:rsid w:val="00B7031C"/>
    <w:rsid w:val="00B70FDF"/>
    <w:rsid w:val="00B718E1"/>
    <w:rsid w:val="00B72FED"/>
    <w:rsid w:val="00B736A2"/>
    <w:rsid w:val="00B745DC"/>
    <w:rsid w:val="00B74F86"/>
    <w:rsid w:val="00B765A7"/>
    <w:rsid w:val="00B76D1E"/>
    <w:rsid w:val="00B8021B"/>
    <w:rsid w:val="00B80559"/>
    <w:rsid w:val="00B810C3"/>
    <w:rsid w:val="00B82A76"/>
    <w:rsid w:val="00B8310C"/>
    <w:rsid w:val="00B849FD"/>
    <w:rsid w:val="00B858DD"/>
    <w:rsid w:val="00B85BE2"/>
    <w:rsid w:val="00B86C5E"/>
    <w:rsid w:val="00B86FC5"/>
    <w:rsid w:val="00B9116C"/>
    <w:rsid w:val="00B912EA"/>
    <w:rsid w:val="00B93D28"/>
    <w:rsid w:val="00B940FD"/>
    <w:rsid w:val="00B95940"/>
    <w:rsid w:val="00B95DB0"/>
    <w:rsid w:val="00B9650F"/>
    <w:rsid w:val="00B967BC"/>
    <w:rsid w:val="00B96C64"/>
    <w:rsid w:val="00B978E9"/>
    <w:rsid w:val="00BA0022"/>
    <w:rsid w:val="00BA0F35"/>
    <w:rsid w:val="00BA1953"/>
    <w:rsid w:val="00BA1EEC"/>
    <w:rsid w:val="00BA2839"/>
    <w:rsid w:val="00BA2D52"/>
    <w:rsid w:val="00BA3F65"/>
    <w:rsid w:val="00BA4E76"/>
    <w:rsid w:val="00BA4ED1"/>
    <w:rsid w:val="00BA54B2"/>
    <w:rsid w:val="00BA55A3"/>
    <w:rsid w:val="00BA5E51"/>
    <w:rsid w:val="00BA7D31"/>
    <w:rsid w:val="00BA7FF5"/>
    <w:rsid w:val="00BB0DDC"/>
    <w:rsid w:val="00BB1863"/>
    <w:rsid w:val="00BB26C2"/>
    <w:rsid w:val="00BB2BB3"/>
    <w:rsid w:val="00BB4937"/>
    <w:rsid w:val="00BB5B7F"/>
    <w:rsid w:val="00BB6799"/>
    <w:rsid w:val="00BB6921"/>
    <w:rsid w:val="00BB748A"/>
    <w:rsid w:val="00BB764B"/>
    <w:rsid w:val="00BB76FE"/>
    <w:rsid w:val="00BB7952"/>
    <w:rsid w:val="00BB7D10"/>
    <w:rsid w:val="00BC18F4"/>
    <w:rsid w:val="00BC3805"/>
    <w:rsid w:val="00BC39D0"/>
    <w:rsid w:val="00BC3E99"/>
    <w:rsid w:val="00BC46B1"/>
    <w:rsid w:val="00BC5110"/>
    <w:rsid w:val="00BC57A9"/>
    <w:rsid w:val="00BC6AC1"/>
    <w:rsid w:val="00BC6DAF"/>
    <w:rsid w:val="00BC79BD"/>
    <w:rsid w:val="00BC7A46"/>
    <w:rsid w:val="00BC7B9A"/>
    <w:rsid w:val="00BC7DC1"/>
    <w:rsid w:val="00BD0E3B"/>
    <w:rsid w:val="00BD2EB4"/>
    <w:rsid w:val="00BD30B8"/>
    <w:rsid w:val="00BD35AB"/>
    <w:rsid w:val="00BD366B"/>
    <w:rsid w:val="00BD3835"/>
    <w:rsid w:val="00BD43E0"/>
    <w:rsid w:val="00BD44BA"/>
    <w:rsid w:val="00BD4C1C"/>
    <w:rsid w:val="00BD54C6"/>
    <w:rsid w:val="00BD6537"/>
    <w:rsid w:val="00BD6CC1"/>
    <w:rsid w:val="00BD6D50"/>
    <w:rsid w:val="00BE0470"/>
    <w:rsid w:val="00BE0EF9"/>
    <w:rsid w:val="00BE1794"/>
    <w:rsid w:val="00BE1BBB"/>
    <w:rsid w:val="00BE1BFE"/>
    <w:rsid w:val="00BE33B7"/>
    <w:rsid w:val="00BE36E1"/>
    <w:rsid w:val="00BE4FA5"/>
    <w:rsid w:val="00BE53CE"/>
    <w:rsid w:val="00BE607F"/>
    <w:rsid w:val="00BE63D0"/>
    <w:rsid w:val="00BE6F43"/>
    <w:rsid w:val="00BE7319"/>
    <w:rsid w:val="00BE76F6"/>
    <w:rsid w:val="00BF03A5"/>
    <w:rsid w:val="00BF070A"/>
    <w:rsid w:val="00BF0713"/>
    <w:rsid w:val="00BF09A3"/>
    <w:rsid w:val="00BF1262"/>
    <w:rsid w:val="00BF14D3"/>
    <w:rsid w:val="00BF1812"/>
    <w:rsid w:val="00BF1815"/>
    <w:rsid w:val="00BF1D6C"/>
    <w:rsid w:val="00BF1FFC"/>
    <w:rsid w:val="00BF4F73"/>
    <w:rsid w:val="00BF5E16"/>
    <w:rsid w:val="00BF6243"/>
    <w:rsid w:val="00BF6BE5"/>
    <w:rsid w:val="00BF6FC7"/>
    <w:rsid w:val="00C018F4"/>
    <w:rsid w:val="00C01BB8"/>
    <w:rsid w:val="00C04FD8"/>
    <w:rsid w:val="00C05523"/>
    <w:rsid w:val="00C058F6"/>
    <w:rsid w:val="00C05A64"/>
    <w:rsid w:val="00C06616"/>
    <w:rsid w:val="00C06CC8"/>
    <w:rsid w:val="00C07970"/>
    <w:rsid w:val="00C1059A"/>
    <w:rsid w:val="00C107FB"/>
    <w:rsid w:val="00C10A5A"/>
    <w:rsid w:val="00C10FB2"/>
    <w:rsid w:val="00C1208D"/>
    <w:rsid w:val="00C131F6"/>
    <w:rsid w:val="00C13EF3"/>
    <w:rsid w:val="00C140D5"/>
    <w:rsid w:val="00C14A58"/>
    <w:rsid w:val="00C14ECE"/>
    <w:rsid w:val="00C1712C"/>
    <w:rsid w:val="00C17654"/>
    <w:rsid w:val="00C20F45"/>
    <w:rsid w:val="00C21D10"/>
    <w:rsid w:val="00C21DE9"/>
    <w:rsid w:val="00C21F94"/>
    <w:rsid w:val="00C24DA9"/>
    <w:rsid w:val="00C26A32"/>
    <w:rsid w:val="00C270F1"/>
    <w:rsid w:val="00C27244"/>
    <w:rsid w:val="00C31655"/>
    <w:rsid w:val="00C32F2D"/>
    <w:rsid w:val="00C3585F"/>
    <w:rsid w:val="00C3589C"/>
    <w:rsid w:val="00C360B4"/>
    <w:rsid w:val="00C370B8"/>
    <w:rsid w:val="00C37767"/>
    <w:rsid w:val="00C37D3F"/>
    <w:rsid w:val="00C41A67"/>
    <w:rsid w:val="00C42056"/>
    <w:rsid w:val="00C42179"/>
    <w:rsid w:val="00C4352B"/>
    <w:rsid w:val="00C43974"/>
    <w:rsid w:val="00C43BDF"/>
    <w:rsid w:val="00C449F8"/>
    <w:rsid w:val="00C45446"/>
    <w:rsid w:val="00C4570D"/>
    <w:rsid w:val="00C46800"/>
    <w:rsid w:val="00C470F8"/>
    <w:rsid w:val="00C5090D"/>
    <w:rsid w:val="00C50A5E"/>
    <w:rsid w:val="00C50AD4"/>
    <w:rsid w:val="00C50FDC"/>
    <w:rsid w:val="00C512E7"/>
    <w:rsid w:val="00C52628"/>
    <w:rsid w:val="00C52DBC"/>
    <w:rsid w:val="00C53308"/>
    <w:rsid w:val="00C53CF4"/>
    <w:rsid w:val="00C542DA"/>
    <w:rsid w:val="00C55C3C"/>
    <w:rsid w:val="00C56FAC"/>
    <w:rsid w:val="00C57270"/>
    <w:rsid w:val="00C57C97"/>
    <w:rsid w:val="00C62004"/>
    <w:rsid w:val="00C63539"/>
    <w:rsid w:val="00C64C19"/>
    <w:rsid w:val="00C6646D"/>
    <w:rsid w:val="00C67F19"/>
    <w:rsid w:val="00C67F66"/>
    <w:rsid w:val="00C70C21"/>
    <w:rsid w:val="00C719D9"/>
    <w:rsid w:val="00C71B43"/>
    <w:rsid w:val="00C723FE"/>
    <w:rsid w:val="00C73052"/>
    <w:rsid w:val="00C735EE"/>
    <w:rsid w:val="00C73F4C"/>
    <w:rsid w:val="00C74158"/>
    <w:rsid w:val="00C742FF"/>
    <w:rsid w:val="00C74512"/>
    <w:rsid w:val="00C746C2"/>
    <w:rsid w:val="00C75024"/>
    <w:rsid w:val="00C75CE7"/>
    <w:rsid w:val="00C76116"/>
    <w:rsid w:val="00C76B38"/>
    <w:rsid w:val="00C774BB"/>
    <w:rsid w:val="00C80ED6"/>
    <w:rsid w:val="00C81744"/>
    <w:rsid w:val="00C81902"/>
    <w:rsid w:val="00C81B50"/>
    <w:rsid w:val="00C81F0E"/>
    <w:rsid w:val="00C81F8D"/>
    <w:rsid w:val="00C82052"/>
    <w:rsid w:val="00C820B0"/>
    <w:rsid w:val="00C82CE9"/>
    <w:rsid w:val="00C84D5B"/>
    <w:rsid w:val="00C84D63"/>
    <w:rsid w:val="00C8553F"/>
    <w:rsid w:val="00C866FE"/>
    <w:rsid w:val="00C86C49"/>
    <w:rsid w:val="00C87251"/>
    <w:rsid w:val="00C9027C"/>
    <w:rsid w:val="00C903FE"/>
    <w:rsid w:val="00C90CD0"/>
    <w:rsid w:val="00C90CF4"/>
    <w:rsid w:val="00C91AA5"/>
    <w:rsid w:val="00C92FA6"/>
    <w:rsid w:val="00C93389"/>
    <w:rsid w:val="00C940DD"/>
    <w:rsid w:val="00C94E77"/>
    <w:rsid w:val="00C9506B"/>
    <w:rsid w:val="00C958DA"/>
    <w:rsid w:val="00C95BA4"/>
    <w:rsid w:val="00C95E3D"/>
    <w:rsid w:val="00C9639D"/>
    <w:rsid w:val="00C968A8"/>
    <w:rsid w:val="00C97150"/>
    <w:rsid w:val="00CA00B2"/>
    <w:rsid w:val="00CA0C7F"/>
    <w:rsid w:val="00CA0F40"/>
    <w:rsid w:val="00CA27F3"/>
    <w:rsid w:val="00CA2F5A"/>
    <w:rsid w:val="00CA3422"/>
    <w:rsid w:val="00CA35BA"/>
    <w:rsid w:val="00CA441C"/>
    <w:rsid w:val="00CA4946"/>
    <w:rsid w:val="00CA4D03"/>
    <w:rsid w:val="00CA4D94"/>
    <w:rsid w:val="00CA59EE"/>
    <w:rsid w:val="00CA760D"/>
    <w:rsid w:val="00CA7A3A"/>
    <w:rsid w:val="00CA7F2B"/>
    <w:rsid w:val="00CB00A8"/>
    <w:rsid w:val="00CB0BB6"/>
    <w:rsid w:val="00CB119D"/>
    <w:rsid w:val="00CB1250"/>
    <w:rsid w:val="00CB17B1"/>
    <w:rsid w:val="00CB1D3F"/>
    <w:rsid w:val="00CB23A0"/>
    <w:rsid w:val="00CB32EC"/>
    <w:rsid w:val="00CB36E1"/>
    <w:rsid w:val="00CB3964"/>
    <w:rsid w:val="00CB3EB5"/>
    <w:rsid w:val="00CB3F4C"/>
    <w:rsid w:val="00CB3FD4"/>
    <w:rsid w:val="00CB41CA"/>
    <w:rsid w:val="00CB4365"/>
    <w:rsid w:val="00CB558B"/>
    <w:rsid w:val="00CB62F8"/>
    <w:rsid w:val="00CB6BED"/>
    <w:rsid w:val="00CB72EF"/>
    <w:rsid w:val="00CC08C4"/>
    <w:rsid w:val="00CC0FC5"/>
    <w:rsid w:val="00CC113E"/>
    <w:rsid w:val="00CC1887"/>
    <w:rsid w:val="00CC53D5"/>
    <w:rsid w:val="00CC54AC"/>
    <w:rsid w:val="00CC5E4B"/>
    <w:rsid w:val="00CC5EC7"/>
    <w:rsid w:val="00CC6043"/>
    <w:rsid w:val="00CC7383"/>
    <w:rsid w:val="00CC7EBE"/>
    <w:rsid w:val="00CD2501"/>
    <w:rsid w:val="00CD2841"/>
    <w:rsid w:val="00CD3B46"/>
    <w:rsid w:val="00CD4F35"/>
    <w:rsid w:val="00CD5F03"/>
    <w:rsid w:val="00CD6D7F"/>
    <w:rsid w:val="00CD7D97"/>
    <w:rsid w:val="00CE00F3"/>
    <w:rsid w:val="00CE08D6"/>
    <w:rsid w:val="00CE0B54"/>
    <w:rsid w:val="00CE14CF"/>
    <w:rsid w:val="00CE176C"/>
    <w:rsid w:val="00CE2846"/>
    <w:rsid w:val="00CE56E4"/>
    <w:rsid w:val="00CE5905"/>
    <w:rsid w:val="00CE598F"/>
    <w:rsid w:val="00CE5E1D"/>
    <w:rsid w:val="00CE7EF8"/>
    <w:rsid w:val="00CF18E7"/>
    <w:rsid w:val="00CF224A"/>
    <w:rsid w:val="00CF2971"/>
    <w:rsid w:val="00CF2DA7"/>
    <w:rsid w:val="00CF390A"/>
    <w:rsid w:val="00CF462A"/>
    <w:rsid w:val="00CF47FD"/>
    <w:rsid w:val="00CF502D"/>
    <w:rsid w:val="00CF51EC"/>
    <w:rsid w:val="00CF5D65"/>
    <w:rsid w:val="00CF718B"/>
    <w:rsid w:val="00D00F19"/>
    <w:rsid w:val="00D02C4B"/>
    <w:rsid w:val="00D02E65"/>
    <w:rsid w:val="00D040DD"/>
    <w:rsid w:val="00D041AB"/>
    <w:rsid w:val="00D045D0"/>
    <w:rsid w:val="00D046A9"/>
    <w:rsid w:val="00D04839"/>
    <w:rsid w:val="00D06ABA"/>
    <w:rsid w:val="00D108F5"/>
    <w:rsid w:val="00D110FD"/>
    <w:rsid w:val="00D1146A"/>
    <w:rsid w:val="00D13305"/>
    <w:rsid w:val="00D13417"/>
    <w:rsid w:val="00D146E8"/>
    <w:rsid w:val="00D16EA7"/>
    <w:rsid w:val="00D2016A"/>
    <w:rsid w:val="00D20B8E"/>
    <w:rsid w:val="00D2116B"/>
    <w:rsid w:val="00D21B84"/>
    <w:rsid w:val="00D21FC1"/>
    <w:rsid w:val="00D2266E"/>
    <w:rsid w:val="00D234F5"/>
    <w:rsid w:val="00D23A62"/>
    <w:rsid w:val="00D23EF7"/>
    <w:rsid w:val="00D2666B"/>
    <w:rsid w:val="00D267E2"/>
    <w:rsid w:val="00D269E0"/>
    <w:rsid w:val="00D26F9E"/>
    <w:rsid w:val="00D26FE8"/>
    <w:rsid w:val="00D27D15"/>
    <w:rsid w:val="00D31B66"/>
    <w:rsid w:val="00D31E66"/>
    <w:rsid w:val="00D32157"/>
    <w:rsid w:val="00D32602"/>
    <w:rsid w:val="00D3282C"/>
    <w:rsid w:val="00D358C6"/>
    <w:rsid w:val="00D362CA"/>
    <w:rsid w:val="00D36362"/>
    <w:rsid w:val="00D36AF6"/>
    <w:rsid w:val="00D3715D"/>
    <w:rsid w:val="00D3735E"/>
    <w:rsid w:val="00D41AF1"/>
    <w:rsid w:val="00D42598"/>
    <w:rsid w:val="00D42693"/>
    <w:rsid w:val="00D430E6"/>
    <w:rsid w:val="00D45574"/>
    <w:rsid w:val="00D45F16"/>
    <w:rsid w:val="00D50475"/>
    <w:rsid w:val="00D51081"/>
    <w:rsid w:val="00D51C37"/>
    <w:rsid w:val="00D51E6B"/>
    <w:rsid w:val="00D52355"/>
    <w:rsid w:val="00D546E4"/>
    <w:rsid w:val="00D55EA3"/>
    <w:rsid w:val="00D56A23"/>
    <w:rsid w:val="00D56DE9"/>
    <w:rsid w:val="00D57021"/>
    <w:rsid w:val="00D6000F"/>
    <w:rsid w:val="00D60E57"/>
    <w:rsid w:val="00D613B7"/>
    <w:rsid w:val="00D613CB"/>
    <w:rsid w:val="00D62325"/>
    <w:rsid w:val="00D644E2"/>
    <w:rsid w:val="00D653E5"/>
    <w:rsid w:val="00D654DC"/>
    <w:rsid w:val="00D65603"/>
    <w:rsid w:val="00D66739"/>
    <w:rsid w:val="00D66CCF"/>
    <w:rsid w:val="00D672A9"/>
    <w:rsid w:val="00D67910"/>
    <w:rsid w:val="00D67F43"/>
    <w:rsid w:val="00D7025D"/>
    <w:rsid w:val="00D7198E"/>
    <w:rsid w:val="00D72C5F"/>
    <w:rsid w:val="00D72E21"/>
    <w:rsid w:val="00D735DD"/>
    <w:rsid w:val="00D73C93"/>
    <w:rsid w:val="00D73DB5"/>
    <w:rsid w:val="00D73E0E"/>
    <w:rsid w:val="00D7448A"/>
    <w:rsid w:val="00D744BC"/>
    <w:rsid w:val="00D74C64"/>
    <w:rsid w:val="00D74F7F"/>
    <w:rsid w:val="00D75128"/>
    <w:rsid w:val="00D7517A"/>
    <w:rsid w:val="00D76098"/>
    <w:rsid w:val="00D81FA6"/>
    <w:rsid w:val="00D83753"/>
    <w:rsid w:val="00D83E8E"/>
    <w:rsid w:val="00D84B8E"/>
    <w:rsid w:val="00D877DD"/>
    <w:rsid w:val="00D87A8C"/>
    <w:rsid w:val="00D87C76"/>
    <w:rsid w:val="00D90BEC"/>
    <w:rsid w:val="00D91C28"/>
    <w:rsid w:val="00D91C65"/>
    <w:rsid w:val="00D91E49"/>
    <w:rsid w:val="00D92675"/>
    <w:rsid w:val="00D92A2F"/>
    <w:rsid w:val="00D9313A"/>
    <w:rsid w:val="00D9320F"/>
    <w:rsid w:val="00D93B9F"/>
    <w:rsid w:val="00D94B8F"/>
    <w:rsid w:val="00D94DE1"/>
    <w:rsid w:val="00D95439"/>
    <w:rsid w:val="00D9797A"/>
    <w:rsid w:val="00DA1C2C"/>
    <w:rsid w:val="00DA2417"/>
    <w:rsid w:val="00DA2666"/>
    <w:rsid w:val="00DA343E"/>
    <w:rsid w:val="00DA3C1D"/>
    <w:rsid w:val="00DA46FE"/>
    <w:rsid w:val="00DA4844"/>
    <w:rsid w:val="00DA6EF6"/>
    <w:rsid w:val="00DA7501"/>
    <w:rsid w:val="00DB121B"/>
    <w:rsid w:val="00DB1478"/>
    <w:rsid w:val="00DB14A4"/>
    <w:rsid w:val="00DB192A"/>
    <w:rsid w:val="00DB3CE2"/>
    <w:rsid w:val="00DB6990"/>
    <w:rsid w:val="00DB6EE8"/>
    <w:rsid w:val="00DB7BC7"/>
    <w:rsid w:val="00DC0206"/>
    <w:rsid w:val="00DC02CB"/>
    <w:rsid w:val="00DC4A24"/>
    <w:rsid w:val="00DC4A40"/>
    <w:rsid w:val="00DC58D5"/>
    <w:rsid w:val="00DC5B3B"/>
    <w:rsid w:val="00DC784D"/>
    <w:rsid w:val="00DD0290"/>
    <w:rsid w:val="00DD0A96"/>
    <w:rsid w:val="00DD1820"/>
    <w:rsid w:val="00DD49EA"/>
    <w:rsid w:val="00DD5673"/>
    <w:rsid w:val="00DD76D9"/>
    <w:rsid w:val="00DE0583"/>
    <w:rsid w:val="00DE0CF4"/>
    <w:rsid w:val="00DE25A4"/>
    <w:rsid w:val="00DE3B2E"/>
    <w:rsid w:val="00DE3B56"/>
    <w:rsid w:val="00DE4256"/>
    <w:rsid w:val="00DE5858"/>
    <w:rsid w:val="00DE5E80"/>
    <w:rsid w:val="00DE6696"/>
    <w:rsid w:val="00DF10E8"/>
    <w:rsid w:val="00DF1398"/>
    <w:rsid w:val="00DF213B"/>
    <w:rsid w:val="00DF29A0"/>
    <w:rsid w:val="00DF2F8C"/>
    <w:rsid w:val="00DF372F"/>
    <w:rsid w:val="00DF3F1A"/>
    <w:rsid w:val="00DF4CB8"/>
    <w:rsid w:val="00DF53E1"/>
    <w:rsid w:val="00DF6D95"/>
    <w:rsid w:val="00E006FC"/>
    <w:rsid w:val="00E01C0E"/>
    <w:rsid w:val="00E02A33"/>
    <w:rsid w:val="00E02E42"/>
    <w:rsid w:val="00E03631"/>
    <w:rsid w:val="00E04694"/>
    <w:rsid w:val="00E04E69"/>
    <w:rsid w:val="00E05C11"/>
    <w:rsid w:val="00E06BAF"/>
    <w:rsid w:val="00E06C2A"/>
    <w:rsid w:val="00E07128"/>
    <w:rsid w:val="00E07C43"/>
    <w:rsid w:val="00E07E5C"/>
    <w:rsid w:val="00E07EEF"/>
    <w:rsid w:val="00E106F6"/>
    <w:rsid w:val="00E1187E"/>
    <w:rsid w:val="00E11A6B"/>
    <w:rsid w:val="00E12D30"/>
    <w:rsid w:val="00E1419F"/>
    <w:rsid w:val="00E14242"/>
    <w:rsid w:val="00E14A0B"/>
    <w:rsid w:val="00E14EF5"/>
    <w:rsid w:val="00E152EC"/>
    <w:rsid w:val="00E158E3"/>
    <w:rsid w:val="00E161F0"/>
    <w:rsid w:val="00E16E53"/>
    <w:rsid w:val="00E16F73"/>
    <w:rsid w:val="00E177BB"/>
    <w:rsid w:val="00E20005"/>
    <w:rsid w:val="00E2006C"/>
    <w:rsid w:val="00E21405"/>
    <w:rsid w:val="00E22100"/>
    <w:rsid w:val="00E23138"/>
    <w:rsid w:val="00E27CCB"/>
    <w:rsid w:val="00E30576"/>
    <w:rsid w:val="00E30C67"/>
    <w:rsid w:val="00E30F7E"/>
    <w:rsid w:val="00E31007"/>
    <w:rsid w:val="00E319A7"/>
    <w:rsid w:val="00E3226E"/>
    <w:rsid w:val="00E32358"/>
    <w:rsid w:val="00E33EAE"/>
    <w:rsid w:val="00E340F9"/>
    <w:rsid w:val="00E344AB"/>
    <w:rsid w:val="00E3493C"/>
    <w:rsid w:val="00E356DC"/>
    <w:rsid w:val="00E36668"/>
    <w:rsid w:val="00E37E22"/>
    <w:rsid w:val="00E41ADA"/>
    <w:rsid w:val="00E4343A"/>
    <w:rsid w:val="00E448D6"/>
    <w:rsid w:val="00E448FE"/>
    <w:rsid w:val="00E44D4D"/>
    <w:rsid w:val="00E45019"/>
    <w:rsid w:val="00E452C6"/>
    <w:rsid w:val="00E46CA4"/>
    <w:rsid w:val="00E4796A"/>
    <w:rsid w:val="00E47F4A"/>
    <w:rsid w:val="00E50026"/>
    <w:rsid w:val="00E50241"/>
    <w:rsid w:val="00E5027D"/>
    <w:rsid w:val="00E503FD"/>
    <w:rsid w:val="00E504C3"/>
    <w:rsid w:val="00E50CCB"/>
    <w:rsid w:val="00E50D6C"/>
    <w:rsid w:val="00E51F58"/>
    <w:rsid w:val="00E55662"/>
    <w:rsid w:val="00E57599"/>
    <w:rsid w:val="00E605BF"/>
    <w:rsid w:val="00E6084F"/>
    <w:rsid w:val="00E60B2C"/>
    <w:rsid w:val="00E6176C"/>
    <w:rsid w:val="00E6225C"/>
    <w:rsid w:val="00E62D51"/>
    <w:rsid w:val="00E645F1"/>
    <w:rsid w:val="00E670F2"/>
    <w:rsid w:val="00E67B77"/>
    <w:rsid w:val="00E67DC3"/>
    <w:rsid w:val="00E70E16"/>
    <w:rsid w:val="00E70F90"/>
    <w:rsid w:val="00E71A58"/>
    <w:rsid w:val="00E71FF0"/>
    <w:rsid w:val="00E72459"/>
    <w:rsid w:val="00E7371B"/>
    <w:rsid w:val="00E743CE"/>
    <w:rsid w:val="00E74F8C"/>
    <w:rsid w:val="00E7515E"/>
    <w:rsid w:val="00E754E3"/>
    <w:rsid w:val="00E774CD"/>
    <w:rsid w:val="00E778E0"/>
    <w:rsid w:val="00E8090A"/>
    <w:rsid w:val="00E80995"/>
    <w:rsid w:val="00E81E1F"/>
    <w:rsid w:val="00E82D69"/>
    <w:rsid w:val="00E83F41"/>
    <w:rsid w:val="00E85053"/>
    <w:rsid w:val="00E86361"/>
    <w:rsid w:val="00E86604"/>
    <w:rsid w:val="00E868DA"/>
    <w:rsid w:val="00E877A4"/>
    <w:rsid w:val="00E90A26"/>
    <w:rsid w:val="00E91A44"/>
    <w:rsid w:val="00E924CA"/>
    <w:rsid w:val="00E92A8E"/>
    <w:rsid w:val="00E93909"/>
    <w:rsid w:val="00E943A7"/>
    <w:rsid w:val="00E9466F"/>
    <w:rsid w:val="00E94B96"/>
    <w:rsid w:val="00E9540E"/>
    <w:rsid w:val="00E978DD"/>
    <w:rsid w:val="00EA06EF"/>
    <w:rsid w:val="00EA0C68"/>
    <w:rsid w:val="00EA1270"/>
    <w:rsid w:val="00EA1C70"/>
    <w:rsid w:val="00EA42CF"/>
    <w:rsid w:val="00EA59D1"/>
    <w:rsid w:val="00EA682A"/>
    <w:rsid w:val="00EA6B7C"/>
    <w:rsid w:val="00EA712F"/>
    <w:rsid w:val="00EA72E6"/>
    <w:rsid w:val="00EA781F"/>
    <w:rsid w:val="00EA78A5"/>
    <w:rsid w:val="00EB0339"/>
    <w:rsid w:val="00EB0B89"/>
    <w:rsid w:val="00EB0F76"/>
    <w:rsid w:val="00EB3C5F"/>
    <w:rsid w:val="00EB5A3F"/>
    <w:rsid w:val="00EB5B58"/>
    <w:rsid w:val="00EB61E0"/>
    <w:rsid w:val="00EB74A4"/>
    <w:rsid w:val="00EB7F5D"/>
    <w:rsid w:val="00EC213E"/>
    <w:rsid w:val="00EC3A88"/>
    <w:rsid w:val="00EC4790"/>
    <w:rsid w:val="00EC4CEE"/>
    <w:rsid w:val="00EC51F6"/>
    <w:rsid w:val="00EC784A"/>
    <w:rsid w:val="00ED0D88"/>
    <w:rsid w:val="00ED1A01"/>
    <w:rsid w:val="00ED1E5D"/>
    <w:rsid w:val="00ED2197"/>
    <w:rsid w:val="00ED3885"/>
    <w:rsid w:val="00ED47AF"/>
    <w:rsid w:val="00ED47CE"/>
    <w:rsid w:val="00ED48F5"/>
    <w:rsid w:val="00ED4D7D"/>
    <w:rsid w:val="00ED7325"/>
    <w:rsid w:val="00ED7B6C"/>
    <w:rsid w:val="00ED7D19"/>
    <w:rsid w:val="00EE01F9"/>
    <w:rsid w:val="00EE0758"/>
    <w:rsid w:val="00EE15DA"/>
    <w:rsid w:val="00EE18C8"/>
    <w:rsid w:val="00EE19D4"/>
    <w:rsid w:val="00EE1B4A"/>
    <w:rsid w:val="00EE277F"/>
    <w:rsid w:val="00EE2CAB"/>
    <w:rsid w:val="00EE329F"/>
    <w:rsid w:val="00EE3E78"/>
    <w:rsid w:val="00EE46B8"/>
    <w:rsid w:val="00EE52FC"/>
    <w:rsid w:val="00EE5A03"/>
    <w:rsid w:val="00EF1C69"/>
    <w:rsid w:val="00EF1F5A"/>
    <w:rsid w:val="00EF2105"/>
    <w:rsid w:val="00EF242C"/>
    <w:rsid w:val="00EF279D"/>
    <w:rsid w:val="00EF472B"/>
    <w:rsid w:val="00EF4A1C"/>
    <w:rsid w:val="00EF5356"/>
    <w:rsid w:val="00EF66EC"/>
    <w:rsid w:val="00EF67EC"/>
    <w:rsid w:val="00F00B46"/>
    <w:rsid w:val="00F013DC"/>
    <w:rsid w:val="00F0327F"/>
    <w:rsid w:val="00F041E6"/>
    <w:rsid w:val="00F04227"/>
    <w:rsid w:val="00F0434B"/>
    <w:rsid w:val="00F04371"/>
    <w:rsid w:val="00F04811"/>
    <w:rsid w:val="00F0488C"/>
    <w:rsid w:val="00F04FA9"/>
    <w:rsid w:val="00F0534F"/>
    <w:rsid w:val="00F0541B"/>
    <w:rsid w:val="00F10454"/>
    <w:rsid w:val="00F10B39"/>
    <w:rsid w:val="00F10BC7"/>
    <w:rsid w:val="00F111AC"/>
    <w:rsid w:val="00F11CF4"/>
    <w:rsid w:val="00F1224F"/>
    <w:rsid w:val="00F12B55"/>
    <w:rsid w:val="00F12B9A"/>
    <w:rsid w:val="00F13E2C"/>
    <w:rsid w:val="00F14C04"/>
    <w:rsid w:val="00F15118"/>
    <w:rsid w:val="00F15BEF"/>
    <w:rsid w:val="00F20468"/>
    <w:rsid w:val="00F2087D"/>
    <w:rsid w:val="00F20947"/>
    <w:rsid w:val="00F210CC"/>
    <w:rsid w:val="00F221A9"/>
    <w:rsid w:val="00F22E88"/>
    <w:rsid w:val="00F22E95"/>
    <w:rsid w:val="00F23B29"/>
    <w:rsid w:val="00F24FAA"/>
    <w:rsid w:val="00F26446"/>
    <w:rsid w:val="00F27648"/>
    <w:rsid w:val="00F30D8A"/>
    <w:rsid w:val="00F30DDC"/>
    <w:rsid w:val="00F326AB"/>
    <w:rsid w:val="00F3364D"/>
    <w:rsid w:val="00F34844"/>
    <w:rsid w:val="00F3539C"/>
    <w:rsid w:val="00F3564F"/>
    <w:rsid w:val="00F35998"/>
    <w:rsid w:val="00F36022"/>
    <w:rsid w:val="00F3634D"/>
    <w:rsid w:val="00F40065"/>
    <w:rsid w:val="00F408FA"/>
    <w:rsid w:val="00F40DAC"/>
    <w:rsid w:val="00F40DE5"/>
    <w:rsid w:val="00F421F8"/>
    <w:rsid w:val="00F4270C"/>
    <w:rsid w:val="00F437B7"/>
    <w:rsid w:val="00F43EEB"/>
    <w:rsid w:val="00F44931"/>
    <w:rsid w:val="00F44FC6"/>
    <w:rsid w:val="00F463E6"/>
    <w:rsid w:val="00F4728B"/>
    <w:rsid w:val="00F47EE9"/>
    <w:rsid w:val="00F500C4"/>
    <w:rsid w:val="00F510B3"/>
    <w:rsid w:val="00F52FA3"/>
    <w:rsid w:val="00F531AC"/>
    <w:rsid w:val="00F53A43"/>
    <w:rsid w:val="00F53D1B"/>
    <w:rsid w:val="00F540E4"/>
    <w:rsid w:val="00F553C2"/>
    <w:rsid w:val="00F56365"/>
    <w:rsid w:val="00F5744D"/>
    <w:rsid w:val="00F578EF"/>
    <w:rsid w:val="00F602B9"/>
    <w:rsid w:val="00F60D2B"/>
    <w:rsid w:val="00F61BF6"/>
    <w:rsid w:val="00F624DF"/>
    <w:rsid w:val="00F62595"/>
    <w:rsid w:val="00F63783"/>
    <w:rsid w:val="00F638C8"/>
    <w:rsid w:val="00F63CE5"/>
    <w:rsid w:val="00F63DDE"/>
    <w:rsid w:val="00F63FB7"/>
    <w:rsid w:val="00F647F4"/>
    <w:rsid w:val="00F64CCD"/>
    <w:rsid w:val="00F656A6"/>
    <w:rsid w:val="00F65CF4"/>
    <w:rsid w:val="00F6646A"/>
    <w:rsid w:val="00F6693A"/>
    <w:rsid w:val="00F67CA3"/>
    <w:rsid w:val="00F70D82"/>
    <w:rsid w:val="00F71114"/>
    <w:rsid w:val="00F72394"/>
    <w:rsid w:val="00F728A1"/>
    <w:rsid w:val="00F72D1B"/>
    <w:rsid w:val="00F72D92"/>
    <w:rsid w:val="00F72EE1"/>
    <w:rsid w:val="00F73825"/>
    <w:rsid w:val="00F73A0C"/>
    <w:rsid w:val="00F75BC6"/>
    <w:rsid w:val="00F769A1"/>
    <w:rsid w:val="00F772E1"/>
    <w:rsid w:val="00F77436"/>
    <w:rsid w:val="00F801C6"/>
    <w:rsid w:val="00F80AD6"/>
    <w:rsid w:val="00F81435"/>
    <w:rsid w:val="00F81A5C"/>
    <w:rsid w:val="00F81CB0"/>
    <w:rsid w:val="00F831FB"/>
    <w:rsid w:val="00F83898"/>
    <w:rsid w:val="00F83C23"/>
    <w:rsid w:val="00F85719"/>
    <w:rsid w:val="00F86A7C"/>
    <w:rsid w:val="00F8791C"/>
    <w:rsid w:val="00F87CE8"/>
    <w:rsid w:val="00F9134F"/>
    <w:rsid w:val="00F91B9A"/>
    <w:rsid w:val="00F922A4"/>
    <w:rsid w:val="00F93756"/>
    <w:rsid w:val="00F94952"/>
    <w:rsid w:val="00F9605B"/>
    <w:rsid w:val="00F96B12"/>
    <w:rsid w:val="00FA3A02"/>
    <w:rsid w:val="00FA409B"/>
    <w:rsid w:val="00FA4137"/>
    <w:rsid w:val="00FA457D"/>
    <w:rsid w:val="00FA4C51"/>
    <w:rsid w:val="00FA4D1E"/>
    <w:rsid w:val="00FA6478"/>
    <w:rsid w:val="00FB0324"/>
    <w:rsid w:val="00FB1007"/>
    <w:rsid w:val="00FB12F8"/>
    <w:rsid w:val="00FB1379"/>
    <w:rsid w:val="00FB259D"/>
    <w:rsid w:val="00FB3236"/>
    <w:rsid w:val="00FB45E6"/>
    <w:rsid w:val="00FB479D"/>
    <w:rsid w:val="00FB5664"/>
    <w:rsid w:val="00FB57C8"/>
    <w:rsid w:val="00FB5C16"/>
    <w:rsid w:val="00FB5DEA"/>
    <w:rsid w:val="00FB76B1"/>
    <w:rsid w:val="00FC075C"/>
    <w:rsid w:val="00FC0E5F"/>
    <w:rsid w:val="00FC15DA"/>
    <w:rsid w:val="00FC1800"/>
    <w:rsid w:val="00FC2892"/>
    <w:rsid w:val="00FC2981"/>
    <w:rsid w:val="00FC33C0"/>
    <w:rsid w:val="00FC3531"/>
    <w:rsid w:val="00FC3922"/>
    <w:rsid w:val="00FC47B4"/>
    <w:rsid w:val="00FC56DE"/>
    <w:rsid w:val="00FC58DB"/>
    <w:rsid w:val="00FC654F"/>
    <w:rsid w:val="00FD0F83"/>
    <w:rsid w:val="00FD141D"/>
    <w:rsid w:val="00FD1492"/>
    <w:rsid w:val="00FD2708"/>
    <w:rsid w:val="00FD2941"/>
    <w:rsid w:val="00FD3859"/>
    <w:rsid w:val="00FD3B29"/>
    <w:rsid w:val="00FD4884"/>
    <w:rsid w:val="00FD72B0"/>
    <w:rsid w:val="00FD73C6"/>
    <w:rsid w:val="00FD77F0"/>
    <w:rsid w:val="00FE00BC"/>
    <w:rsid w:val="00FE026D"/>
    <w:rsid w:val="00FE14FD"/>
    <w:rsid w:val="00FE1CD8"/>
    <w:rsid w:val="00FE2310"/>
    <w:rsid w:val="00FE2398"/>
    <w:rsid w:val="00FE2612"/>
    <w:rsid w:val="00FE2F78"/>
    <w:rsid w:val="00FE32DB"/>
    <w:rsid w:val="00FE3AC9"/>
    <w:rsid w:val="00FE452F"/>
    <w:rsid w:val="00FE47AD"/>
    <w:rsid w:val="00FE6728"/>
    <w:rsid w:val="00FE7501"/>
    <w:rsid w:val="00FF041F"/>
    <w:rsid w:val="00FF074A"/>
    <w:rsid w:val="00FF21E9"/>
    <w:rsid w:val="00FF2B86"/>
    <w:rsid w:val="00FF3BF1"/>
    <w:rsid w:val="00FF3D2A"/>
    <w:rsid w:val="00FF41B5"/>
    <w:rsid w:val="00FF4801"/>
    <w:rsid w:val="00FF4878"/>
    <w:rsid w:val="00FF5580"/>
    <w:rsid w:val="00FF565B"/>
    <w:rsid w:val="00FF6C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0422D4B2"/>
  <w15:docId w15:val="{2377A5FD-047F-4FBC-9223-B6AC3D155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A67A5"/>
    <w:pPr>
      <w:spacing w:line="288" w:lineRule="auto"/>
    </w:pPr>
    <w:rPr>
      <w:rFonts w:ascii="Arial" w:eastAsia="Times New Roman" w:hAnsi="Arial"/>
      <w:szCs w:val="24"/>
    </w:rPr>
  </w:style>
  <w:style w:type="paragraph" w:styleId="Nadpis1">
    <w:name w:val="heading 1"/>
    <w:next w:val="Normln"/>
    <w:link w:val="Nadpis1Char"/>
    <w:uiPriority w:val="9"/>
    <w:qFormat/>
    <w:rsid w:val="007F0845"/>
    <w:pPr>
      <w:keepNext/>
      <w:keepLines/>
      <w:spacing w:after="200" w:line="288" w:lineRule="auto"/>
      <w:outlineLvl w:val="0"/>
    </w:pPr>
    <w:rPr>
      <w:rFonts w:ascii="Arial" w:eastAsia="MS Gothic" w:hAnsi="Arial"/>
      <w:b/>
      <w:bCs/>
      <w:color w:val="009BB4"/>
      <w:sz w:val="32"/>
      <w:szCs w:val="28"/>
    </w:rPr>
  </w:style>
  <w:style w:type="paragraph" w:styleId="Nadpis2">
    <w:name w:val="heading 2"/>
    <w:next w:val="Normln"/>
    <w:link w:val="Nadpis2Char"/>
    <w:uiPriority w:val="9"/>
    <w:qFormat/>
    <w:rsid w:val="007F0845"/>
    <w:pPr>
      <w:keepNext/>
      <w:keepLines/>
      <w:spacing w:line="288" w:lineRule="auto"/>
      <w:outlineLvl w:val="1"/>
    </w:pPr>
    <w:rPr>
      <w:rFonts w:ascii="Arial" w:eastAsia="MS Gothic" w:hAnsi="Arial"/>
      <w:b/>
      <w:bCs/>
      <w:color w:val="009BB4"/>
      <w:sz w:val="28"/>
      <w:szCs w:val="26"/>
    </w:rPr>
  </w:style>
  <w:style w:type="paragraph" w:styleId="Nadpis3">
    <w:name w:val="heading 3"/>
    <w:next w:val="Normln"/>
    <w:link w:val="Nadpis3Char"/>
    <w:uiPriority w:val="9"/>
    <w:qFormat/>
    <w:rsid w:val="007F0845"/>
    <w:pPr>
      <w:keepNext/>
      <w:keepLines/>
      <w:spacing w:line="288" w:lineRule="auto"/>
      <w:outlineLvl w:val="2"/>
    </w:pPr>
    <w:rPr>
      <w:rFonts w:ascii="Arial" w:eastAsia="MS Gothic" w:hAnsi="Arial"/>
      <w:b/>
      <w:bCs/>
      <w:color w:val="009BB4"/>
      <w:sz w:val="24"/>
      <w:szCs w:val="24"/>
    </w:rPr>
  </w:style>
  <w:style w:type="paragraph" w:styleId="Nadpis4">
    <w:name w:val="heading 4"/>
    <w:next w:val="Normln"/>
    <w:link w:val="Nadpis4Char"/>
    <w:uiPriority w:val="9"/>
    <w:qFormat/>
    <w:rsid w:val="005108C0"/>
    <w:pPr>
      <w:keepNext/>
      <w:keepLines/>
      <w:spacing w:line="288" w:lineRule="auto"/>
      <w:outlineLvl w:val="3"/>
    </w:pPr>
    <w:rPr>
      <w:rFonts w:ascii="Arial" w:eastAsia="MS Gothic" w:hAnsi="Arial"/>
      <w:b/>
      <w:bCs/>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71A58"/>
  </w:style>
  <w:style w:type="paragraph" w:styleId="Zpat">
    <w:name w:val="footer"/>
    <w:basedOn w:val="Normln"/>
    <w:link w:val="ZpatChar"/>
    <w:uiPriority w:val="99"/>
    <w:unhideWhenUsed/>
    <w:qFormat/>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rPr>
  </w:style>
  <w:style w:type="paragraph" w:styleId="Nzev">
    <w:name w:val="Title"/>
    <w:next w:val="Normln"/>
    <w:link w:val="NzevChar"/>
    <w:uiPriority w:val="10"/>
    <w:qFormat/>
    <w:rsid w:val="007C3F6A"/>
    <w:pPr>
      <w:spacing w:line="288" w:lineRule="auto"/>
      <w:contextualSpacing/>
      <w:outlineLvl w:val="0"/>
    </w:pPr>
    <w:rPr>
      <w:rFonts w:ascii="Arial" w:eastAsia="MS Gothic" w:hAnsi="Arial"/>
      <w:b/>
      <w:caps/>
      <w:color w:val="009BB4"/>
      <w:sz w:val="56"/>
      <w:szCs w:val="52"/>
    </w:rPr>
  </w:style>
  <w:style w:type="character" w:customStyle="1" w:styleId="NzevChar">
    <w:name w:val="Název Char"/>
    <w:link w:val="Nzev"/>
    <w:uiPriority w:val="10"/>
    <w:rsid w:val="007C3F6A"/>
    <w:rPr>
      <w:rFonts w:ascii="Arial" w:eastAsia="MS Gothic" w:hAnsi="Arial"/>
      <w:b/>
      <w:caps/>
      <w:color w:val="009BB4"/>
      <w:sz w:val="56"/>
      <w:szCs w:val="52"/>
      <w:lang w:bidi="ar-SA"/>
    </w:rPr>
  </w:style>
  <w:style w:type="paragraph" w:styleId="Podnadpis">
    <w:name w:val="Subtitle"/>
    <w:next w:val="Normln"/>
    <w:link w:val="PodnadpisChar"/>
    <w:uiPriority w:val="11"/>
    <w:qFormat/>
    <w:rsid w:val="007F0845"/>
    <w:pPr>
      <w:numPr>
        <w:ilvl w:val="1"/>
      </w:numPr>
      <w:spacing w:line="288" w:lineRule="auto"/>
    </w:pPr>
    <w:rPr>
      <w:rFonts w:ascii="Arial" w:eastAsia="MS Gothic" w:hAnsi="Arial"/>
      <w:b/>
      <w:iCs/>
      <w:color w:val="009BB4"/>
      <w:sz w:val="28"/>
      <w:szCs w:val="24"/>
    </w:rPr>
  </w:style>
  <w:style w:type="character" w:customStyle="1" w:styleId="PodnadpisChar">
    <w:name w:val="Podnadpis Char"/>
    <w:link w:val="Podnadpis"/>
    <w:uiPriority w:val="11"/>
    <w:rsid w:val="007F0845"/>
    <w:rPr>
      <w:rFonts w:ascii="Arial" w:eastAsia="MS Gothic" w:hAnsi="Arial"/>
      <w:b/>
      <w:iCs/>
      <w:color w:val="009BB4"/>
      <w:sz w:val="28"/>
      <w:szCs w:val="24"/>
      <w:lang w:bidi="ar-SA"/>
    </w:rPr>
  </w:style>
  <w:style w:type="character" w:customStyle="1" w:styleId="Nadpis1Char">
    <w:name w:val="Nadpis 1 Char"/>
    <w:link w:val="Nadpis1"/>
    <w:uiPriority w:val="9"/>
    <w:rsid w:val="007F0845"/>
    <w:rPr>
      <w:rFonts w:ascii="Arial" w:eastAsia="MS Gothic" w:hAnsi="Arial"/>
      <w:b/>
      <w:bCs/>
      <w:color w:val="009BB4"/>
      <w:sz w:val="32"/>
      <w:szCs w:val="28"/>
      <w:lang w:bidi="ar-SA"/>
    </w:rPr>
  </w:style>
  <w:style w:type="character" w:customStyle="1" w:styleId="Nadpis2Char">
    <w:name w:val="Nadpis 2 Char"/>
    <w:link w:val="Nadpis2"/>
    <w:uiPriority w:val="9"/>
    <w:rsid w:val="007F0845"/>
    <w:rPr>
      <w:rFonts w:ascii="Arial" w:eastAsia="MS Gothic" w:hAnsi="Arial"/>
      <w:b/>
      <w:bCs/>
      <w:color w:val="009BB4"/>
      <w:sz w:val="28"/>
      <w:szCs w:val="26"/>
      <w:lang w:bidi="ar-SA"/>
    </w:rPr>
  </w:style>
  <w:style w:type="character" w:customStyle="1" w:styleId="Nadpis3Char">
    <w:name w:val="Nadpis 3 Char"/>
    <w:link w:val="Nadpis3"/>
    <w:uiPriority w:val="9"/>
    <w:rsid w:val="007F0845"/>
    <w:rPr>
      <w:rFonts w:ascii="Arial" w:eastAsia="MS Gothic" w:hAnsi="Arial"/>
      <w:b/>
      <w:bCs/>
      <w:color w:val="009BB4"/>
      <w:sz w:val="24"/>
      <w:szCs w:val="24"/>
      <w:lang w:bidi="ar-SA"/>
    </w:rPr>
  </w:style>
  <w:style w:type="character" w:customStyle="1" w:styleId="Nadpis4Char">
    <w:name w:val="Nadpis 4 Char"/>
    <w:link w:val="Nadpis4"/>
    <w:uiPriority w:val="9"/>
    <w:rsid w:val="005108C0"/>
    <w:rPr>
      <w:rFonts w:ascii="Arial" w:eastAsia="MS Gothic" w:hAnsi="Arial"/>
      <w:b/>
      <w:bCs/>
      <w:iCs/>
      <w:szCs w:val="24"/>
      <w:lang w:bidi="ar-SA"/>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paragraph" w:customStyle="1" w:styleId="Box1">
    <w:name w:val="Box 1"/>
    <w:basedOn w:val="Zkladnodstavec"/>
    <w:next w:val="Normln"/>
    <w:qFormat/>
    <w:rsid w:val="007F0845"/>
    <w:pPr>
      <w:ind w:left="1134"/>
    </w:pPr>
    <w:rPr>
      <w:rFonts w:ascii="Arial" w:hAnsi="Arial" w:cs="Arial"/>
      <w:color w:val="009BB4"/>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qFormat/>
    <w:rsid w:val="007C3F6A"/>
    <w:pPr>
      <w:shd w:val="clear" w:color="auto" w:fill="D9F0F4"/>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4F06F5"/>
    <w:pPr>
      <w:spacing w:after="80"/>
    </w:pPr>
    <w:rPr>
      <w:rFonts w:ascii="Arial" w:eastAsia="Times New Roman" w:hAnsi="Arial"/>
      <w:b/>
      <w:caps/>
      <w:color w:val="BD1B21"/>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7C3F6A"/>
    <w:rPr>
      <w:rFonts w:ascii="Arial" w:hAnsi="Arial"/>
      <w:color w:val="000000"/>
      <w:sz w:val="24"/>
      <w:szCs w:val="24"/>
      <w:shd w:val="clear" w:color="auto" w:fill="D9F0F4"/>
      <w:lang w:bidi="ar-SA"/>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KontaktyChar">
    <w:name w:val="TL - Kontakty Char"/>
    <w:link w:val="TL-Kontakty"/>
    <w:rsid w:val="004F06F5"/>
    <w:rPr>
      <w:rFonts w:ascii="Arial" w:eastAsia="Times New Roman" w:hAnsi="Arial"/>
      <w:b/>
      <w:caps/>
      <w:color w:val="BD1B21"/>
      <w:sz w:val="24"/>
      <w:szCs w:val="24"/>
      <w:lang w:bidi="ar-SA"/>
    </w:rPr>
  </w:style>
  <w:style w:type="character" w:customStyle="1" w:styleId="TL-IdentifikaceChar">
    <w:name w:val="TL - Identifikace Char"/>
    <w:link w:val="TL-Identifikace"/>
    <w:rsid w:val="004F06F5"/>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1"/>
    <w:rsid w:val="00EE3E78"/>
    <w:rPr>
      <w:rFonts w:ascii="Arial" w:eastAsia="Times New Roman" w:hAnsi="Arial"/>
      <w:szCs w:val="24"/>
      <w:lang w:bidi="ar-SA"/>
    </w:rPr>
  </w:style>
  <w:style w:type="paragraph" w:customStyle="1" w:styleId="TL-identifikace-sted">
    <w:name w:val="TL - identifikace - střed"/>
    <w:basedOn w:val="Normln"/>
    <w:link w:val="TL-identifikace-stedChar"/>
    <w:qFormat/>
    <w:rsid w:val="006C113F"/>
    <w:pPr>
      <w:spacing w:after="200"/>
    </w:pPr>
    <w:rPr>
      <w:sz w:val="24"/>
    </w:rPr>
  </w:style>
  <w:style w:type="paragraph" w:customStyle="1" w:styleId="TL-Identifikace-dole">
    <w:name w:val="TL - Identifikace - dole"/>
    <w:basedOn w:val="Normln"/>
    <w:link w:val="TL-Identifikace-doleChar"/>
    <w:qFormat/>
    <w:rsid w:val="006C113F"/>
    <w:pPr>
      <w:spacing w:after="200"/>
    </w:pPr>
    <w:rPr>
      <w:szCs w:val="20"/>
      <w:lang w:eastAsia="ar-SA"/>
    </w:rPr>
  </w:style>
  <w:style w:type="character" w:customStyle="1" w:styleId="TL-identifikace-stedChar">
    <w:name w:val="TL - identifikace - střed Char"/>
    <w:link w:val="TL-identifikace-sted"/>
    <w:rsid w:val="006C113F"/>
    <w:rPr>
      <w:rFonts w:ascii="Arial" w:eastAsia="Times New Roman" w:hAnsi="Arial"/>
      <w:sz w:val="24"/>
      <w:szCs w:val="24"/>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styleId="Nadpisobsahu">
    <w:name w:val="TOC Heading"/>
    <w:basedOn w:val="Nadpis1"/>
    <w:next w:val="Normln"/>
    <w:uiPriority w:val="39"/>
    <w:semiHidden/>
    <w:unhideWhenUsed/>
    <w:qFormat/>
    <w:rsid w:val="00BC6AC1"/>
    <w:pPr>
      <w:spacing w:before="480" w:after="0" w:line="276" w:lineRule="auto"/>
      <w:outlineLvl w:val="9"/>
    </w:pPr>
    <w:rPr>
      <w:rFonts w:ascii="Cambria" w:eastAsia="Times New Roman" w:hAnsi="Cambria"/>
      <w:color w:val="365F91"/>
      <w:sz w:val="28"/>
    </w:rPr>
  </w:style>
  <w:style w:type="paragraph" w:styleId="Obsah1">
    <w:name w:val="toc 1"/>
    <w:basedOn w:val="Normln"/>
    <w:next w:val="Normln"/>
    <w:autoRedefine/>
    <w:uiPriority w:val="39"/>
    <w:unhideWhenUsed/>
    <w:rsid w:val="00BC6AC1"/>
  </w:style>
  <w:style w:type="paragraph" w:styleId="Obsah2">
    <w:name w:val="toc 2"/>
    <w:basedOn w:val="Normln"/>
    <w:next w:val="Normln"/>
    <w:autoRedefine/>
    <w:uiPriority w:val="39"/>
    <w:unhideWhenUsed/>
    <w:rsid w:val="00BC6AC1"/>
    <w:pPr>
      <w:ind w:left="200"/>
    </w:pPr>
  </w:style>
  <w:style w:type="paragraph" w:styleId="Obsah3">
    <w:name w:val="toc 3"/>
    <w:basedOn w:val="Normln"/>
    <w:next w:val="Normln"/>
    <w:autoRedefine/>
    <w:uiPriority w:val="39"/>
    <w:unhideWhenUsed/>
    <w:rsid w:val="00BC6AC1"/>
    <w:pPr>
      <w:ind w:left="400"/>
    </w:pPr>
  </w:style>
  <w:style w:type="paragraph" w:styleId="Odstavecseseznamem">
    <w:name w:val="List Paragraph"/>
    <w:basedOn w:val="Normln"/>
    <w:uiPriority w:val="34"/>
    <w:qFormat/>
    <w:rsid w:val="00ED48F5"/>
    <w:pPr>
      <w:spacing w:line="240" w:lineRule="auto"/>
      <w:ind w:left="720"/>
      <w:contextualSpacing/>
      <w:jc w:val="both"/>
    </w:pPr>
  </w:style>
  <w:style w:type="paragraph" w:styleId="Textpoznpodarou">
    <w:name w:val="footnote text"/>
    <w:basedOn w:val="Normln"/>
    <w:link w:val="TextpoznpodarouChar"/>
    <w:uiPriority w:val="99"/>
    <w:semiHidden/>
    <w:unhideWhenUsed/>
    <w:rsid w:val="00ED48F5"/>
    <w:pPr>
      <w:spacing w:line="240" w:lineRule="auto"/>
      <w:jc w:val="both"/>
    </w:pPr>
    <w:rPr>
      <w:szCs w:val="20"/>
    </w:rPr>
  </w:style>
  <w:style w:type="character" w:customStyle="1" w:styleId="TextpoznpodarouChar">
    <w:name w:val="Text pozn. pod čarou Char"/>
    <w:link w:val="Textpoznpodarou"/>
    <w:uiPriority w:val="99"/>
    <w:semiHidden/>
    <w:rsid w:val="00ED48F5"/>
    <w:rPr>
      <w:rFonts w:ascii="Arial" w:eastAsia="Times New Roman" w:hAnsi="Arial"/>
    </w:rPr>
  </w:style>
  <w:style w:type="character" w:styleId="Znakapoznpodarou">
    <w:name w:val="footnote reference"/>
    <w:uiPriority w:val="99"/>
    <w:semiHidden/>
    <w:unhideWhenUsed/>
    <w:rsid w:val="00ED48F5"/>
    <w:rPr>
      <w:vertAlign w:val="superscript"/>
    </w:rPr>
  </w:style>
  <w:style w:type="table" w:styleId="Mkatabulky">
    <w:name w:val="Table Grid"/>
    <w:basedOn w:val="Normlntabulka"/>
    <w:uiPriority w:val="59"/>
    <w:rsid w:val="00D72C5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unhideWhenUsed/>
    <w:rsid w:val="00840E30"/>
    <w:rPr>
      <w:sz w:val="16"/>
      <w:szCs w:val="16"/>
    </w:rPr>
  </w:style>
  <w:style w:type="paragraph" w:styleId="Textkomente">
    <w:name w:val="annotation text"/>
    <w:basedOn w:val="Normln"/>
    <w:link w:val="TextkomenteChar"/>
    <w:uiPriority w:val="99"/>
    <w:semiHidden/>
    <w:unhideWhenUsed/>
    <w:rsid w:val="00840E30"/>
    <w:rPr>
      <w:szCs w:val="20"/>
    </w:rPr>
  </w:style>
  <w:style w:type="character" w:customStyle="1" w:styleId="TextkomenteChar">
    <w:name w:val="Text komentáře Char"/>
    <w:link w:val="Textkomente"/>
    <w:uiPriority w:val="99"/>
    <w:semiHidden/>
    <w:rsid w:val="00840E30"/>
    <w:rPr>
      <w:rFonts w:ascii="Arial" w:eastAsia="Times New Roman" w:hAnsi="Arial"/>
    </w:rPr>
  </w:style>
  <w:style w:type="paragraph" w:styleId="Pedmtkomente">
    <w:name w:val="annotation subject"/>
    <w:basedOn w:val="Textkomente"/>
    <w:next w:val="Textkomente"/>
    <w:link w:val="PedmtkomenteChar"/>
    <w:uiPriority w:val="99"/>
    <w:semiHidden/>
    <w:unhideWhenUsed/>
    <w:rsid w:val="00840E30"/>
    <w:rPr>
      <w:b/>
      <w:bCs/>
    </w:rPr>
  </w:style>
  <w:style w:type="character" w:customStyle="1" w:styleId="PedmtkomenteChar">
    <w:name w:val="Předmět komentáře Char"/>
    <w:link w:val="Pedmtkomente"/>
    <w:uiPriority w:val="99"/>
    <w:semiHidden/>
    <w:rsid w:val="00840E30"/>
    <w:rPr>
      <w:rFonts w:ascii="Arial" w:eastAsia="Times New Roman" w:hAnsi="Arial"/>
      <w:b/>
      <w:bCs/>
    </w:rPr>
  </w:style>
  <w:style w:type="character" w:styleId="Sledovanodkaz">
    <w:name w:val="FollowedHyperlink"/>
    <w:basedOn w:val="Standardnpsmoodstavce"/>
    <w:uiPriority w:val="99"/>
    <w:semiHidden/>
    <w:unhideWhenUsed/>
    <w:rsid w:val="005C0BF9"/>
    <w:rPr>
      <w:color w:val="800080" w:themeColor="followedHyperlink"/>
      <w:u w:val="single"/>
    </w:rPr>
  </w:style>
  <w:style w:type="paragraph" w:styleId="Zkladntext2">
    <w:name w:val="Body Text 2"/>
    <w:basedOn w:val="Normln"/>
    <w:link w:val="Zkladntext2Char"/>
    <w:rsid w:val="00857CF9"/>
    <w:pPr>
      <w:spacing w:line="240" w:lineRule="auto"/>
      <w:jc w:val="both"/>
    </w:pPr>
    <w:rPr>
      <w:rFonts w:ascii="Garamond" w:hAnsi="Garamond"/>
      <w:sz w:val="24"/>
    </w:rPr>
  </w:style>
  <w:style w:type="character" w:customStyle="1" w:styleId="Zkladntext2Char">
    <w:name w:val="Základní text 2 Char"/>
    <w:basedOn w:val="Standardnpsmoodstavce"/>
    <w:link w:val="Zkladntext2"/>
    <w:rsid w:val="00857CF9"/>
    <w:rPr>
      <w:rFonts w:ascii="Garamond" w:eastAsia="Times New Roman" w:hAnsi="Garamond"/>
      <w:sz w:val="24"/>
      <w:szCs w:val="24"/>
    </w:rPr>
  </w:style>
  <w:style w:type="paragraph" w:styleId="Titulek">
    <w:name w:val="caption"/>
    <w:basedOn w:val="Normln"/>
    <w:next w:val="Normln"/>
    <w:qFormat/>
    <w:rsid w:val="00857CF9"/>
    <w:pPr>
      <w:pBdr>
        <w:bottom w:val="single" w:sz="4" w:space="1" w:color="808080"/>
      </w:pBdr>
      <w:spacing w:line="240" w:lineRule="auto"/>
    </w:pPr>
    <w:rPr>
      <w:rFonts w:ascii="Calibri" w:hAnsi="Calibri"/>
      <w:b/>
      <w:bCs/>
      <w:sz w:val="18"/>
      <w:szCs w:val="18"/>
    </w:rPr>
  </w:style>
  <w:style w:type="paragraph" w:styleId="Rozloendokumentu">
    <w:name w:val="Document Map"/>
    <w:basedOn w:val="Normln"/>
    <w:link w:val="RozloendokumentuChar"/>
    <w:uiPriority w:val="99"/>
    <w:semiHidden/>
    <w:unhideWhenUsed/>
    <w:rsid w:val="00B51679"/>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B51679"/>
    <w:rPr>
      <w:rFonts w:ascii="Tahoma" w:eastAsia="Times New Roman" w:hAnsi="Tahoma" w:cs="Tahoma"/>
      <w:sz w:val="16"/>
      <w:szCs w:val="16"/>
    </w:rPr>
  </w:style>
  <w:style w:type="character" w:customStyle="1" w:styleId="st">
    <w:name w:val="st"/>
    <w:basedOn w:val="Standardnpsmoodstavce"/>
    <w:rsid w:val="00195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15816143">
      <w:bodyDiv w:val="1"/>
      <w:marLeft w:val="0"/>
      <w:marRight w:val="0"/>
      <w:marTop w:val="0"/>
      <w:marBottom w:val="0"/>
      <w:divBdr>
        <w:top w:val="none" w:sz="0" w:space="0" w:color="auto"/>
        <w:left w:val="none" w:sz="0" w:space="0" w:color="auto"/>
        <w:bottom w:val="none" w:sz="0" w:space="0" w:color="auto"/>
        <w:right w:val="none" w:sz="0" w:space="0" w:color="auto"/>
      </w:divBdr>
    </w:div>
    <w:div w:id="42367243">
      <w:bodyDiv w:val="1"/>
      <w:marLeft w:val="0"/>
      <w:marRight w:val="0"/>
      <w:marTop w:val="0"/>
      <w:marBottom w:val="0"/>
      <w:divBdr>
        <w:top w:val="none" w:sz="0" w:space="0" w:color="auto"/>
        <w:left w:val="none" w:sz="0" w:space="0" w:color="auto"/>
        <w:bottom w:val="none" w:sz="0" w:space="0" w:color="auto"/>
        <w:right w:val="none" w:sz="0" w:space="0" w:color="auto"/>
      </w:divBdr>
    </w:div>
    <w:div w:id="43411705">
      <w:bodyDiv w:val="1"/>
      <w:marLeft w:val="0"/>
      <w:marRight w:val="0"/>
      <w:marTop w:val="0"/>
      <w:marBottom w:val="0"/>
      <w:divBdr>
        <w:top w:val="none" w:sz="0" w:space="0" w:color="auto"/>
        <w:left w:val="none" w:sz="0" w:space="0" w:color="auto"/>
        <w:bottom w:val="none" w:sz="0" w:space="0" w:color="auto"/>
        <w:right w:val="none" w:sz="0" w:space="0" w:color="auto"/>
      </w:divBdr>
    </w:div>
    <w:div w:id="92290380">
      <w:bodyDiv w:val="1"/>
      <w:marLeft w:val="0"/>
      <w:marRight w:val="0"/>
      <w:marTop w:val="0"/>
      <w:marBottom w:val="0"/>
      <w:divBdr>
        <w:top w:val="none" w:sz="0" w:space="0" w:color="auto"/>
        <w:left w:val="none" w:sz="0" w:space="0" w:color="auto"/>
        <w:bottom w:val="none" w:sz="0" w:space="0" w:color="auto"/>
        <w:right w:val="none" w:sz="0" w:space="0" w:color="auto"/>
      </w:divBdr>
    </w:div>
    <w:div w:id="134808413">
      <w:bodyDiv w:val="1"/>
      <w:marLeft w:val="0"/>
      <w:marRight w:val="0"/>
      <w:marTop w:val="0"/>
      <w:marBottom w:val="0"/>
      <w:divBdr>
        <w:top w:val="none" w:sz="0" w:space="0" w:color="auto"/>
        <w:left w:val="none" w:sz="0" w:space="0" w:color="auto"/>
        <w:bottom w:val="none" w:sz="0" w:space="0" w:color="auto"/>
        <w:right w:val="none" w:sz="0" w:space="0" w:color="auto"/>
      </w:divBdr>
    </w:div>
    <w:div w:id="135681286">
      <w:bodyDiv w:val="1"/>
      <w:marLeft w:val="0"/>
      <w:marRight w:val="0"/>
      <w:marTop w:val="0"/>
      <w:marBottom w:val="0"/>
      <w:divBdr>
        <w:top w:val="none" w:sz="0" w:space="0" w:color="auto"/>
        <w:left w:val="none" w:sz="0" w:space="0" w:color="auto"/>
        <w:bottom w:val="none" w:sz="0" w:space="0" w:color="auto"/>
        <w:right w:val="none" w:sz="0" w:space="0" w:color="auto"/>
      </w:divBdr>
    </w:div>
    <w:div w:id="175727819">
      <w:bodyDiv w:val="1"/>
      <w:marLeft w:val="0"/>
      <w:marRight w:val="0"/>
      <w:marTop w:val="0"/>
      <w:marBottom w:val="0"/>
      <w:divBdr>
        <w:top w:val="none" w:sz="0" w:space="0" w:color="auto"/>
        <w:left w:val="none" w:sz="0" w:space="0" w:color="auto"/>
        <w:bottom w:val="none" w:sz="0" w:space="0" w:color="auto"/>
        <w:right w:val="none" w:sz="0" w:space="0" w:color="auto"/>
      </w:divBdr>
    </w:div>
    <w:div w:id="221910732">
      <w:bodyDiv w:val="1"/>
      <w:marLeft w:val="0"/>
      <w:marRight w:val="0"/>
      <w:marTop w:val="0"/>
      <w:marBottom w:val="0"/>
      <w:divBdr>
        <w:top w:val="none" w:sz="0" w:space="0" w:color="auto"/>
        <w:left w:val="none" w:sz="0" w:space="0" w:color="auto"/>
        <w:bottom w:val="none" w:sz="0" w:space="0" w:color="auto"/>
        <w:right w:val="none" w:sz="0" w:space="0" w:color="auto"/>
      </w:divBdr>
    </w:div>
    <w:div w:id="367872209">
      <w:bodyDiv w:val="1"/>
      <w:marLeft w:val="0"/>
      <w:marRight w:val="0"/>
      <w:marTop w:val="0"/>
      <w:marBottom w:val="0"/>
      <w:divBdr>
        <w:top w:val="none" w:sz="0" w:space="0" w:color="auto"/>
        <w:left w:val="none" w:sz="0" w:space="0" w:color="auto"/>
        <w:bottom w:val="none" w:sz="0" w:space="0" w:color="auto"/>
        <w:right w:val="none" w:sz="0" w:space="0" w:color="auto"/>
      </w:divBdr>
    </w:div>
    <w:div w:id="374815208">
      <w:bodyDiv w:val="1"/>
      <w:marLeft w:val="0"/>
      <w:marRight w:val="0"/>
      <w:marTop w:val="0"/>
      <w:marBottom w:val="0"/>
      <w:divBdr>
        <w:top w:val="none" w:sz="0" w:space="0" w:color="auto"/>
        <w:left w:val="none" w:sz="0" w:space="0" w:color="auto"/>
        <w:bottom w:val="none" w:sz="0" w:space="0" w:color="auto"/>
        <w:right w:val="none" w:sz="0" w:space="0" w:color="auto"/>
      </w:divBdr>
    </w:div>
    <w:div w:id="418066057">
      <w:bodyDiv w:val="1"/>
      <w:marLeft w:val="0"/>
      <w:marRight w:val="0"/>
      <w:marTop w:val="0"/>
      <w:marBottom w:val="0"/>
      <w:divBdr>
        <w:top w:val="none" w:sz="0" w:space="0" w:color="auto"/>
        <w:left w:val="none" w:sz="0" w:space="0" w:color="auto"/>
        <w:bottom w:val="none" w:sz="0" w:space="0" w:color="auto"/>
        <w:right w:val="none" w:sz="0" w:space="0" w:color="auto"/>
      </w:divBdr>
    </w:div>
    <w:div w:id="489713502">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499393714">
      <w:bodyDiv w:val="1"/>
      <w:marLeft w:val="0"/>
      <w:marRight w:val="0"/>
      <w:marTop w:val="0"/>
      <w:marBottom w:val="0"/>
      <w:divBdr>
        <w:top w:val="none" w:sz="0" w:space="0" w:color="auto"/>
        <w:left w:val="none" w:sz="0" w:space="0" w:color="auto"/>
        <w:bottom w:val="none" w:sz="0" w:space="0" w:color="auto"/>
        <w:right w:val="none" w:sz="0" w:space="0" w:color="auto"/>
      </w:divBdr>
    </w:div>
    <w:div w:id="566066195">
      <w:bodyDiv w:val="1"/>
      <w:marLeft w:val="0"/>
      <w:marRight w:val="0"/>
      <w:marTop w:val="0"/>
      <w:marBottom w:val="0"/>
      <w:divBdr>
        <w:top w:val="none" w:sz="0" w:space="0" w:color="auto"/>
        <w:left w:val="none" w:sz="0" w:space="0" w:color="auto"/>
        <w:bottom w:val="none" w:sz="0" w:space="0" w:color="auto"/>
        <w:right w:val="none" w:sz="0" w:space="0" w:color="auto"/>
      </w:divBdr>
    </w:div>
    <w:div w:id="577134093">
      <w:bodyDiv w:val="1"/>
      <w:marLeft w:val="0"/>
      <w:marRight w:val="0"/>
      <w:marTop w:val="0"/>
      <w:marBottom w:val="0"/>
      <w:divBdr>
        <w:top w:val="none" w:sz="0" w:space="0" w:color="auto"/>
        <w:left w:val="none" w:sz="0" w:space="0" w:color="auto"/>
        <w:bottom w:val="none" w:sz="0" w:space="0" w:color="auto"/>
        <w:right w:val="none" w:sz="0" w:space="0" w:color="auto"/>
      </w:divBdr>
    </w:div>
    <w:div w:id="589193588">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20176151">
      <w:bodyDiv w:val="1"/>
      <w:marLeft w:val="0"/>
      <w:marRight w:val="0"/>
      <w:marTop w:val="0"/>
      <w:marBottom w:val="0"/>
      <w:divBdr>
        <w:top w:val="none" w:sz="0" w:space="0" w:color="auto"/>
        <w:left w:val="none" w:sz="0" w:space="0" w:color="auto"/>
        <w:bottom w:val="none" w:sz="0" w:space="0" w:color="auto"/>
        <w:right w:val="none" w:sz="0" w:space="0" w:color="auto"/>
      </w:divBdr>
    </w:div>
    <w:div w:id="764154079">
      <w:bodyDiv w:val="1"/>
      <w:marLeft w:val="0"/>
      <w:marRight w:val="0"/>
      <w:marTop w:val="0"/>
      <w:marBottom w:val="0"/>
      <w:divBdr>
        <w:top w:val="none" w:sz="0" w:space="0" w:color="auto"/>
        <w:left w:val="none" w:sz="0" w:space="0" w:color="auto"/>
        <w:bottom w:val="none" w:sz="0" w:space="0" w:color="auto"/>
        <w:right w:val="none" w:sz="0" w:space="0" w:color="auto"/>
      </w:divBdr>
    </w:div>
    <w:div w:id="829567424">
      <w:bodyDiv w:val="1"/>
      <w:marLeft w:val="0"/>
      <w:marRight w:val="0"/>
      <w:marTop w:val="0"/>
      <w:marBottom w:val="0"/>
      <w:divBdr>
        <w:top w:val="none" w:sz="0" w:space="0" w:color="auto"/>
        <w:left w:val="none" w:sz="0" w:space="0" w:color="auto"/>
        <w:bottom w:val="none" w:sz="0" w:space="0" w:color="auto"/>
        <w:right w:val="none" w:sz="0" w:space="0" w:color="auto"/>
      </w:divBdr>
    </w:div>
    <w:div w:id="1167862942">
      <w:bodyDiv w:val="1"/>
      <w:marLeft w:val="0"/>
      <w:marRight w:val="0"/>
      <w:marTop w:val="0"/>
      <w:marBottom w:val="0"/>
      <w:divBdr>
        <w:top w:val="none" w:sz="0" w:space="0" w:color="auto"/>
        <w:left w:val="none" w:sz="0" w:space="0" w:color="auto"/>
        <w:bottom w:val="none" w:sz="0" w:space="0" w:color="auto"/>
        <w:right w:val="none" w:sz="0" w:space="0" w:color="auto"/>
      </w:divBdr>
    </w:div>
    <w:div w:id="1173645135">
      <w:bodyDiv w:val="1"/>
      <w:marLeft w:val="0"/>
      <w:marRight w:val="0"/>
      <w:marTop w:val="0"/>
      <w:marBottom w:val="0"/>
      <w:divBdr>
        <w:top w:val="none" w:sz="0" w:space="0" w:color="auto"/>
        <w:left w:val="none" w:sz="0" w:space="0" w:color="auto"/>
        <w:bottom w:val="none" w:sz="0" w:space="0" w:color="auto"/>
        <w:right w:val="none" w:sz="0" w:space="0" w:color="auto"/>
      </w:divBdr>
    </w:div>
    <w:div w:id="1177159574">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393306900">
      <w:bodyDiv w:val="1"/>
      <w:marLeft w:val="0"/>
      <w:marRight w:val="0"/>
      <w:marTop w:val="0"/>
      <w:marBottom w:val="0"/>
      <w:divBdr>
        <w:top w:val="none" w:sz="0" w:space="0" w:color="auto"/>
        <w:left w:val="none" w:sz="0" w:space="0" w:color="auto"/>
        <w:bottom w:val="none" w:sz="0" w:space="0" w:color="auto"/>
        <w:right w:val="none" w:sz="0" w:space="0" w:color="auto"/>
      </w:divBdr>
    </w:div>
    <w:div w:id="1393652168">
      <w:bodyDiv w:val="1"/>
      <w:marLeft w:val="0"/>
      <w:marRight w:val="0"/>
      <w:marTop w:val="0"/>
      <w:marBottom w:val="0"/>
      <w:divBdr>
        <w:top w:val="none" w:sz="0" w:space="0" w:color="auto"/>
        <w:left w:val="none" w:sz="0" w:space="0" w:color="auto"/>
        <w:bottom w:val="none" w:sz="0" w:space="0" w:color="auto"/>
        <w:right w:val="none" w:sz="0" w:space="0" w:color="auto"/>
      </w:divBdr>
    </w:div>
    <w:div w:id="140328671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55903559">
      <w:bodyDiv w:val="1"/>
      <w:marLeft w:val="0"/>
      <w:marRight w:val="0"/>
      <w:marTop w:val="0"/>
      <w:marBottom w:val="0"/>
      <w:divBdr>
        <w:top w:val="none" w:sz="0" w:space="0" w:color="auto"/>
        <w:left w:val="none" w:sz="0" w:space="0" w:color="auto"/>
        <w:bottom w:val="none" w:sz="0" w:space="0" w:color="auto"/>
        <w:right w:val="none" w:sz="0" w:space="0" w:color="auto"/>
      </w:divBdr>
    </w:div>
    <w:div w:id="1470628644">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04708964">
      <w:bodyDiv w:val="1"/>
      <w:marLeft w:val="0"/>
      <w:marRight w:val="0"/>
      <w:marTop w:val="0"/>
      <w:marBottom w:val="0"/>
      <w:divBdr>
        <w:top w:val="none" w:sz="0" w:space="0" w:color="auto"/>
        <w:left w:val="none" w:sz="0" w:space="0" w:color="auto"/>
        <w:bottom w:val="none" w:sz="0" w:space="0" w:color="auto"/>
        <w:right w:val="none" w:sz="0" w:space="0" w:color="auto"/>
      </w:divBdr>
    </w:div>
    <w:div w:id="1722634005">
      <w:bodyDiv w:val="1"/>
      <w:marLeft w:val="0"/>
      <w:marRight w:val="0"/>
      <w:marTop w:val="0"/>
      <w:marBottom w:val="0"/>
      <w:divBdr>
        <w:top w:val="none" w:sz="0" w:space="0" w:color="auto"/>
        <w:left w:val="none" w:sz="0" w:space="0" w:color="auto"/>
        <w:bottom w:val="none" w:sz="0" w:space="0" w:color="auto"/>
        <w:right w:val="none" w:sz="0" w:space="0" w:color="auto"/>
      </w:divBdr>
    </w:div>
    <w:div w:id="1826360944">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00229737">
      <w:bodyDiv w:val="1"/>
      <w:marLeft w:val="0"/>
      <w:marRight w:val="0"/>
      <w:marTop w:val="0"/>
      <w:marBottom w:val="0"/>
      <w:divBdr>
        <w:top w:val="none" w:sz="0" w:space="0" w:color="auto"/>
        <w:left w:val="none" w:sz="0" w:space="0" w:color="auto"/>
        <w:bottom w:val="none" w:sz="0" w:space="0" w:color="auto"/>
        <w:right w:val="none" w:sz="0" w:space="0" w:color="auto"/>
      </w:divBdr>
    </w:div>
    <w:div w:id="2069958323">
      <w:bodyDiv w:val="1"/>
      <w:marLeft w:val="0"/>
      <w:marRight w:val="0"/>
      <w:marTop w:val="0"/>
      <w:marBottom w:val="0"/>
      <w:divBdr>
        <w:top w:val="none" w:sz="0" w:space="0" w:color="auto"/>
        <w:left w:val="none" w:sz="0" w:space="0" w:color="auto"/>
        <w:bottom w:val="none" w:sz="0" w:space="0" w:color="auto"/>
        <w:right w:val="none" w:sz="0" w:space="0" w:color="auto"/>
      </w:divBdr>
    </w:div>
    <w:div w:id="2076585184">
      <w:bodyDiv w:val="1"/>
      <w:marLeft w:val="0"/>
      <w:marRight w:val="0"/>
      <w:marTop w:val="0"/>
      <w:marBottom w:val="0"/>
      <w:divBdr>
        <w:top w:val="none" w:sz="0" w:space="0" w:color="auto"/>
        <w:left w:val="none" w:sz="0" w:space="0" w:color="auto"/>
        <w:bottom w:val="none" w:sz="0" w:space="0" w:color="auto"/>
        <w:right w:val="none" w:sz="0" w:space="0" w:color="auto"/>
      </w:divBdr>
    </w:div>
    <w:div w:id="2084907204">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1.png"/><Relationship Id="rId18" Type="http://schemas.openxmlformats.org/officeDocument/2006/relationships/chart" Target="charts/chart9.xml"/><Relationship Id="rId26" Type="http://schemas.openxmlformats.org/officeDocument/2006/relationships/chart" Target="charts/chart15.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8.xml"/><Relationship Id="rId25" Type="http://schemas.openxmlformats.org/officeDocument/2006/relationships/chart" Target="charts/chart14.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image" Target="media/image4.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2.xml"/><Relationship Id="rId28" Type="http://schemas.openxmlformats.org/officeDocument/2006/relationships/header" Target="header2.xml"/><Relationship Id="rId10" Type="http://schemas.openxmlformats.org/officeDocument/2006/relationships/chart" Target="charts/chart3.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2.png"/><Relationship Id="rId22" Type="http://schemas.openxmlformats.org/officeDocument/2006/relationships/chart" Target="charts/chart11.xml"/><Relationship Id="rId27" Type="http://schemas.openxmlformats.org/officeDocument/2006/relationships/header" Target="header1.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gacr.cz/" TargetMode="External"/><Relationship Id="rId2" Type="http://schemas.openxmlformats.org/officeDocument/2006/relationships/hyperlink" Target="http://www.dotaceeu.cz/cs/Fondy-EU" TargetMode="External"/><Relationship Id="rId1" Type="http://schemas.openxmlformats.org/officeDocument/2006/relationships/hyperlink" Target="https://www.czso.cz/csu/czso/statistika_vyzkumu_a_vyvoje" TargetMode="External"/><Relationship Id="rId5" Type="http://schemas.openxmlformats.org/officeDocument/2006/relationships/hyperlink" Target="http://www.msmt.cz/strukturalni-fondy-1" TargetMode="External"/><Relationship Id="rId4" Type="http://schemas.openxmlformats.org/officeDocument/2006/relationships/hyperlink" Target="https://www.tacr.cz/index.php/cz/o-ta-c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_PRACOVNI\02_Statistick&#233;%20&#250;lohy\00_GBOARD\07_Nep&#345;&#237;m&#225;%20podpora%20VaV\05_V&#253;stupy\03_Publikace\npvv2013\Tir&#225;&#382;\publikace%20bar_veda%20IT.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_PRACOVNI\02_Statistick&#233;%20&#250;lohy\00_GBOARD\02_IS%20VaV_GBAORD\06_V&#253;stupy%20z%20projektu\01_Publikace\GBARD%202017\01_TEXTY\CZ\ANLZ\GBARD17_ANALYZA_2018-12-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Work\__GBARD17\Publikace%20GBARD%202017\01_TEXTY\CZ\ANLZ\GBARD17_ANALYZA_2018-11-30.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Work\__GBARD17\Publikace%20GBARD%202017\01_TEXTY\CZ\ANLZ\GBARD17_ANALYZA_2018-11-30.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4_Vyzkum%20a%20vyvoj\3_Prima%20verejna%20podpora_GBAORD\2017\Texty\GBARD17_ANALYZA_2018-12-01.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Work\__GBARD17\Publikace%20GBARD%202017\01_TEXTY\CZ\ANLZ\GBARD17_ANALYZA_2018-11-30.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_PRACOVNI\02_Statistick&#233;%20&#250;lohy\00_GBOARD\02_IS%20VaV_GBAORD\06_V&#253;stupy%20z%20projektu\01_Publikace\GBARD%202017\01_TEXTY\CZ\ANLZ\GBARD17_ANALYZA_2018-12-01.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Work\__GBARD17\Publikace%20GBARD%202017\01_TEXTY\CZ\ANLZ\GBARD17_ANALYZA_2018-11-3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_PRACOVNI\02_Statistick&#233;%20&#250;lohy\00_GBOARD\02_IS%20VaV_GBAORD\06_V&#253;stupy%20z%20projektu\01_Publikace\GBARD%202017\01_TEXTY\CZ\ANLZ\GBARD17_ANALYZA_2018-11-3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_PRACOVNI\02_Statistick&#233;%20&#250;lohy\00_GBOARD\02_IS%20VaV_GBAORD\06_V&#253;stupy%20z%20projektu\01_Publikace\GBARD%202017\01_TEXTY\CZ\ANLZ\GBARD17_ANALYZA_2018-11-30.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ABFS2\DATA\DATA\ZPRAC\TECHNOL\oddeleni_6302\1_V&#283;da,%20technologie%20a%20inovace\2_Ve&#345;ejn&#233;%20rozpo&#269;tov&#233;%20v&#253;daje%20VaV_V&#225;clav\1_P&#345;&#237;m&#225;%20ve&#345;ejn&#225;%20podpora%20VaV\1_GBARD\4_V&#221;STUPY\4_1_publikace\2017\Texty\Kopie%20-%20GBARD17_ANALYZA_2018-12-01_new.xlsx" TargetMode="External"/><Relationship Id="rId2" Type="http://schemas.microsoft.com/office/2011/relationships/chartColorStyle" Target="colors1.xml"/><Relationship Id="rId1" Type="http://schemas.microsoft.com/office/2011/relationships/chartStyle" Target="style1.xml"/></Relationships>
</file>

<file path=word/charts/_rels/chart5.xml.rels><?xml version="1.0" encoding="UTF-8" standalone="yes"?>
<Relationships xmlns="http://schemas.openxmlformats.org/package/2006/relationships"><Relationship Id="rId1" Type="http://schemas.openxmlformats.org/officeDocument/2006/relationships/oleObject" Target="file:///\\ABFS2\DATA\DATA\ZPRAC\TECHNOL\oddeleni_6302\1_V&#283;da,%20technologie%20a%20inovace\2_Ve&#345;ejn&#233;%20rozpo&#269;tov&#233;%20v&#253;daje%20VaV_V&#225;clav\1_P&#345;&#237;m&#225;%20ve&#345;ejn&#225;%20podpora%20VaV\1_GBARD\4_V&#221;STUPY\4_1_publikace\2017\Texty\Kopie%20-%20GBARD17_ANALYZA_2018-12-01_new.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Work\__GBARD17\Publikace%20GBARD%202017\01_TEXTY\CZ\ANLZ\GBARD17_ANALYZA_2018-11-3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ABFS2\DATA\DATA\ZPRAC\TECHNOL\oddeleni_6302\1_V&#283;da,%20technologie%20a%20inovace\2_Ve&#345;ejn&#233;%20rozpo&#269;tov&#233;%20v&#253;daje%20VaV_V&#225;clav\1_P&#345;&#237;m&#225;%20ve&#345;ejn&#225;%20podpora%20VaV\1_GBARD\4_V&#221;STUPY\4_1_publikace\2017\Texty\GBARD17_ANALYZA_2018-12-01.xlsx" TargetMode="External"/></Relationships>
</file>

<file path=word/charts/_rels/chart8.xml.rels><?xml version="1.0" encoding="UTF-8" standalone="yes"?>
<Relationships xmlns="http://schemas.openxmlformats.org/package/2006/relationships"><Relationship Id="rId3" Type="http://schemas.openxmlformats.org/officeDocument/2006/relationships/oleObject" Target="file:///D:\4_Vyzkum%20a%20vyvoj\3_Prima%20verejna%20podpora_GBAORD\2017\GBARD17_ANALYZA_2018-12-01.xlsx" TargetMode="External"/><Relationship Id="rId2" Type="http://schemas.microsoft.com/office/2011/relationships/chartColorStyle" Target="colors2.xml"/><Relationship Id="rId1" Type="http://schemas.microsoft.com/office/2011/relationships/chartStyle" Target="style2.xml"/></Relationships>
</file>

<file path=word/charts/_rels/chart9.xml.rels><?xml version="1.0" encoding="UTF-8" standalone="yes"?>
<Relationships xmlns="http://schemas.openxmlformats.org/package/2006/relationships"><Relationship Id="rId3" Type="http://schemas.openxmlformats.org/officeDocument/2006/relationships/oleObject" Target="file:///D:\4_Vyzkum%20a%20vyvoj\3_Prima%20verejna%20podpora_GBAORD\2017\GBARD17_ANALYZA_2018-12-01.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7679820526688158E-2"/>
          <c:y val="0.17077727987682892"/>
          <c:w val="0.86886847174814918"/>
          <c:h val="0.71324263404913857"/>
        </c:manualLayout>
      </c:layout>
      <c:barChart>
        <c:barDir val="col"/>
        <c:grouping val="clustered"/>
        <c:varyColors val="0"/>
        <c:ser>
          <c:idx val="0"/>
          <c:order val="0"/>
          <c:tx>
            <c:strRef>
              <c:f>'GRAF17_1-1'!$A$4</c:f>
              <c:strCache>
                <c:ptCount val="1"/>
                <c:pt idx="0">
                  <c:v>mld. Kč</c:v>
                </c:pt>
              </c:strCache>
            </c:strRef>
          </c:tx>
          <c:spPr>
            <a:solidFill>
              <a:schemeClr val="accent5"/>
            </a:solidFill>
          </c:spPr>
          <c:invertIfNegative val="0"/>
          <c:cat>
            <c:strRef>
              <c:f>'GRAF17_1-1'!$B$3:$S$3</c:f>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extLst/>
            </c:strRef>
          </c:cat>
          <c:val>
            <c:numRef>
              <c:f>'GRAF17_1-1'!$B$4:$S$4</c:f>
              <c:numCache>
                <c:formatCode>0.0</c:formatCode>
                <c:ptCount val="13"/>
                <c:pt idx="0">
                  <c:v>16.442694750000001</c:v>
                </c:pt>
                <c:pt idx="1">
                  <c:v>18.307698160000001</c:v>
                </c:pt>
                <c:pt idx="2">
                  <c:v>20.475804380000003</c:v>
                </c:pt>
                <c:pt idx="3">
                  <c:v>20.489574149999996</c:v>
                </c:pt>
                <c:pt idx="4">
                  <c:v>23.005164500000006</c:v>
                </c:pt>
                <c:pt idx="5">
                  <c:v>22.602125440000009</c:v>
                </c:pt>
                <c:pt idx="6">
                  <c:v>25.77805846</c:v>
                </c:pt>
                <c:pt idx="7">
                  <c:v>26.153504999999999</c:v>
                </c:pt>
                <c:pt idx="8">
                  <c:v>26.7</c:v>
                </c:pt>
                <c:pt idx="9">
                  <c:v>27.283999999999999</c:v>
                </c:pt>
                <c:pt idx="10">
                  <c:v>27.9</c:v>
                </c:pt>
                <c:pt idx="11">
                  <c:v>27.984400000000001</c:v>
                </c:pt>
                <c:pt idx="12">
                  <c:v>30.653309931643399</c:v>
                </c:pt>
              </c:numCache>
              <c:extLst/>
            </c:numRef>
          </c:val>
          <c:extLst>
            <c:ext xmlns:c16="http://schemas.microsoft.com/office/drawing/2014/chart" uri="{C3380CC4-5D6E-409C-BE32-E72D297353CC}">
              <c16:uniqueId val="{00000000-3B5A-4514-8DEE-220C25A4B6E3}"/>
            </c:ext>
          </c:extLst>
        </c:ser>
        <c:dLbls>
          <c:showLegendKey val="0"/>
          <c:showVal val="0"/>
          <c:showCatName val="0"/>
          <c:showSerName val="0"/>
          <c:showPercent val="0"/>
          <c:showBubbleSize val="0"/>
        </c:dLbls>
        <c:gapWidth val="150"/>
        <c:axId val="143712256"/>
        <c:axId val="143714176"/>
      </c:barChart>
      <c:lineChart>
        <c:grouping val="standard"/>
        <c:varyColors val="0"/>
        <c:ser>
          <c:idx val="1"/>
          <c:order val="1"/>
          <c:tx>
            <c:strRef>
              <c:f>'GRAF17_1-1'!$A$5</c:f>
              <c:strCache>
                <c:ptCount val="1"/>
                <c:pt idx="0">
                  <c:v>podíl na HDP</c:v>
                </c:pt>
              </c:strCache>
            </c:strRef>
          </c:tx>
          <c:spPr>
            <a:ln>
              <a:solidFill>
                <a:schemeClr val="accent6"/>
              </a:solidFill>
            </a:ln>
          </c:spPr>
          <c:marker>
            <c:symbol val="circle"/>
            <c:size val="5"/>
            <c:spPr>
              <a:solidFill>
                <a:schemeClr val="bg1"/>
              </a:solidFill>
              <a:ln>
                <a:solidFill>
                  <a:schemeClr val="accent6"/>
                </a:solidFill>
              </a:ln>
            </c:spPr>
          </c:marker>
          <c:cat>
            <c:strRef>
              <c:f>'GRAF17_1-1'!$B$3:$S$3</c:f>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extLst/>
            </c:strRef>
          </c:cat>
          <c:val>
            <c:numRef>
              <c:f>'GRAF17_1-1'!$B$5:$S$5</c:f>
              <c:numCache>
                <c:formatCode>0.00%</c:formatCode>
                <c:ptCount val="13"/>
                <c:pt idx="0">
                  <c:v>5.0469110078294101E-3</c:v>
                </c:pt>
                <c:pt idx="1">
                  <c:v>5.2201352501517629E-3</c:v>
                </c:pt>
                <c:pt idx="2">
                  <c:v>5.3436251503528754E-3</c:v>
                </c:pt>
                <c:pt idx="3">
                  <c:v>5.1028165816843669E-3</c:v>
                </c:pt>
                <c:pt idx="4">
                  <c:v>5.8659304706709416E-3</c:v>
                </c:pt>
                <c:pt idx="5">
                  <c:v>5.7167730383890763E-3</c:v>
                </c:pt>
                <c:pt idx="6">
                  <c:v>6.4045883451027625E-3</c:v>
                </c:pt>
                <c:pt idx="7">
                  <c:v>6.4412486164971061E-3</c:v>
                </c:pt>
                <c:pt idx="8">
                  <c:v>6.5164236927275085E-3</c:v>
                </c:pt>
                <c:pt idx="9">
                  <c:v>6.3248578245250278E-3</c:v>
                </c:pt>
                <c:pt idx="10">
                  <c:v>6.1102372785976416E-3</c:v>
                </c:pt>
                <c:pt idx="11">
                  <c:v>5.8627682664186172E-3</c:v>
                </c:pt>
                <c:pt idx="12">
                  <c:v>6.0757517721130314E-3</c:v>
                </c:pt>
              </c:numCache>
              <c:extLst/>
            </c:numRef>
          </c:val>
          <c:smooth val="0"/>
          <c:extLst>
            <c:ext xmlns:c16="http://schemas.microsoft.com/office/drawing/2014/chart" uri="{C3380CC4-5D6E-409C-BE32-E72D297353CC}">
              <c16:uniqueId val="{00000001-3B5A-4514-8DEE-220C25A4B6E3}"/>
            </c:ext>
          </c:extLst>
        </c:ser>
        <c:ser>
          <c:idx val="2"/>
          <c:order val="2"/>
          <c:tx>
            <c:strRef>
              <c:f>'GRAF17_1-1'!$A$6</c:f>
              <c:strCache>
                <c:ptCount val="1"/>
                <c:pt idx="0">
                  <c:v>podíl na státním rozpočtu ČR</c:v>
                </c:pt>
              </c:strCache>
            </c:strRef>
          </c:tx>
          <c:marker>
            <c:symbol val="circle"/>
            <c:size val="5"/>
            <c:spPr>
              <a:solidFill>
                <a:schemeClr val="bg1"/>
              </a:solidFill>
            </c:spPr>
          </c:marker>
          <c:cat>
            <c:strRef>
              <c:f>'GRAF17_1-1'!$B$3:$S$3</c:f>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extLst/>
            </c:strRef>
          </c:cat>
          <c:val>
            <c:numRef>
              <c:f>'GRAF17_1-1'!$B$6:$S$6</c:f>
              <c:numCache>
                <c:formatCode>0.00%</c:formatCode>
                <c:ptCount val="13"/>
                <c:pt idx="0">
                  <c:v>1.781633410987106E-2</c:v>
                </c:pt>
                <c:pt idx="1">
                  <c:v>1.7937644552874207E-2</c:v>
                </c:pt>
                <c:pt idx="2">
                  <c:v>1.8746101586604048E-2</c:v>
                </c:pt>
                <c:pt idx="3">
                  <c:v>1.8902797699881173E-2</c:v>
                </c:pt>
                <c:pt idx="4">
                  <c:v>1.9712928092242652E-2</c:v>
                </c:pt>
                <c:pt idx="5">
                  <c:v>1.9538600253334943E-2</c:v>
                </c:pt>
                <c:pt idx="6">
                  <c:v>2.2357381558460496E-2</c:v>
                </c:pt>
                <c:pt idx="7">
                  <c:v>2.2692819229827729E-2</c:v>
                </c:pt>
                <c:pt idx="8">
                  <c:v>2.2764048274584312E-2</c:v>
                </c:pt>
                <c:pt idx="9">
                  <c:v>2.2518915904321229E-2</c:v>
                </c:pt>
                <c:pt idx="10">
                  <c:v>2.145174541567231E-2</c:v>
                </c:pt>
                <c:pt idx="11">
                  <c:v>2.2940975279639824E-2</c:v>
                </c:pt>
                <c:pt idx="12">
                  <c:v>2.3951722126097186E-2</c:v>
                </c:pt>
              </c:numCache>
              <c:extLst/>
            </c:numRef>
          </c:val>
          <c:smooth val="0"/>
          <c:extLst>
            <c:ext xmlns:c16="http://schemas.microsoft.com/office/drawing/2014/chart" uri="{C3380CC4-5D6E-409C-BE32-E72D297353CC}">
              <c16:uniqueId val="{00000002-3B5A-4514-8DEE-220C25A4B6E3}"/>
            </c:ext>
          </c:extLst>
        </c:ser>
        <c:ser>
          <c:idx val="3"/>
          <c:order val="3"/>
          <c:tx>
            <c:strRef>
              <c:f>'GRAF17_1-1'!$A$7</c:f>
              <c:strCache>
                <c:ptCount val="1"/>
                <c:pt idx="0">
                  <c:v>podíl na veřejných rozpočtech ČR</c:v>
                </c:pt>
              </c:strCache>
            </c:strRef>
          </c:tx>
          <c:marker>
            <c:symbol val="circle"/>
            <c:size val="5"/>
            <c:spPr>
              <a:solidFill>
                <a:schemeClr val="bg1"/>
              </a:solidFill>
            </c:spPr>
          </c:marker>
          <c:cat>
            <c:strRef>
              <c:f>'GRAF17_1-1'!$B$3:$S$3</c:f>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extLst/>
            </c:strRef>
          </c:cat>
          <c:val>
            <c:numRef>
              <c:f>'GRAF17_1-1'!$B$7:$S$7</c:f>
              <c:numCache>
                <c:formatCode>0.00%</c:formatCode>
                <c:ptCount val="13"/>
                <c:pt idx="0">
                  <c:v>1.1912214864931445E-2</c:v>
                </c:pt>
                <c:pt idx="1">
                  <c:v>1.2601907257298461E-2</c:v>
                </c:pt>
                <c:pt idx="2">
                  <c:v>1.3206607753635954E-2</c:v>
                </c:pt>
                <c:pt idx="3">
                  <c:v>1.2529711443735296E-2</c:v>
                </c:pt>
                <c:pt idx="4">
                  <c:v>1.3242418835009467E-2</c:v>
                </c:pt>
                <c:pt idx="5">
                  <c:v>1.3108448876926138E-2</c:v>
                </c:pt>
                <c:pt idx="6">
                  <c:v>1.4882367729774939E-2</c:v>
                </c:pt>
                <c:pt idx="7">
                  <c:v>1.448132751429255E-2</c:v>
                </c:pt>
                <c:pt idx="8">
                  <c:v>1.5295845139050855E-2</c:v>
                </c:pt>
                <c:pt idx="9">
                  <c:v>1.4905158938964682E-2</c:v>
                </c:pt>
                <c:pt idx="10">
                  <c:v>1.4521980579454077E-2</c:v>
                </c:pt>
                <c:pt idx="11">
                  <c:v>1.4865353713762103E-2</c:v>
                </c:pt>
                <c:pt idx="12">
                  <c:v>1.5591047957077827E-2</c:v>
                </c:pt>
              </c:numCache>
              <c:extLst/>
            </c:numRef>
          </c:val>
          <c:smooth val="0"/>
          <c:extLst>
            <c:ext xmlns:c16="http://schemas.microsoft.com/office/drawing/2014/chart" uri="{C3380CC4-5D6E-409C-BE32-E72D297353CC}">
              <c16:uniqueId val="{00000003-3B5A-4514-8DEE-220C25A4B6E3}"/>
            </c:ext>
          </c:extLst>
        </c:ser>
        <c:dLbls>
          <c:showLegendKey val="0"/>
          <c:showVal val="0"/>
          <c:showCatName val="0"/>
          <c:showSerName val="0"/>
          <c:showPercent val="0"/>
          <c:showBubbleSize val="0"/>
        </c:dLbls>
        <c:marker val="1"/>
        <c:smooth val="0"/>
        <c:axId val="143725696"/>
        <c:axId val="143715712"/>
      </c:lineChart>
      <c:catAx>
        <c:axId val="143712256"/>
        <c:scaling>
          <c:orientation val="minMax"/>
        </c:scaling>
        <c:delete val="0"/>
        <c:axPos val="b"/>
        <c:majorGridlines>
          <c:spPr>
            <a:ln>
              <a:solidFill>
                <a:schemeClr val="bg1">
                  <a:lumMod val="85000"/>
                </a:schemeClr>
              </a:solidFill>
            </a:ln>
          </c:spPr>
        </c:majorGridlines>
        <c:numFmt formatCode="General" sourceLinked="0"/>
        <c:majorTickMark val="out"/>
        <c:minorTickMark val="none"/>
        <c:tickLblPos val="nextTo"/>
        <c:crossAx val="143714176"/>
        <c:crosses val="autoZero"/>
        <c:auto val="1"/>
        <c:lblAlgn val="ctr"/>
        <c:lblOffset val="100"/>
        <c:noMultiLvlLbl val="0"/>
      </c:catAx>
      <c:valAx>
        <c:axId val="143714176"/>
        <c:scaling>
          <c:orientation val="minMax"/>
          <c:max val="35"/>
        </c:scaling>
        <c:delete val="0"/>
        <c:axPos val="l"/>
        <c:majorGridlines>
          <c:spPr>
            <a:ln>
              <a:solidFill>
                <a:schemeClr val="bg1">
                  <a:lumMod val="85000"/>
                </a:schemeClr>
              </a:solidFill>
              <a:prstDash val="solid"/>
            </a:ln>
          </c:spPr>
        </c:majorGridlines>
        <c:numFmt formatCode="0" sourceLinked="0"/>
        <c:majorTickMark val="out"/>
        <c:minorTickMark val="none"/>
        <c:tickLblPos val="nextTo"/>
        <c:crossAx val="143712256"/>
        <c:crosses val="autoZero"/>
        <c:crossBetween val="between"/>
        <c:majorUnit val="5"/>
      </c:valAx>
      <c:valAx>
        <c:axId val="143715712"/>
        <c:scaling>
          <c:orientation val="minMax"/>
          <c:max val="3.5000000000000003E-2"/>
        </c:scaling>
        <c:delete val="0"/>
        <c:axPos val="r"/>
        <c:numFmt formatCode="0.0%" sourceLinked="0"/>
        <c:majorTickMark val="out"/>
        <c:minorTickMark val="none"/>
        <c:tickLblPos val="nextTo"/>
        <c:crossAx val="143725696"/>
        <c:crosses val="max"/>
        <c:crossBetween val="between"/>
        <c:majorUnit val="5.000000000000001E-3"/>
      </c:valAx>
      <c:catAx>
        <c:axId val="143725696"/>
        <c:scaling>
          <c:orientation val="minMax"/>
        </c:scaling>
        <c:delete val="1"/>
        <c:axPos val="b"/>
        <c:numFmt formatCode="General" sourceLinked="1"/>
        <c:majorTickMark val="out"/>
        <c:minorTickMark val="none"/>
        <c:tickLblPos val="none"/>
        <c:crossAx val="143715712"/>
        <c:crosses val="autoZero"/>
        <c:auto val="1"/>
        <c:lblAlgn val="ctr"/>
        <c:lblOffset val="100"/>
        <c:noMultiLvlLbl val="0"/>
      </c:catAx>
      <c:spPr>
        <a:noFill/>
      </c:spPr>
    </c:plotArea>
    <c:legend>
      <c:legendPos val="t"/>
      <c:layout>
        <c:manualLayout>
          <c:xMode val="edge"/>
          <c:yMode val="edge"/>
          <c:x val="9.7516556020868853E-2"/>
          <c:y val="2.7777804177615998E-2"/>
          <c:w val="0.81324811033450994"/>
          <c:h val="0.11976233809639217"/>
        </c:manualLayout>
      </c:layout>
      <c:overlay val="0"/>
      <c:spPr>
        <a:noFill/>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47951813725490317"/>
          <c:y val="4.5111943838345533E-2"/>
          <c:w val="0.49179656862745186"/>
          <c:h val="0.89676216677734344"/>
        </c:manualLayout>
      </c:layout>
      <c:barChart>
        <c:barDir val="bar"/>
        <c:grouping val="clustered"/>
        <c:varyColors val="0"/>
        <c:ser>
          <c:idx val="0"/>
          <c:order val="0"/>
          <c:tx>
            <c:strRef>
              <c:f>'GRAF17_1-7'!$B$125</c:f>
              <c:strCache>
                <c:ptCount val="1"/>
                <c:pt idx="0">
                  <c:v>2010</c:v>
                </c:pt>
              </c:strCache>
            </c:strRef>
          </c:tx>
          <c:spPr>
            <a:solidFill>
              <a:schemeClr val="accent5">
                <a:lumMod val="40000"/>
                <a:lumOff val="60000"/>
              </a:schemeClr>
            </a:solidFill>
          </c:spPr>
          <c:invertIfNegative val="0"/>
          <c:dLbls>
            <c:dLbl>
              <c:idx val="9"/>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763-40FF-83CB-0CAEA7E1DEEB}"/>
                </c:ext>
              </c:extLst>
            </c:dLbl>
            <c:dLbl>
              <c:idx val="10"/>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763-40FF-83CB-0CAEA7E1DEEB}"/>
                </c:ext>
              </c:extLst>
            </c:dLbl>
            <c:dLbl>
              <c:idx val="11"/>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763-40FF-83CB-0CAEA7E1DEEB}"/>
                </c:ext>
              </c:extLst>
            </c:dLbl>
            <c:dLbl>
              <c:idx val="12"/>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763-40FF-83CB-0CAEA7E1DEEB}"/>
                </c:ext>
              </c:extLst>
            </c:dLbl>
            <c:spPr>
              <a:noFill/>
              <a:ln>
                <a:noFill/>
              </a:ln>
              <a:effectLst/>
            </c:spPr>
            <c:txPr>
              <a:bodyPr wrap="square" lIns="38100" tIns="19050" rIns="38100" bIns="19050" anchor="ctr">
                <a:spAutoFit/>
              </a:bodyPr>
              <a:lstStyle/>
              <a:p>
                <a:pPr>
                  <a:defRPr sz="750"/>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'GRAF17_1-7'!$A$126:$A$138</c:f>
              <c:strCache>
                <c:ptCount val="13"/>
                <c:pt idx="0">
                  <c:v>Průzkum a využití vesmíru (0,6%)</c:v>
                </c:pt>
                <c:pt idx="1">
                  <c:v>Obrana (1,2%)</c:v>
                </c:pt>
                <c:pt idx="2">
                  <c:v>Průzkum a využití zdrojů Země (1,3%)</c:v>
                </c:pt>
                <c:pt idx="3">
                  <c:v>Ochrana životního prostředí  (2%)</c:v>
                </c:pt>
                <c:pt idx="4">
                  <c:v>Společenské struktury a vztahy (3%)</c:v>
                </c:pt>
                <c:pt idx="5">
                  <c:v>Výroba, distribuce a racionální využití energie (3,4%)</c:v>
                </c:pt>
                <c:pt idx="6">
                  <c:v>Infrastruktura a územní plánování (3,8%)</c:v>
                </c:pt>
                <c:pt idx="7">
                  <c:v>Zemědělská výroba a technologie (4%)</c:v>
                </c:pt>
                <c:pt idx="8">
                  <c:v>Ostatní civilní výzkum (4,1%)</c:v>
                </c:pt>
                <c:pt idx="9">
                  <c:v>Ochrana a zlepšování lidského zdraví (7,8%)</c:v>
                </c:pt>
                <c:pt idx="10">
                  <c:v>Průmyslová výroba a technologie (9,5%)</c:v>
                </c:pt>
                <c:pt idx="11">
                  <c:v>Všeobecný výzkum na vysokých školách (23,1%)</c:v>
                </c:pt>
                <c:pt idx="12">
                  <c:v>Neorientovaný výzkum (36,3%)</c:v>
                </c:pt>
              </c:strCache>
            </c:strRef>
          </c:cat>
          <c:val>
            <c:numRef>
              <c:f>'GRAF17_1-7'!$B$126:$B$138</c:f>
              <c:numCache>
                <c:formatCode>#,##0</c:formatCode>
                <c:ptCount val="13"/>
                <c:pt idx="0">
                  <c:v>141.251</c:v>
                </c:pt>
                <c:pt idx="1">
                  <c:v>507.68200000000013</c:v>
                </c:pt>
                <c:pt idx="2">
                  <c:v>395.38400000000001</c:v>
                </c:pt>
                <c:pt idx="3">
                  <c:v>619.96299999999974</c:v>
                </c:pt>
                <c:pt idx="4">
                  <c:v>355.51</c:v>
                </c:pt>
                <c:pt idx="5">
                  <c:v>830.0270000000005</c:v>
                </c:pt>
                <c:pt idx="6">
                  <c:v>599.78499999999997</c:v>
                </c:pt>
                <c:pt idx="7">
                  <c:v>1130.0359999999996</c:v>
                </c:pt>
                <c:pt idx="8">
                  <c:v>1251.741</c:v>
                </c:pt>
                <c:pt idx="9">
                  <c:v>1391.7549999999994</c:v>
                </c:pt>
                <c:pt idx="10">
                  <c:v>3326.449000000001</c:v>
                </c:pt>
                <c:pt idx="11">
                  <c:v>4584.2070000000031</c:v>
                </c:pt>
                <c:pt idx="12">
                  <c:v>7468.3349999999946</c:v>
                </c:pt>
              </c:numCache>
            </c:numRef>
          </c:val>
          <c:extLst>
            <c:ext xmlns:c16="http://schemas.microsoft.com/office/drawing/2014/chart" uri="{C3380CC4-5D6E-409C-BE32-E72D297353CC}">
              <c16:uniqueId val="{00000000-46AA-4252-94C4-AEDD6030DD2B}"/>
            </c:ext>
          </c:extLst>
        </c:ser>
        <c:ser>
          <c:idx val="1"/>
          <c:order val="1"/>
          <c:tx>
            <c:strRef>
              <c:f>'GRAF17_1-7'!$C$125</c:f>
              <c:strCache>
                <c:ptCount val="1"/>
                <c:pt idx="0">
                  <c:v>2015</c:v>
                </c:pt>
              </c:strCache>
            </c:strRef>
          </c:tx>
          <c:spPr>
            <a:solidFill>
              <a:schemeClr val="accent5">
                <a:lumMod val="75000"/>
              </a:schemeClr>
            </a:solidFill>
          </c:spPr>
          <c:invertIfNegative val="0"/>
          <c:cat>
            <c:strRef>
              <c:f>'GRAF17_1-7'!$A$126:$A$138</c:f>
              <c:strCache>
                <c:ptCount val="13"/>
                <c:pt idx="0">
                  <c:v>Průzkum a využití vesmíru (0,6%)</c:v>
                </c:pt>
                <c:pt idx="1">
                  <c:v>Obrana (1,2%)</c:v>
                </c:pt>
                <c:pt idx="2">
                  <c:v>Průzkum a využití zdrojů Země (1,3%)</c:v>
                </c:pt>
                <c:pt idx="3">
                  <c:v>Ochrana životního prostředí  (2%)</c:v>
                </c:pt>
                <c:pt idx="4">
                  <c:v>Společenské struktury a vztahy (3%)</c:v>
                </c:pt>
                <c:pt idx="5">
                  <c:v>Výroba, distribuce a racionální využití energie (3,4%)</c:v>
                </c:pt>
                <c:pt idx="6">
                  <c:v>Infrastruktura a územní plánování (3,8%)</c:v>
                </c:pt>
                <c:pt idx="7">
                  <c:v>Zemědělská výroba a technologie (4%)</c:v>
                </c:pt>
                <c:pt idx="8">
                  <c:v>Ostatní civilní výzkum (4,1%)</c:v>
                </c:pt>
                <c:pt idx="9">
                  <c:v>Ochrana a zlepšování lidského zdraví (7,8%)</c:v>
                </c:pt>
                <c:pt idx="10">
                  <c:v>Průmyslová výroba a technologie (9,5%)</c:v>
                </c:pt>
                <c:pt idx="11">
                  <c:v>Všeobecný výzkum na vysokých školách (23,1%)</c:v>
                </c:pt>
                <c:pt idx="12">
                  <c:v>Neorientovaný výzkum (36,3%)</c:v>
                </c:pt>
              </c:strCache>
            </c:strRef>
          </c:cat>
          <c:val>
            <c:numRef>
              <c:f>'GRAF17_1-7'!$C$126:$C$138</c:f>
              <c:numCache>
                <c:formatCode>#,##0</c:formatCode>
                <c:ptCount val="13"/>
                <c:pt idx="0">
                  <c:v>152.57099999999997</c:v>
                </c:pt>
                <c:pt idx="1">
                  <c:v>360.17142644617292</c:v>
                </c:pt>
                <c:pt idx="2">
                  <c:v>429.05470999999994</c:v>
                </c:pt>
                <c:pt idx="3">
                  <c:v>605.95361435941766</c:v>
                </c:pt>
                <c:pt idx="4">
                  <c:v>2094.645456249807</c:v>
                </c:pt>
                <c:pt idx="5">
                  <c:v>709.70058333030124</c:v>
                </c:pt>
                <c:pt idx="6">
                  <c:v>1046.2601208477054</c:v>
                </c:pt>
                <c:pt idx="7">
                  <c:v>1139.1158405334393</c:v>
                </c:pt>
                <c:pt idx="8">
                  <c:v>1150.3462900000002</c:v>
                </c:pt>
                <c:pt idx="9">
                  <c:v>1854.834123900074</c:v>
                </c:pt>
                <c:pt idx="10">
                  <c:v>2974.7855904701864</c:v>
                </c:pt>
                <c:pt idx="11">
                  <c:v>6296.0607895499988</c:v>
                </c:pt>
                <c:pt idx="12">
                  <c:v>9016.278816972932</c:v>
                </c:pt>
              </c:numCache>
            </c:numRef>
          </c:val>
          <c:extLst>
            <c:ext xmlns:c16="http://schemas.microsoft.com/office/drawing/2014/chart" uri="{C3380CC4-5D6E-409C-BE32-E72D297353CC}">
              <c16:uniqueId val="{00000001-46AA-4252-94C4-AEDD6030DD2B}"/>
            </c:ext>
          </c:extLst>
        </c:ser>
        <c:ser>
          <c:idx val="2"/>
          <c:order val="2"/>
          <c:tx>
            <c:strRef>
              <c:f>'GRAF17_1-7'!$D$125</c:f>
              <c:strCache>
                <c:ptCount val="1"/>
                <c:pt idx="0">
                  <c:v>2017</c:v>
                </c:pt>
              </c:strCache>
            </c:strRef>
          </c:tx>
          <c:spPr>
            <a:solidFill>
              <a:schemeClr val="accent5">
                <a:lumMod val="50000"/>
              </a:schemeClr>
            </a:solidFill>
          </c:spPr>
          <c:invertIfNegative val="0"/>
          <c:dLbls>
            <c:dLbl>
              <c:idx val="9"/>
              <c:spPr>
                <a:noFill/>
                <a:ln>
                  <a:noFill/>
                </a:ln>
                <a:effectLst/>
              </c:spPr>
              <c:txPr>
                <a:bodyPr/>
                <a:lstStyle/>
                <a:p>
                  <a:pPr>
                    <a:defRPr sz="750" b="0">
                      <a:solidFill>
                        <a:schemeClr val="bg1"/>
                      </a:solidFill>
                    </a:defRPr>
                  </a:pPr>
                  <a:endParaRPr lang="cs-CZ"/>
                </a:p>
              </c:txPr>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763-40FF-83CB-0CAEA7E1DEEB}"/>
                </c:ext>
              </c:extLst>
            </c:dLbl>
            <c:dLbl>
              <c:idx val="10"/>
              <c:spPr>
                <a:noFill/>
                <a:ln>
                  <a:noFill/>
                </a:ln>
                <a:effectLst/>
              </c:spPr>
              <c:txPr>
                <a:bodyPr/>
                <a:lstStyle/>
                <a:p>
                  <a:pPr>
                    <a:defRPr sz="750" b="0">
                      <a:solidFill>
                        <a:schemeClr val="bg1"/>
                      </a:solidFill>
                    </a:defRPr>
                  </a:pPr>
                  <a:endParaRPr lang="cs-CZ"/>
                </a:p>
              </c:txPr>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763-40FF-83CB-0CAEA7E1DEEB}"/>
                </c:ext>
              </c:extLst>
            </c:dLbl>
            <c:dLbl>
              <c:idx val="11"/>
              <c:spPr>
                <a:noFill/>
                <a:ln>
                  <a:noFill/>
                </a:ln>
                <a:effectLst/>
              </c:spPr>
              <c:txPr>
                <a:bodyPr/>
                <a:lstStyle/>
                <a:p>
                  <a:pPr>
                    <a:defRPr sz="750" b="0">
                      <a:solidFill>
                        <a:schemeClr val="bg1"/>
                      </a:solidFill>
                    </a:defRPr>
                  </a:pPr>
                  <a:endParaRPr lang="cs-CZ"/>
                </a:p>
              </c:txPr>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763-40FF-83CB-0CAEA7E1DEEB}"/>
                </c:ext>
              </c:extLst>
            </c:dLbl>
            <c:dLbl>
              <c:idx val="12"/>
              <c:spPr>
                <a:noFill/>
                <a:ln>
                  <a:noFill/>
                </a:ln>
                <a:effectLst/>
              </c:spPr>
              <c:txPr>
                <a:bodyPr/>
                <a:lstStyle/>
                <a:p>
                  <a:pPr>
                    <a:defRPr sz="750" b="0">
                      <a:solidFill>
                        <a:schemeClr val="bg1"/>
                      </a:solidFill>
                    </a:defRPr>
                  </a:pPr>
                  <a:endParaRPr lang="cs-CZ"/>
                </a:p>
              </c:txPr>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833-4590-A8A2-DF6411E1B4D4}"/>
                </c:ext>
              </c:extLst>
            </c:dLbl>
            <c:spPr>
              <a:noFill/>
              <a:ln>
                <a:noFill/>
              </a:ln>
              <a:effectLst/>
            </c:spPr>
            <c:txPr>
              <a:bodyPr/>
              <a:lstStyle/>
              <a:p>
                <a:pPr>
                  <a:defRPr sz="750" b="0">
                    <a:solidFill>
                      <a:sysClr val="windowText" lastClr="000000"/>
                    </a:solidFill>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'GRAF17_1-7'!$A$126:$A$138</c:f>
              <c:strCache>
                <c:ptCount val="13"/>
                <c:pt idx="0">
                  <c:v>Průzkum a využití vesmíru (0,6%)</c:v>
                </c:pt>
                <c:pt idx="1">
                  <c:v>Obrana (1,2%)</c:v>
                </c:pt>
                <c:pt idx="2">
                  <c:v>Průzkum a využití zdrojů Země (1,3%)</c:v>
                </c:pt>
                <c:pt idx="3">
                  <c:v>Ochrana životního prostředí  (2%)</c:v>
                </c:pt>
                <c:pt idx="4">
                  <c:v>Společenské struktury a vztahy (3%)</c:v>
                </c:pt>
                <c:pt idx="5">
                  <c:v>Výroba, distribuce a racionální využití energie (3,4%)</c:v>
                </c:pt>
                <c:pt idx="6">
                  <c:v>Infrastruktura a územní plánování (3,8%)</c:v>
                </c:pt>
                <c:pt idx="7">
                  <c:v>Zemědělská výroba a technologie (4%)</c:v>
                </c:pt>
                <c:pt idx="8">
                  <c:v>Ostatní civilní výzkum (4,1%)</c:v>
                </c:pt>
                <c:pt idx="9">
                  <c:v>Ochrana a zlepšování lidského zdraví (7,8%)</c:v>
                </c:pt>
                <c:pt idx="10">
                  <c:v>Průmyslová výroba a technologie (9,5%)</c:v>
                </c:pt>
                <c:pt idx="11">
                  <c:v>Všeobecný výzkum na vysokých školách (23,1%)</c:v>
                </c:pt>
                <c:pt idx="12">
                  <c:v>Neorientovaný výzkum (36,3%)</c:v>
                </c:pt>
              </c:strCache>
            </c:strRef>
          </c:cat>
          <c:val>
            <c:numRef>
              <c:f>'GRAF17_1-7'!$D$126:$D$138</c:f>
              <c:numCache>
                <c:formatCode>#,##0</c:formatCode>
                <c:ptCount val="13"/>
                <c:pt idx="0">
                  <c:v>186.68948556000004</c:v>
                </c:pt>
                <c:pt idx="1">
                  <c:v>378.38306999999992</c:v>
                </c:pt>
                <c:pt idx="2">
                  <c:v>411.68558000000013</c:v>
                </c:pt>
                <c:pt idx="3">
                  <c:v>617.49471240000014</c:v>
                </c:pt>
                <c:pt idx="4">
                  <c:v>915.43263982000008</c:v>
                </c:pt>
                <c:pt idx="5">
                  <c:v>1044.4928370499997</c:v>
                </c:pt>
                <c:pt idx="6">
                  <c:v>1160.0734500000005</c:v>
                </c:pt>
                <c:pt idx="7">
                  <c:v>1211.6225999999997</c:v>
                </c:pt>
                <c:pt idx="8">
                  <c:v>1242.974387</c:v>
                </c:pt>
                <c:pt idx="9">
                  <c:v>2378.6689576200019</c:v>
                </c:pt>
                <c:pt idx="10">
                  <c:v>2907.8421822500004</c:v>
                </c:pt>
                <c:pt idx="11">
                  <c:v>7067.6021005534376</c:v>
                </c:pt>
                <c:pt idx="12">
                  <c:v>11130.347929389993</c:v>
                </c:pt>
              </c:numCache>
            </c:numRef>
          </c:val>
          <c:extLst>
            <c:ext xmlns:c16="http://schemas.microsoft.com/office/drawing/2014/chart" uri="{C3380CC4-5D6E-409C-BE32-E72D297353CC}">
              <c16:uniqueId val="{00000002-46AA-4252-94C4-AEDD6030DD2B}"/>
            </c:ext>
          </c:extLst>
        </c:ser>
        <c:dLbls>
          <c:showLegendKey val="0"/>
          <c:showVal val="0"/>
          <c:showCatName val="0"/>
          <c:showSerName val="0"/>
          <c:showPercent val="0"/>
          <c:showBubbleSize val="0"/>
        </c:dLbls>
        <c:gapWidth val="75"/>
        <c:axId val="146630528"/>
        <c:axId val="146632064"/>
      </c:barChart>
      <c:catAx>
        <c:axId val="146630528"/>
        <c:scaling>
          <c:orientation val="minMax"/>
        </c:scaling>
        <c:delete val="0"/>
        <c:axPos val="l"/>
        <c:majorGridlines>
          <c:spPr>
            <a:ln>
              <a:solidFill>
                <a:schemeClr val="bg1">
                  <a:lumMod val="85000"/>
                </a:schemeClr>
              </a:solidFill>
            </a:ln>
          </c:spPr>
        </c:majorGridlines>
        <c:numFmt formatCode="General" sourceLinked="0"/>
        <c:majorTickMark val="out"/>
        <c:minorTickMark val="none"/>
        <c:tickLblPos val="nextTo"/>
        <c:crossAx val="146632064"/>
        <c:crosses val="autoZero"/>
        <c:auto val="1"/>
        <c:lblAlgn val="ctr"/>
        <c:lblOffset val="100"/>
        <c:noMultiLvlLbl val="0"/>
      </c:catAx>
      <c:valAx>
        <c:axId val="146632064"/>
        <c:scaling>
          <c:orientation val="minMax"/>
          <c:max val="12000"/>
        </c:scaling>
        <c:delete val="0"/>
        <c:axPos val="b"/>
        <c:majorGridlines>
          <c:spPr>
            <a:ln>
              <a:solidFill>
                <a:schemeClr val="bg1">
                  <a:lumMod val="85000"/>
                </a:schemeClr>
              </a:solidFill>
            </a:ln>
          </c:spPr>
        </c:majorGridlines>
        <c:numFmt formatCode="#,##0" sourceLinked="0"/>
        <c:majorTickMark val="out"/>
        <c:minorTickMark val="none"/>
        <c:tickLblPos val="nextTo"/>
        <c:crossAx val="146630528"/>
        <c:crosses val="autoZero"/>
        <c:crossBetween val="between"/>
      </c:valAx>
      <c:spPr>
        <a:solidFill>
          <a:schemeClr val="bg1"/>
        </a:solidFill>
        <a:ln>
          <a:solidFill>
            <a:schemeClr val="bg1">
              <a:lumMod val="85000"/>
            </a:schemeClr>
          </a:solidFill>
        </a:ln>
      </c:spPr>
    </c:plotArea>
    <c:legend>
      <c:legendPos val="r"/>
      <c:layout>
        <c:manualLayout>
          <c:xMode val="edge"/>
          <c:yMode val="edge"/>
          <c:x val="0.87315245098039262"/>
          <c:y val="0.68862420304444805"/>
          <c:w val="7.0735443519719221E-2"/>
          <c:h val="0.17462991396916891"/>
        </c:manualLayout>
      </c:layout>
      <c:overlay val="1"/>
      <c:spPr>
        <a:solidFill>
          <a:schemeClr val="bg1"/>
        </a:solidFill>
      </c:spPr>
    </c:legend>
    <c:plotVisOnly val="1"/>
    <c:dispBlanksAs val="zero"/>
    <c:showDLblsOverMax val="0"/>
  </c:chart>
  <c:spPr>
    <a:ln>
      <a:noFill/>
    </a:ln>
  </c:spPr>
  <c:txPr>
    <a:bodyPr/>
    <a:lstStyle/>
    <a:p>
      <a:pPr>
        <a:defRPr sz="900">
          <a:latin typeface="Arial" pitchFamily="34" charset="0"/>
          <a:cs typeface="Arial" pitchFamily="34" charset="0"/>
        </a:defRPr>
      </a:pPr>
      <a:endParaRPr lang="cs-CZ"/>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44408921568627452"/>
          <c:y val="0.10894128540763501"/>
          <c:w val="0.51966601553772296"/>
          <c:h val="0.87297276821415037"/>
        </c:manualLayout>
      </c:layout>
      <c:barChart>
        <c:barDir val="bar"/>
        <c:grouping val="percentStacked"/>
        <c:varyColors val="0"/>
        <c:ser>
          <c:idx val="0"/>
          <c:order val="0"/>
          <c:tx>
            <c:strRef>
              <c:f>'GRAF17_1-8'!$K$38</c:f>
              <c:strCache>
                <c:ptCount val="1"/>
                <c:pt idx="0">
                  <c:v>Institucionální</c:v>
                </c:pt>
              </c:strCache>
            </c:strRef>
          </c:tx>
          <c:spPr>
            <a:solidFill>
              <a:schemeClr val="accent5">
                <a:lumMod val="50000"/>
              </a:schemeClr>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DE29-4462-9B59-39F40D054E61}"/>
                </c:ext>
              </c:extLst>
            </c:dLbl>
            <c:dLbl>
              <c:idx val="1"/>
              <c:delete val="1"/>
              <c:extLst>
                <c:ext xmlns:c15="http://schemas.microsoft.com/office/drawing/2012/chart" uri="{CE6537A1-D6FC-4f65-9D91-7224C49458BB}"/>
                <c:ext xmlns:c16="http://schemas.microsoft.com/office/drawing/2014/chart" uri="{C3380CC4-5D6E-409C-BE32-E72D297353CC}">
                  <c16:uniqueId val="{00000001-DE29-4462-9B59-39F40D054E61}"/>
                </c:ext>
              </c:extLst>
            </c:dLbl>
            <c:dLbl>
              <c:idx val="2"/>
              <c:delete val="1"/>
              <c:extLst>
                <c:ext xmlns:c15="http://schemas.microsoft.com/office/drawing/2012/chart" uri="{CE6537A1-D6FC-4f65-9D91-7224C49458BB}"/>
                <c:ext xmlns:c16="http://schemas.microsoft.com/office/drawing/2014/chart" uri="{C3380CC4-5D6E-409C-BE32-E72D297353CC}">
                  <c16:uniqueId val="{00000002-DE29-4462-9B59-39F40D054E61}"/>
                </c:ext>
              </c:extLst>
            </c:dLbl>
            <c:dLbl>
              <c:idx val="3"/>
              <c:delete val="1"/>
              <c:extLst>
                <c:ext xmlns:c15="http://schemas.microsoft.com/office/drawing/2012/chart" uri="{CE6537A1-D6FC-4f65-9D91-7224C49458BB}"/>
                <c:ext xmlns:c16="http://schemas.microsoft.com/office/drawing/2014/chart" uri="{C3380CC4-5D6E-409C-BE32-E72D297353CC}">
                  <c16:uniqueId val="{00000003-DE29-4462-9B59-39F40D054E61}"/>
                </c:ext>
              </c:extLst>
            </c:dLbl>
            <c:dLbl>
              <c:idx val="4"/>
              <c:delete val="1"/>
              <c:extLst>
                <c:ext xmlns:c15="http://schemas.microsoft.com/office/drawing/2012/chart" uri="{CE6537A1-D6FC-4f65-9D91-7224C49458BB}"/>
                <c:ext xmlns:c16="http://schemas.microsoft.com/office/drawing/2014/chart" uri="{C3380CC4-5D6E-409C-BE32-E72D297353CC}">
                  <c16:uniqueId val="{00000004-DE29-4462-9B59-39F40D054E61}"/>
                </c:ext>
              </c:extLst>
            </c:dLbl>
            <c:numFmt formatCode="0%" sourceLinked="0"/>
            <c:spPr>
              <a:noFill/>
              <a:ln>
                <a:noFill/>
              </a:ln>
              <a:effectLst/>
            </c:spPr>
            <c:txPr>
              <a:bodyPr/>
              <a:lstStyle/>
              <a:p>
                <a:pPr>
                  <a:defRPr>
                    <a:solidFill>
                      <a:schemeClr val="bg1"/>
                    </a:solidFill>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'GRAF17_1-8'!$J$39:$J$51</c:f>
              <c:strCache>
                <c:ptCount val="13"/>
                <c:pt idx="0">
                  <c:v>Obrana </c:v>
                </c:pt>
                <c:pt idx="1">
                  <c:v>Výroba, distribuce a racionální využití energie</c:v>
                </c:pt>
                <c:pt idx="2">
                  <c:v>Ochrana životního prostředí  </c:v>
                </c:pt>
                <c:pt idx="3">
                  <c:v>Infrastruktura a územní plánování</c:v>
                </c:pt>
                <c:pt idx="4">
                  <c:v>Průmyslová výroba a technologie</c:v>
                </c:pt>
                <c:pt idx="5">
                  <c:v>Společenské struktury a vztahy</c:v>
                </c:pt>
                <c:pt idx="6">
                  <c:v>Ochrana a zlepšování lidského zdraví </c:v>
                </c:pt>
                <c:pt idx="7">
                  <c:v>Zemědělská výroba a technologie</c:v>
                </c:pt>
                <c:pt idx="8">
                  <c:v>Průzkum a využití vesmíru</c:v>
                </c:pt>
                <c:pt idx="9">
                  <c:v>Neorientovaný výzkum</c:v>
                </c:pt>
                <c:pt idx="10">
                  <c:v>Průzkum a využití zdrojů Země</c:v>
                </c:pt>
                <c:pt idx="11">
                  <c:v>Ostatní civilní výzkum</c:v>
                </c:pt>
                <c:pt idx="12">
                  <c:v>Všeobecný výzkum na vysokých školách</c:v>
                </c:pt>
              </c:strCache>
            </c:strRef>
          </c:cat>
          <c:val>
            <c:numRef>
              <c:f>'GRAF17_1-8'!$K$39:$K$51</c:f>
              <c:numCache>
                <c:formatCode>0%</c:formatCode>
                <c:ptCount val="13"/>
                <c:pt idx="0">
                  <c:v>1.6676406795896027E-2</c:v>
                </c:pt>
                <c:pt idx="1">
                  <c:v>2.7860468705738935E-2</c:v>
                </c:pt>
                <c:pt idx="2">
                  <c:v>4.2301609188645728E-2</c:v>
                </c:pt>
                <c:pt idx="3">
                  <c:v>4.4840652115605249E-2</c:v>
                </c:pt>
                <c:pt idx="4">
                  <c:v>9.2538254532021705E-2</c:v>
                </c:pt>
                <c:pt idx="5">
                  <c:v>0.25107934762430384</c:v>
                </c:pt>
                <c:pt idx="6">
                  <c:v>0.25611862804547708</c:v>
                </c:pt>
                <c:pt idx="7">
                  <c:v>0.40800549610084863</c:v>
                </c:pt>
                <c:pt idx="8">
                  <c:v>0.42741560811872847</c:v>
                </c:pt>
                <c:pt idx="9">
                  <c:v>0.43642057919623534</c:v>
                </c:pt>
                <c:pt idx="10">
                  <c:v>0.59519106790186804</c:v>
                </c:pt>
                <c:pt idx="11">
                  <c:v>0.92897601034799127</c:v>
                </c:pt>
                <c:pt idx="12">
                  <c:v>1</c:v>
                </c:pt>
              </c:numCache>
            </c:numRef>
          </c:val>
          <c:extLst>
            <c:ext xmlns:c16="http://schemas.microsoft.com/office/drawing/2014/chart" uri="{C3380CC4-5D6E-409C-BE32-E72D297353CC}">
              <c16:uniqueId val="{00000005-DE29-4462-9B59-39F40D054E61}"/>
            </c:ext>
          </c:extLst>
        </c:ser>
        <c:ser>
          <c:idx val="1"/>
          <c:order val="1"/>
          <c:tx>
            <c:strRef>
              <c:f>'GRAF17_1-8'!$L$38</c:f>
              <c:strCache>
                <c:ptCount val="1"/>
                <c:pt idx="0">
                  <c:v>Účelová</c:v>
                </c:pt>
              </c:strCache>
            </c:strRef>
          </c:tx>
          <c:spPr>
            <a:solidFill>
              <a:schemeClr val="accent5"/>
            </a:solidFill>
          </c:spPr>
          <c:invertIfNegative val="0"/>
          <c:dLbls>
            <c:dLbl>
              <c:idx val="11"/>
              <c:delete val="1"/>
              <c:extLst>
                <c:ext xmlns:c15="http://schemas.microsoft.com/office/drawing/2012/chart" uri="{CE6537A1-D6FC-4f65-9D91-7224C49458BB}"/>
                <c:ext xmlns:c16="http://schemas.microsoft.com/office/drawing/2014/chart" uri="{C3380CC4-5D6E-409C-BE32-E72D297353CC}">
                  <c16:uniqueId val="{00000006-DE29-4462-9B59-39F40D054E61}"/>
                </c:ext>
              </c:extLst>
            </c:dLbl>
            <c:dLbl>
              <c:idx val="12"/>
              <c:delete val="1"/>
              <c:extLst>
                <c:ext xmlns:c15="http://schemas.microsoft.com/office/drawing/2012/chart" uri="{CE6537A1-D6FC-4f65-9D91-7224C49458BB}"/>
                <c:ext xmlns:c16="http://schemas.microsoft.com/office/drawing/2014/chart" uri="{C3380CC4-5D6E-409C-BE32-E72D297353CC}">
                  <c16:uniqueId val="{00000007-DE29-4462-9B59-39F40D054E61}"/>
                </c:ext>
              </c:extLst>
            </c:dLbl>
            <c:spPr>
              <a:noFill/>
              <a:ln>
                <a:noFill/>
              </a:ln>
              <a:effectLst/>
            </c:spPr>
            <c:txPr>
              <a:bodyPr/>
              <a:lstStyle/>
              <a:p>
                <a:pPr>
                  <a:defRPr>
                    <a:solidFill>
                      <a:sysClr val="windowText" lastClr="000000"/>
                    </a:solidFill>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'GRAF17_1-8'!$J$39:$J$51</c:f>
              <c:strCache>
                <c:ptCount val="13"/>
                <c:pt idx="0">
                  <c:v>Obrana </c:v>
                </c:pt>
                <c:pt idx="1">
                  <c:v>Výroba, distribuce a racionální využití energie</c:v>
                </c:pt>
                <c:pt idx="2">
                  <c:v>Ochrana životního prostředí  </c:v>
                </c:pt>
                <c:pt idx="3">
                  <c:v>Infrastruktura a územní plánování</c:v>
                </c:pt>
                <c:pt idx="4">
                  <c:v>Průmyslová výroba a technologie</c:v>
                </c:pt>
                <c:pt idx="5">
                  <c:v>Společenské struktury a vztahy</c:v>
                </c:pt>
                <c:pt idx="6">
                  <c:v>Ochrana a zlepšování lidského zdraví </c:v>
                </c:pt>
                <c:pt idx="7">
                  <c:v>Zemědělská výroba a technologie</c:v>
                </c:pt>
                <c:pt idx="8">
                  <c:v>Průzkum a využití vesmíru</c:v>
                </c:pt>
                <c:pt idx="9">
                  <c:v>Neorientovaný výzkum</c:v>
                </c:pt>
                <c:pt idx="10">
                  <c:v>Průzkum a využití zdrojů Země</c:v>
                </c:pt>
                <c:pt idx="11">
                  <c:v>Ostatní civilní výzkum</c:v>
                </c:pt>
                <c:pt idx="12">
                  <c:v>Všeobecný výzkum na vysokých školách</c:v>
                </c:pt>
              </c:strCache>
            </c:strRef>
          </c:cat>
          <c:val>
            <c:numRef>
              <c:f>'GRAF17_1-8'!$L$39:$L$51</c:f>
              <c:numCache>
                <c:formatCode>0%</c:formatCode>
                <c:ptCount val="13"/>
                <c:pt idx="0">
                  <c:v>0.98332359320410401</c:v>
                </c:pt>
                <c:pt idx="1">
                  <c:v>0.97213953129426101</c:v>
                </c:pt>
                <c:pt idx="2">
                  <c:v>0.95769839081135422</c:v>
                </c:pt>
                <c:pt idx="3">
                  <c:v>0.95515934788439472</c:v>
                </c:pt>
                <c:pt idx="4">
                  <c:v>0.90746174546797831</c:v>
                </c:pt>
                <c:pt idx="5">
                  <c:v>0.74892065237569616</c:v>
                </c:pt>
                <c:pt idx="6">
                  <c:v>0.74388137195452286</c:v>
                </c:pt>
                <c:pt idx="7">
                  <c:v>0.59199450389915131</c:v>
                </c:pt>
                <c:pt idx="8">
                  <c:v>0.57258439188127153</c:v>
                </c:pt>
                <c:pt idx="9">
                  <c:v>0.56357942080376455</c:v>
                </c:pt>
                <c:pt idx="10">
                  <c:v>0.4048089320981319</c:v>
                </c:pt>
                <c:pt idx="11">
                  <c:v>7.1023989652008818E-2</c:v>
                </c:pt>
                <c:pt idx="12">
                  <c:v>0</c:v>
                </c:pt>
              </c:numCache>
            </c:numRef>
          </c:val>
          <c:extLst>
            <c:ext xmlns:c16="http://schemas.microsoft.com/office/drawing/2014/chart" uri="{C3380CC4-5D6E-409C-BE32-E72D297353CC}">
              <c16:uniqueId val="{00000008-DE29-4462-9B59-39F40D054E61}"/>
            </c:ext>
          </c:extLst>
        </c:ser>
        <c:dLbls>
          <c:showLegendKey val="0"/>
          <c:showVal val="1"/>
          <c:showCatName val="0"/>
          <c:showSerName val="0"/>
          <c:showPercent val="0"/>
          <c:showBubbleSize val="0"/>
        </c:dLbls>
        <c:gapWidth val="51"/>
        <c:overlap val="100"/>
        <c:axId val="146740352"/>
        <c:axId val="146741888"/>
      </c:barChart>
      <c:catAx>
        <c:axId val="146740352"/>
        <c:scaling>
          <c:orientation val="minMax"/>
        </c:scaling>
        <c:delete val="0"/>
        <c:axPos val="l"/>
        <c:numFmt formatCode="General" sourceLinked="0"/>
        <c:majorTickMark val="none"/>
        <c:minorTickMark val="none"/>
        <c:tickLblPos val="nextTo"/>
        <c:crossAx val="146741888"/>
        <c:crosses val="autoZero"/>
        <c:auto val="1"/>
        <c:lblAlgn val="ctr"/>
        <c:lblOffset val="100"/>
        <c:noMultiLvlLbl val="0"/>
      </c:catAx>
      <c:valAx>
        <c:axId val="146741888"/>
        <c:scaling>
          <c:orientation val="minMax"/>
        </c:scaling>
        <c:delete val="1"/>
        <c:axPos val="b"/>
        <c:majorGridlines>
          <c:spPr>
            <a:ln>
              <a:solidFill>
                <a:schemeClr val="bg1">
                  <a:lumMod val="85000"/>
                </a:schemeClr>
              </a:solidFill>
            </a:ln>
          </c:spPr>
        </c:majorGridlines>
        <c:numFmt formatCode="0%" sourceLinked="0"/>
        <c:majorTickMark val="out"/>
        <c:minorTickMark val="none"/>
        <c:tickLblPos val="none"/>
        <c:crossAx val="146740352"/>
        <c:crosses val="autoZero"/>
        <c:crossBetween val="between"/>
      </c:valAx>
      <c:spPr>
        <a:noFill/>
      </c:spPr>
    </c:plotArea>
    <c:legend>
      <c:legendPos val="t"/>
      <c:overlay val="0"/>
    </c:legend>
    <c:plotVisOnly val="1"/>
    <c:dispBlanksAs val="gap"/>
    <c:showDLblsOverMax val="0"/>
  </c:chart>
  <c:spPr>
    <a:ln>
      <a:noFill/>
    </a:ln>
  </c:spPr>
  <c:txPr>
    <a:bodyPr/>
    <a:lstStyle/>
    <a:p>
      <a:pPr>
        <a:defRPr sz="900">
          <a:latin typeface="Arial" pitchFamily="34" charset="0"/>
          <a:cs typeface="Arial" pitchFamily="34" charset="0"/>
        </a:defRPr>
      </a:pPr>
      <a:endParaRPr lang="cs-CZ"/>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26443108676582211"/>
          <c:y val="4.5111943838345533E-2"/>
          <c:w val="0.70246625460686085"/>
          <c:h val="0.89676216677734344"/>
        </c:manualLayout>
      </c:layout>
      <c:barChart>
        <c:barDir val="bar"/>
        <c:grouping val="clustered"/>
        <c:varyColors val="0"/>
        <c:ser>
          <c:idx val="0"/>
          <c:order val="0"/>
          <c:tx>
            <c:strRef>
              <c:f>'GRAF17_1-7 (2)'!$B$151</c:f>
              <c:strCache>
                <c:ptCount val="1"/>
                <c:pt idx="0">
                  <c:v>2010</c:v>
                </c:pt>
              </c:strCache>
            </c:strRef>
          </c:tx>
          <c:spPr>
            <a:solidFill>
              <a:schemeClr val="accent5">
                <a:lumMod val="40000"/>
                <a:lumOff val="60000"/>
              </a:schemeClr>
            </a:solidFill>
          </c:spPr>
          <c:invertIfNegative val="0"/>
          <c:cat>
            <c:strRef>
              <c:f>'GRAF17_1-7 (2)'!$A$152:$A$161</c:f>
              <c:strCache>
                <c:ptCount val="10"/>
                <c:pt idx="0">
                  <c:v>Zemědělské vědy (2,1%)</c:v>
                </c:pt>
                <c:pt idx="1">
                  <c:v>Vědy o Zemi 
a ekologické vědy (2,8%)</c:v>
                </c:pt>
                <c:pt idx="2">
                  <c:v>Sociální vědy (7,9%)</c:v>
                </c:pt>
                <c:pt idx="3">
                  <c:v>Lékařské vědy (8,2%)</c:v>
                </c:pt>
                <c:pt idx="4">
                  <c:v>Matematické 
a výpočetní vědy (9,4%)</c:v>
                </c:pt>
                <c:pt idx="5">
                  <c:v>Humanitní vědy (10,1%)</c:v>
                </c:pt>
                <c:pt idx="6">
                  <c:v>Technické vědy (10,5%)</c:v>
                </c:pt>
                <c:pt idx="7">
                  <c:v>Chemické vědy (13,9%)</c:v>
                </c:pt>
                <c:pt idx="8">
                  <c:v>Fyzikální vědy (15,6%)</c:v>
                </c:pt>
                <c:pt idx="9">
                  <c:v>Přírodní vědy (19,6%)</c:v>
                </c:pt>
              </c:strCache>
            </c:strRef>
          </c:cat>
          <c:val>
            <c:numRef>
              <c:f>'GRAF17_1-7 (2)'!$B$152:$B$161</c:f>
              <c:numCache>
                <c:formatCode>#,##0</c:formatCode>
                <c:ptCount val="10"/>
                <c:pt idx="0">
                  <c:v>223.63199999999995</c:v>
                </c:pt>
                <c:pt idx="1">
                  <c:v>466.22199999999998</c:v>
                </c:pt>
                <c:pt idx="2">
                  <c:v>844.6220000000003</c:v>
                </c:pt>
                <c:pt idx="3">
                  <c:v>1695.2139999999995</c:v>
                </c:pt>
                <c:pt idx="4">
                  <c:v>1068.8949999999993</c:v>
                </c:pt>
                <c:pt idx="5">
                  <c:v>1027.0519999999992</c:v>
                </c:pt>
                <c:pt idx="6">
                  <c:v>1668.5110000000004</c:v>
                </c:pt>
                <c:pt idx="7">
                  <c:v>1394.9849999999997</c:v>
                </c:pt>
                <c:pt idx="8">
                  <c:v>1657.1050000000018</c:v>
                </c:pt>
                <c:pt idx="9">
                  <c:v>2006.3040000000003</c:v>
                </c:pt>
              </c:numCache>
            </c:numRef>
          </c:val>
          <c:extLst>
            <c:ext xmlns:c16="http://schemas.microsoft.com/office/drawing/2014/chart" uri="{C3380CC4-5D6E-409C-BE32-E72D297353CC}">
              <c16:uniqueId val="{00000000-B3D8-486E-AF53-DD5784FAD312}"/>
            </c:ext>
          </c:extLst>
        </c:ser>
        <c:ser>
          <c:idx val="1"/>
          <c:order val="1"/>
          <c:tx>
            <c:strRef>
              <c:f>'GRAF17_1-7 (2)'!$C$151</c:f>
              <c:strCache>
                <c:ptCount val="1"/>
                <c:pt idx="0">
                  <c:v>2015</c:v>
                </c:pt>
              </c:strCache>
            </c:strRef>
          </c:tx>
          <c:spPr>
            <a:solidFill>
              <a:schemeClr val="accent5">
                <a:lumMod val="75000"/>
              </a:schemeClr>
            </a:solidFill>
          </c:spPr>
          <c:invertIfNegative val="0"/>
          <c:cat>
            <c:strRef>
              <c:f>'GRAF17_1-7 (2)'!$A$152:$A$161</c:f>
              <c:strCache>
                <c:ptCount val="10"/>
                <c:pt idx="0">
                  <c:v>Zemědělské vědy (2,1%)</c:v>
                </c:pt>
                <c:pt idx="1">
                  <c:v>Vědy o Zemi 
a ekologické vědy (2,8%)</c:v>
                </c:pt>
                <c:pt idx="2">
                  <c:v>Sociální vědy (7,9%)</c:v>
                </c:pt>
                <c:pt idx="3">
                  <c:v>Lékařské vědy (8,2%)</c:v>
                </c:pt>
                <c:pt idx="4">
                  <c:v>Matematické 
a výpočetní vědy (9,4%)</c:v>
                </c:pt>
                <c:pt idx="5">
                  <c:v>Humanitní vědy (10,1%)</c:v>
                </c:pt>
                <c:pt idx="6">
                  <c:v>Technické vědy (10,5%)</c:v>
                </c:pt>
                <c:pt idx="7">
                  <c:v>Chemické vědy (13,9%)</c:v>
                </c:pt>
                <c:pt idx="8">
                  <c:v>Fyzikální vědy (15,6%)</c:v>
                </c:pt>
                <c:pt idx="9">
                  <c:v>Přírodní vědy (19,6%)</c:v>
                </c:pt>
              </c:strCache>
            </c:strRef>
          </c:cat>
          <c:val>
            <c:numRef>
              <c:f>'GRAF17_1-7 (2)'!$C$152:$C$161</c:f>
              <c:numCache>
                <c:formatCode>#,##0</c:formatCode>
                <c:ptCount val="10"/>
                <c:pt idx="0">
                  <c:v>327.04257428253015</c:v>
                </c:pt>
                <c:pt idx="1">
                  <c:v>445.33851254288339</c:v>
                </c:pt>
                <c:pt idx="2">
                  <c:v>1408.6193645850062</c:v>
                </c:pt>
                <c:pt idx="3">
                  <c:v>1385.5743744297308</c:v>
                </c:pt>
                <c:pt idx="4">
                  <c:v>1274.2640629830448</c:v>
                </c:pt>
                <c:pt idx="5">
                  <c:v>1535.2459853425817</c:v>
                </c:pt>
                <c:pt idx="6">
                  <c:v>1831.7010045981779</c:v>
                </c:pt>
                <c:pt idx="7">
                  <c:v>2081.6864917447278</c:v>
                </c:pt>
                <c:pt idx="8">
                  <c:v>2311.4595149886741</c:v>
                </c:pt>
                <c:pt idx="9">
                  <c:v>2711.4077210255427</c:v>
                </c:pt>
              </c:numCache>
            </c:numRef>
          </c:val>
          <c:extLst>
            <c:ext xmlns:c16="http://schemas.microsoft.com/office/drawing/2014/chart" uri="{C3380CC4-5D6E-409C-BE32-E72D297353CC}">
              <c16:uniqueId val="{00000001-B3D8-486E-AF53-DD5784FAD312}"/>
            </c:ext>
          </c:extLst>
        </c:ser>
        <c:ser>
          <c:idx val="2"/>
          <c:order val="2"/>
          <c:tx>
            <c:strRef>
              <c:f>'GRAF17_1-7 (2)'!$D$151</c:f>
              <c:strCache>
                <c:ptCount val="1"/>
                <c:pt idx="0">
                  <c:v>2017</c:v>
                </c:pt>
              </c:strCache>
            </c:strRef>
          </c:tx>
          <c:spPr>
            <a:solidFill>
              <a:schemeClr val="accent5">
                <a:lumMod val="50000"/>
              </a:schemeClr>
            </a:solidFill>
          </c:spPr>
          <c:invertIfNegative val="0"/>
          <c:dLbls>
            <c:spPr>
              <a:noFill/>
              <a:ln>
                <a:noFill/>
              </a:ln>
              <a:effectLst/>
            </c:spPr>
            <c:txPr>
              <a:bodyPr wrap="square" lIns="38100" tIns="19050" rIns="38100" bIns="19050" anchor="ctr">
                <a:spAutoFit/>
              </a:bodyPr>
              <a:lstStyle/>
              <a:p>
                <a:pPr>
                  <a:defRPr sz="750">
                    <a:solidFill>
                      <a:schemeClr val="bg1"/>
                    </a:solidFill>
                  </a:defRPr>
                </a:pPr>
                <a:endParaRPr lang="cs-C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'GRAF17_1-7 (2)'!$A$152:$A$161</c:f>
              <c:strCache>
                <c:ptCount val="10"/>
                <c:pt idx="0">
                  <c:v>Zemědělské vědy (2,1%)</c:v>
                </c:pt>
                <c:pt idx="1">
                  <c:v>Vědy o Zemi 
a ekologické vědy (2,8%)</c:v>
                </c:pt>
                <c:pt idx="2">
                  <c:v>Sociální vědy (7,9%)</c:v>
                </c:pt>
                <c:pt idx="3">
                  <c:v>Lékařské vědy (8,2%)</c:v>
                </c:pt>
                <c:pt idx="4">
                  <c:v>Matematické 
a výpočetní vědy (9,4%)</c:v>
                </c:pt>
                <c:pt idx="5">
                  <c:v>Humanitní vědy (10,1%)</c:v>
                </c:pt>
                <c:pt idx="6">
                  <c:v>Technické vědy (10,5%)</c:v>
                </c:pt>
                <c:pt idx="7">
                  <c:v>Chemické vědy (13,9%)</c:v>
                </c:pt>
                <c:pt idx="8">
                  <c:v>Fyzikální vědy (15,6%)</c:v>
                </c:pt>
                <c:pt idx="9">
                  <c:v>Přírodní vědy (19,6%)</c:v>
                </c:pt>
              </c:strCache>
            </c:strRef>
          </c:cat>
          <c:val>
            <c:numRef>
              <c:f>'GRAF17_1-7 (2)'!$D$152:$D$161</c:f>
              <c:numCache>
                <c:formatCode>#,##0</c:formatCode>
                <c:ptCount val="10"/>
                <c:pt idx="0">
                  <c:v>385.91517901302677</c:v>
                </c:pt>
                <c:pt idx="1">
                  <c:v>500.44427915965525</c:v>
                </c:pt>
                <c:pt idx="2">
                  <c:v>1429.1675632616702</c:v>
                </c:pt>
                <c:pt idx="3">
                  <c:v>1490.3592241488</c:v>
                </c:pt>
                <c:pt idx="4">
                  <c:v>1707.0929668606304</c:v>
                </c:pt>
                <c:pt idx="5">
                  <c:v>1833.9364400467953</c:v>
                </c:pt>
                <c:pt idx="6">
                  <c:v>1911.327040951526</c:v>
                </c:pt>
                <c:pt idx="7">
                  <c:v>2522.4230669349572</c:v>
                </c:pt>
                <c:pt idx="8">
                  <c:v>2844.7093282627802</c:v>
                </c:pt>
                <c:pt idx="9">
                  <c:v>3572.5749413035974</c:v>
                </c:pt>
              </c:numCache>
            </c:numRef>
          </c:val>
          <c:extLst>
            <c:ext xmlns:c16="http://schemas.microsoft.com/office/drawing/2014/chart" uri="{C3380CC4-5D6E-409C-BE32-E72D297353CC}">
              <c16:uniqueId val="{00000002-B3D8-486E-AF53-DD5784FAD312}"/>
            </c:ext>
          </c:extLst>
        </c:ser>
        <c:dLbls>
          <c:showLegendKey val="0"/>
          <c:showVal val="0"/>
          <c:showCatName val="0"/>
          <c:showSerName val="0"/>
          <c:showPercent val="0"/>
          <c:showBubbleSize val="0"/>
        </c:dLbls>
        <c:gapWidth val="80"/>
        <c:axId val="164383744"/>
        <c:axId val="164389632"/>
      </c:barChart>
      <c:catAx>
        <c:axId val="164383744"/>
        <c:scaling>
          <c:orientation val="minMax"/>
        </c:scaling>
        <c:delete val="0"/>
        <c:axPos val="l"/>
        <c:majorGridlines>
          <c:spPr>
            <a:ln>
              <a:solidFill>
                <a:schemeClr val="bg1">
                  <a:lumMod val="85000"/>
                </a:schemeClr>
              </a:solidFill>
            </a:ln>
          </c:spPr>
        </c:majorGridlines>
        <c:numFmt formatCode="General" sourceLinked="0"/>
        <c:majorTickMark val="out"/>
        <c:minorTickMark val="none"/>
        <c:tickLblPos val="nextTo"/>
        <c:crossAx val="164389632"/>
        <c:crosses val="autoZero"/>
        <c:auto val="1"/>
        <c:lblAlgn val="ctr"/>
        <c:lblOffset val="100"/>
        <c:noMultiLvlLbl val="0"/>
      </c:catAx>
      <c:valAx>
        <c:axId val="164389632"/>
        <c:scaling>
          <c:orientation val="minMax"/>
          <c:max val="3600"/>
          <c:min val="0"/>
        </c:scaling>
        <c:delete val="0"/>
        <c:axPos val="b"/>
        <c:majorGridlines>
          <c:spPr>
            <a:ln>
              <a:solidFill>
                <a:schemeClr val="bg1">
                  <a:lumMod val="85000"/>
                </a:schemeClr>
              </a:solidFill>
            </a:ln>
          </c:spPr>
        </c:majorGridlines>
        <c:numFmt formatCode="#,##0" sourceLinked="0"/>
        <c:majorTickMark val="out"/>
        <c:minorTickMark val="none"/>
        <c:tickLblPos val="nextTo"/>
        <c:crossAx val="164383744"/>
        <c:crosses val="autoZero"/>
        <c:crossBetween val="between"/>
      </c:valAx>
      <c:spPr>
        <a:solidFill>
          <a:schemeClr val="bg1"/>
        </a:solidFill>
        <a:ln>
          <a:solidFill>
            <a:schemeClr val="bg1">
              <a:lumMod val="85000"/>
            </a:schemeClr>
          </a:solidFill>
        </a:ln>
      </c:spPr>
    </c:plotArea>
    <c:legend>
      <c:legendPos val="r"/>
      <c:layout>
        <c:manualLayout>
          <c:xMode val="edge"/>
          <c:yMode val="edge"/>
          <c:x val="0.87315245098039262"/>
          <c:y val="0.68862420304444805"/>
          <c:w val="7.0735443519719221E-2"/>
          <c:h val="0.17462991396916891"/>
        </c:manualLayout>
      </c:layout>
      <c:overlay val="1"/>
      <c:spPr>
        <a:solidFill>
          <a:schemeClr val="bg1"/>
        </a:solidFill>
      </c:spPr>
    </c:legend>
    <c:plotVisOnly val="1"/>
    <c:dispBlanksAs val="zero"/>
    <c:showDLblsOverMax val="0"/>
  </c:chart>
  <c:spPr>
    <a:ln>
      <a:noFill/>
    </a:ln>
  </c:spPr>
  <c:txPr>
    <a:bodyPr/>
    <a:lstStyle/>
    <a:p>
      <a:pPr>
        <a:defRPr sz="800" baseline="0">
          <a:latin typeface="Arial" pitchFamily="34" charset="0"/>
          <a:cs typeface="Arial" pitchFamily="34" charset="0"/>
        </a:defRPr>
      </a:pPr>
      <a:endParaRPr lang="cs-CZ"/>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50091115776369088"/>
          <c:y val="4.5111943838345533E-2"/>
          <c:w val="0.49183783328881392"/>
          <c:h val="0.89676216677734255"/>
        </c:manualLayout>
      </c:layout>
      <c:barChart>
        <c:barDir val="bar"/>
        <c:grouping val="clustered"/>
        <c:varyColors val="0"/>
        <c:ser>
          <c:idx val="0"/>
          <c:order val="0"/>
          <c:tx>
            <c:strRef>
              <c:f>'GRAF17_1-9'!$C$22</c:f>
              <c:strCache>
                <c:ptCount val="1"/>
                <c:pt idx="0">
                  <c:v>2010</c:v>
                </c:pt>
              </c:strCache>
            </c:strRef>
          </c:tx>
          <c:spPr>
            <a:solidFill>
              <a:schemeClr val="accent5">
                <a:lumMod val="40000"/>
                <a:lumOff val="60000"/>
              </a:schemeClr>
            </a:solidFill>
          </c:spPr>
          <c:invertIfNegative val="0"/>
          <c:cat>
            <c:strRef>
              <c:f>'GRAF17_1-9'!$B$23:$B$35</c:f>
              <c:strCache>
                <c:ptCount val="13"/>
                <c:pt idx="0">
                  <c:v>Výroba potravinářských výrobků a nápojů</c:v>
                </c:pt>
                <c:pt idx="1">
                  <c:v>Výroba ostatních produktů</c:v>
                </c:pt>
                <c:pt idx="2">
                  <c:v>Recyklace odpadu</c:v>
                </c:pt>
                <c:pt idx="3">
                  <c:v>Výroba textilního, oděvního a koženého zboží</c:v>
                </c:pt>
                <c:pt idx="4">
                  <c:v>Výroba přístrojů a nástrojů</c:v>
                </c:pt>
                <c:pt idx="5">
                  <c:v>Výroba elektrických strojů a přístrojů</c:v>
                </c:pt>
                <c:pt idx="6">
                  <c:v>Zvyšování ekonomické efektivnosti a konkurenceschopnosti</c:v>
                </c:pt>
                <c:pt idx="7">
                  <c:v>Produkty chemického průmyslu </c:v>
                </c:pt>
                <c:pt idx="8">
                  <c:v>Výroba strojů a zařízení jiných než elektrických a elektronických</c:v>
                </c:pt>
                <c:pt idx="9">
                  <c:v>Výroba a výrobní technologie </c:v>
                </c:pt>
                <c:pt idx="10">
                  <c:v>Výroba motorových vozidel a jiných dopravních prostředků</c:v>
                </c:pt>
                <c:pt idx="11">
                  <c:v>Odvětví elektroniky a příbuzná odvětví </c:v>
                </c:pt>
                <c:pt idx="12">
                  <c:v>Těžba a zpracování ne-energetických nerostných látek a odvozených produktů</c:v>
                </c:pt>
              </c:strCache>
            </c:strRef>
          </c:cat>
          <c:val>
            <c:numRef>
              <c:f>'GRAF17_1-9'!$C$23:$C$35</c:f>
              <c:numCache>
                <c:formatCode>#,##0</c:formatCode>
                <c:ptCount val="13"/>
                <c:pt idx="0">
                  <c:v>6.661999999999999</c:v>
                </c:pt>
                <c:pt idx="1">
                  <c:v>120.82499999999993</c:v>
                </c:pt>
                <c:pt idx="2">
                  <c:v>86.272000000000034</c:v>
                </c:pt>
                <c:pt idx="3">
                  <c:v>77.72399999999999</c:v>
                </c:pt>
                <c:pt idx="4">
                  <c:v>248.3599999999999</c:v>
                </c:pt>
                <c:pt idx="5">
                  <c:v>229.60900000000004</c:v>
                </c:pt>
                <c:pt idx="6">
                  <c:v>30.234999999999996</c:v>
                </c:pt>
                <c:pt idx="7">
                  <c:v>368.87799999999993</c:v>
                </c:pt>
                <c:pt idx="8">
                  <c:v>270.18399999999997</c:v>
                </c:pt>
                <c:pt idx="9">
                  <c:v>376.04000000000013</c:v>
                </c:pt>
                <c:pt idx="10">
                  <c:v>644.81400000000008</c:v>
                </c:pt>
                <c:pt idx="11">
                  <c:v>421.1459999999999</c:v>
                </c:pt>
                <c:pt idx="12">
                  <c:v>445.69999999999976</c:v>
                </c:pt>
              </c:numCache>
            </c:numRef>
          </c:val>
          <c:extLst>
            <c:ext xmlns:c16="http://schemas.microsoft.com/office/drawing/2014/chart" uri="{C3380CC4-5D6E-409C-BE32-E72D297353CC}">
              <c16:uniqueId val="{00000000-30D6-453F-A188-24E40477971D}"/>
            </c:ext>
          </c:extLst>
        </c:ser>
        <c:ser>
          <c:idx val="1"/>
          <c:order val="1"/>
          <c:tx>
            <c:strRef>
              <c:f>'GRAF17_1-9'!$D$22</c:f>
              <c:strCache>
                <c:ptCount val="1"/>
                <c:pt idx="0">
                  <c:v>2015</c:v>
                </c:pt>
              </c:strCache>
            </c:strRef>
          </c:tx>
          <c:spPr>
            <a:solidFill>
              <a:schemeClr val="accent5"/>
            </a:solidFill>
          </c:spPr>
          <c:invertIfNegative val="0"/>
          <c:cat>
            <c:strRef>
              <c:f>'GRAF17_1-9'!$B$23:$B$35</c:f>
              <c:strCache>
                <c:ptCount val="13"/>
                <c:pt idx="0">
                  <c:v>Výroba potravinářských výrobků a nápojů</c:v>
                </c:pt>
                <c:pt idx="1">
                  <c:v>Výroba ostatních produktů</c:v>
                </c:pt>
                <c:pt idx="2">
                  <c:v>Recyklace odpadu</c:v>
                </c:pt>
                <c:pt idx="3">
                  <c:v>Výroba textilního, oděvního a koženého zboží</c:v>
                </c:pt>
                <c:pt idx="4">
                  <c:v>Výroba přístrojů a nástrojů</c:v>
                </c:pt>
                <c:pt idx="5">
                  <c:v>Výroba elektrických strojů a přístrojů</c:v>
                </c:pt>
                <c:pt idx="6">
                  <c:v>Zvyšování ekonomické efektivnosti a konkurenceschopnosti</c:v>
                </c:pt>
                <c:pt idx="7">
                  <c:v>Produkty chemického průmyslu </c:v>
                </c:pt>
                <c:pt idx="8">
                  <c:v>Výroba strojů a zařízení jiných než elektrických a elektronických</c:v>
                </c:pt>
                <c:pt idx="9">
                  <c:v>Výroba a výrobní technologie </c:v>
                </c:pt>
                <c:pt idx="10">
                  <c:v>Výroba motorových vozidel a jiných dopravních prostředků</c:v>
                </c:pt>
                <c:pt idx="11">
                  <c:v>Odvětví elektroniky a příbuzná odvětví </c:v>
                </c:pt>
                <c:pt idx="12">
                  <c:v>Těžba a zpracování ne-energetických nerostných látek a odvozených produktů</c:v>
                </c:pt>
              </c:strCache>
            </c:strRef>
          </c:cat>
          <c:val>
            <c:numRef>
              <c:f>'GRAF17_1-9'!$D$23:$D$35</c:f>
              <c:numCache>
                <c:formatCode>#,##0</c:formatCode>
                <c:ptCount val="13"/>
                <c:pt idx="0">
                  <c:v>15.520999999999999</c:v>
                </c:pt>
                <c:pt idx="1">
                  <c:v>23.039000000000001</c:v>
                </c:pt>
                <c:pt idx="2">
                  <c:v>22.637</c:v>
                </c:pt>
                <c:pt idx="3">
                  <c:v>33.105000000000004</c:v>
                </c:pt>
                <c:pt idx="4">
                  <c:v>194.03958</c:v>
                </c:pt>
                <c:pt idx="5">
                  <c:v>171.79000000000005</c:v>
                </c:pt>
                <c:pt idx="6">
                  <c:v>516.39437351628942</c:v>
                </c:pt>
                <c:pt idx="7">
                  <c:v>328.64489305156695</c:v>
                </c:pt>
                <c:pt idx="8">
                  <c:v>210.68544387958312</c:v>
                </c:pt>
                <c:pt idx="9">
                  <c:v>328.01904277829476</c:v>
                </c:pt>
                <c:pt idx="10">
                  <c:v>314.54500000000019</c:v>
                </c:pt>
                <c:pt idx="11">
                  <c:v>398.24300000000005</c:v>
                </c:pt>
                <c:pt idx="12">
                  <c:v>418.12225724444949</c:v>
                </c:pt>
              </c:numCache>
            </c:numRef>
          </c:val>
          <c:extLst>
            <c:ext xmlns:c16="http://schemas.microsoft.com/office/drawing/2014/chart" uri="{C3380CC4-5D6E-409C-BE32-E72D297353CC}">
              <c16:uniqueId val="{00000001-30D6-453F-A188-24E40477971D}"/>
            </c:ext>
          </c:extLst>
        </c:ser>
        <c:ser>
          <c:idx val="2"/>
          <c:order val="2"/>
          <c:tx>
            <c:strRef>
              <c:f>'GRAF17_1-9'!$E$22</c:f>
              <c:strCache>
                <c:ptCount val="1"/>
                <c:pt idx="0">
                  <c:v>2017</c:v>
                </c:pt>
              </c:strCache>
            </c:strRef>
          </c:tx>
          <c:spPr>
            <a:solidFill>
              <a:schemeClr val="accent5">
                <a:lumMod val="75000"/>
              </a:schemeClr>
            </a:solidFill>
          </c:spPr>
          <c:invertIfNegative val="0"/>
          <c:dLbls>
            <c:spPr>
              <a:noFill/>
              <a:ln>
                <a:noFill/>
              </a:ln>
              <a:effectLst/>
            </c:spPr>
            <c:txPr>
              <a:bodyPr/>
              <a:lstStyle/>
              <a:p>
                <a:pPr>
                  <a:defRPr b="0">
                    <a:solidFill>
                      <a:sysClr val="windowText" lastClr="000000"/>
                    </a:solidFill>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'GRAF17_1-9'!$B$23:$B$35</c:f>
              <c:strCache>
                <c:ptCount val="13"/>
                <c:pt idx="0">
                  <c:v>Výroba potravinářských výrobků a nápojů</c:v>
                </c:pt>
                <c:pt idx="1">
                  <c:v>Výroba ostatních produktů</c:v>
                </c:pt>
                <c:pt idx="2">
                  <c:v>Recyklace odpadu</c:v>
                </c:pt>
                <c:pt idx="3">
                  <c:v>Výroba textilního, oděvního a koženého zboží</c:v>
                </c:pt>
                <c:pt idx="4">
                  <c:v>Výroba přístrojů a nástrojů</c:v>
                </c:pt>
                <c:pt idx="5">
                  <c:v>Výroba elektrických strojů a přístrojů</c:v>
                </c:pt>
                <c:pt idx="6">
                  <c:v>Zvyšování ekonomické efektivnosti a konkurenceschopnosti</c:v>
                </c:pt>
                <c:pt idx="7">
                  <c:v>Produkty chemického průmyslu </c:v>
                </c:pt>
                <c:pt idx="8">
                  <c:v>Výroba strojů a zařízení jiných než elektrických a elektronických</c:v>
                </c:pt>
                <c:pt idx="9">
                  <c:v>Výroba a výrobní technologie </c:v>
                </c:pt>
                <c:pt idx="10">
                  <c:v>Výroba motorových vozidel a jiných dopravních prostředků</c:v>
                </c:pt>
                <c:pt idx="11">
                  <c:v>Odvětví elektroniky a příbuzná odvětví </c:v>
                </c:pt>
                <c:pt idx="12">
                  <c:v>Těžba a zpracování ne-energetických nerostných látek a odvozených produktů</c:v>
                </c:pt>
              </c:strCache>
            </c:strRef>
          </c:cat>
          <c:val>
            <c:numRef>
              <c:f>'GRAF17_1-9'!$E$23:$E$35</c:f>
              <c:numCache>
                <c:formatCode>#,##0</c:formatCode>
                <c:ptCount val="13"/>
                <c:pt idx="0">
                  <c:v>4.6390000000000002</c:v>
                </c:pt>
                <c:pt idx="1">
                  <c:v>6.7440000000000007</c:v>
                </c:pt>
                <c:pt idx="2">
                  <c:v>22.857999999999997</c:v>
                </c:pt>
                <c:pt idx="3">
                  <c:v>52.329999999999991</c:v>
                </c:pt>
                <c:pt idx="4">
                  <c:v>176.28203000000002</c:v>
                </c:pt>
                <c:pt idx="5">
                  <c:v>192.24299999999999</c:v>
                </c:pt>
                <c:pt idx="6">
                  <c:v>204.08968225000004</c:v>
                </c:pt>
                <c:pt idx="7">
                  <c:v>304.92899999999986</c:v>
                </c:pt>
                <c:pt idx="8">
                  <c:v>312.14838999999995</c:v>
                </c:pt>
                <c:pt idx="9">
                  <c:v>334.47299999999996</c:v>
                </c:pt>
                <c:pt idx="10">
                  <c:v>353.60199999999986</c:v>
                </c:pt>
                <c:pt idx="11">
                  <c:v>435.36800000000028</c:v>
                </c:pt>
                <c:pt idx="12">
                  <c:v>508.13608000000011</c:v>
                </c:pt>
              </c:numCache>
            </c:numRef>
          </c:val>
          <c:extLst>
            <c:ext xmlns:c16="http://schemas.microsoft.com/office/drawing/2014/chart" uri="{C3380CC4-5D6E-409C-BE32-E72D297353CC}">
              <c16:uniqueId val="{00000002-30D6-453F-A188-24E40477971D}"/>
            </c:ext>
          </c:extLst>
        </c:ser>
        <c:dLbls>
          <c:showLegendKey val="0"/>
          <c:showVal val="0"/>
          <c:showCatName val="0"/>
          <c:showSerName val="0"/>
          <c:showPercent val="0"/>
          <c:showBubbleSize val="0"/>
        </c:dLbls>
        <c:gapWidth val="100"/>
        <c:axId val="146793984"/>
        <c:axId val="146795520"/>
      </c:barChart>
      <c:catAx>
        <c:axId val="146793984"/>
        <c:scaling>
          <c:orientation val="minMax"/>
        </c:scaling>
        <c:delete val="0"/>
        <c:axPos val="l"/>
        <c:majorGridlines>
          <c:spPr>
            <a:ln>
              <a:solidFill>
                <a:schemeClr val="bg1">
                  <a:lumMod val="85000"/>
                </a:schemeClr>
              </a:solidFill>
            </a:ln>
          </c:spPr>
        </c:majorGridlines>
        <c:numFmt formatCode="General" sourceLinked="0"/>
        <c:majorTickMark val="out"/>
        <c:minorTickMark val="none"/>
        <c:tickLblPos val="nextTo"/>
        <c:crossAx val="146795520"/>
        <c:crosses val="autoZero"/>
        <c:auto val="1"/>
        <c:lblAlgn val="ctr"/>
        <c:lblOffset val="100"/>
        <c:noMultiLvlLbl val="0"/>
      </c:catAx>
      <c:valAx>
        <c:axId val="146795520"/>
        <c:scaling>
          <c:orientation val="minMax"/>
        </c:scaling>
        <c:delete val="0"/>
        <c:axPos val="b"/>
        <c:majorGridlines>
          <c:spPr>
            <a:ln>
              <a:solidFill>
                <a:schemeClr val="bg1">
                  <a:lumMod val="85000"/>
                </a:schemeClr>
              </a:solidFill>
            </a:ln>
          </c:spPr>
        </c:majorGridlines>
        <c:numFmt formatCode="#,##0" sourceLinked="0"/>
        <c:majorTickMark val="out"/>
        <c:minorTickMark val="none"/>
        <c:tickLblPos val="nextTo"/>
        <c:crossAx val="146793984"/>
        <c:crosses val="autoZero"/>
        <c:crossBetween val="between"/>
      </c:valAx>
      <c:spPr>
        <a:noFill/>
        <a:ln>
          <a:solidFill>
            <a:schemeClr val="bg1">
              <a:lumMod val="85000"/>
            </a:schemeClr>
          </a:solidFill>
        </a:ln>
      </c:spPr>
    </c:plotArea>
    <c:legend>
      <c:legendPos val="r"/>
      <c:layout>
        <c:manualLayout>
          <c:xMode val="edge"/>
          <c:yMode val="edge"/>
          <c:x val="0.89589279868760729"/>
          <c:y val="0.71061381956662573"/>
          <c:w val="7.2489904827760854E-2"/>
          <c:h val="0.1921629826392183"/>
        </c:manualLayout>
      </c:layout>
      <c:overlay val="1"/>
      <c:spPr>
        <a:solidFill>
          <a:schemeClr val="bg1"/>
        </a:solidFill>
      </c:spPr>
    </c:legend>
    <c:plotVisOnly val="1"/>
    <c:dispBlanksAs val="zero"/>
    <c:showDLblsOverMax val="0"/>
  </c:chart>
  <c:spPr>
    <a:ln>
      <a:noFill/>
    </a:ln>
  </c:spPr>
  <c:txPr>
    <a:bodyPr/>
    <a:lstStyle/>
    <a:p>
      <a:pPr>
        <a:defRPr sz="900">
          <a:latin typeface="Arial" pitchFamily="34" charset="0"/>
          <a:cs typeface="Arial" pitchFamily="34" charset="0"/>
        </a:defRPr>
      </a:pPr>
      <a:endParaRPr lang="cs-CZ"/>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barChart>
        <c:barDir val="col"/>
        <c:grouping val="clustered"/>
        <c:varyColors val="0"/>
        <c:ser>
          <c:idx val="0"/>
          <c:order val="0"/>
          <c:tx>
            <c:strRef>
              <c:f>'GRAF17_1-10'!$B$2</c:f>
              <c:strCache>
                <c:ptCount val="1"/>
                <c:pt idx="0">
                  <c:v>2010</c:v>
                </c:pt>
              </c:strCache>
            </c:strRef>
          </c:tx>
          <c:spPr>
            <a:solidFill>
              <a:schemeClr val="accent5">
                <a:lumMod val="60000"/>
                <a:lumOff val="40000"/>
              </a:schemeClr>
            </a:solidFill>
          </c:spPr>
          <c:invertIfNegative val="0"/>
          <c:dPt>
            <c:idx val="9"/>
            <c:invertIfNegative val="0"/>
            <c:bubble3D val="0"/>
            <c:spPr>
              <a:solidFill>
                <a:schemeClr val="accent4">
                  <a:lumMod val="60000"/>
                  <a:lumOff val="40000"/>
                </a:schemeClr>
              </a:solidFill>
              <a:ln>
                <a:noFill/>
              </a:ln>
            </c:spPr>
            <c:extLst>
              <c:ext xmlns:c16="http://schemas.microsoft.com/office/drawing/2014/chart" uri="{C3380CC4-5D6E-409C-BE32-E72D297353CC}">
                <c16:uniqueId val="{00000001-CA31-4EF4-AF99-B846A21DBE4E}"/>
              </c:ext>
            </c:extLst>
          </c:dPt>
          <c:dPt>
            <c:idx val="10"/>
            <c:invertIfNegative val="0"/>
            <c:bubble3D val="0"/>
            <c:spPr>
              <a:solidFill>
                <a:schemeClr val="accent5">
                  <a:lumMod val="60000"/>
                  <a:lumOff val="40000"/>
                </a:schemeClr>
              </a:solidFill>
              <a:ln>
                <a:noFill/>
              </a:ln>
            </c:spPr>
            <c:extLst>
              <c:ext xmlns:c16="http://schemas.microsoft.com/office/drawing/2014/chart" uri="{C3380CC4-5D6E-409C-BE32-E72D297353CC}">
                <c16:uniqueId val="{00000003-CA31-4EF4-AF99-B846A21DBE4E}"/>
              </c:ext>
            </c:extLst>
          </c:dPt>
          <c:dPt>
            <c:idx val="11"/>
            <c:invertIfNegative val="0"/>
            <c:bubble3D val="0"/>
            <c:spPr>
              <a:solidFill>
                <a:schemeClr val="accent5">
                  <a:lumMod val="40000"/>
                  <a:lumOff val="60000"/>
                </a:schemeClr>
              </a:solidFill>
            </c:spPr>
            <c:extLst>
              <c:ext xmlns:c16="http://schemas.microsoft.com/office/drawing/2014/chart" uri="{C3380CC4-5D6E-409C-BE32-E72D297353CC}">
                <c16:uniqueId val="{00000005-CA31-4EF4-AF99-B846A21DBE4E}"/>
              </c:ext>
            </c:extLst>
          </c:dPt>
          <c:dPt>
            <c:idx val="12"/>
            <c:invertIfNegative val="0"/>
            <c:bubble3D val="0"/>
            <c:spPr>
              <a:solidFill>
                <a:schemeClr val="accent6"/>
              </a:solidFill>
            </c:spPr>
            <c:extLst>
              <c:ext xmlns:c16="http://schemas.microsoft.com/office/drawing/2014/chart" uri="{C3380CC4-5D6E-409C-BE32-E72D297353CC}">
                <c16:uniqueId val="{00000007-CA31-4EF4-AF99-B846A21DBE4E}"/>
              </c:ext>
            </c:extLst>
          </c:dPt>
          <c:dPt>
            <c:idx val="15"/>
            <c:invertIfNegative val="0"/>
            <c:bubble3D val="0"/>
            <c:spPr>
              <a:solidFill>
                <a:schemeClr val="accent5">
                  <a:lumMod val="60000"/>
                  <a:lumOff val="40000"/>
                </a:schemeClr>
              </a:solidFill>
              <a:ln>
                <a:noFill/>
              </a:ln>
            </c:spPr>
            <c:extLst>
              <c:ext xmlns:c16="http://schemas.microsoft.com/office/drawing/2014/chart" uri="{C3380CC4-5D6E-409C-BE32-E72D297353CC}">
                <c16:uniqueId val="{00000009-CA31-4EF4-AF99-B846A21DBE4E}"/>
              </c:ext>
            </c:extLst>
          </c:dPt>
          <c:dPt>
            <c:idx val="17"/>
            <c:invertIfNegative val="0"/>
            <c:bubble3D val="0"/>
            <c:spPr>
              <a:solidFill>
                <a:schemeClr val="accent5">
                  <a:lumMod val="60000"/>
                  <a:lumOff val="40000"/>
                </a:schemeClr>
              </a:solidFill>
              <a:ln>
                <a:noFill/>
              </a:ln>
            </c:spPr>
            <c:extLst>
              <c:ext xmlns:c16="http://schemas.microsoft.com/office/drawing/2014/chart" uri="{C3380CC4-5D6E-409C-BE32-E72D297353CC}">
                <c16:uniqueId val="{0000000B-CA31-4EF4-AF99-B846A21DBE4E}"/>
              </c:ext>
            </c:extLst>
          </c:dPt>
          <c:cat>
            <c:strRef>
              <c:f>'GRAF17_1-10'!$A$3:$A$38</c:f>
              <c:strCache>
                <c:ptCount val="36"/>
                <c:pt idx="0">
                  <c:v>Dánsko</c:v>
                </c:pt>
                <c:pt idx="1">
                  <c:v>Německo</c:v>
                </c:pt>
                <c:pt idx="2">
                  <c:v>Finsko</c:v>
                </c:pt>
                <c:pt idx="3">
                  <c:v>Rakousko</c:v>
                </c:pt>
                <c:pt idx="4">
                  <c:v>Švédsko</c:v>
                </c:pt>
                <c:pt idx="5">
                  <c:v>Chorvatsko</c:v>
                </c:pt>
                <c:pt idx="6">
                  <c:v>Nizozemsko</c:v>
                </c:pt>
                <c:pt idx="7">
                  <c:v>Estonsko</c:v>
                </c:pt>
                <c:pt idx="8">
                  <c:v>Belgie</c:v>
                </c:pt>
                <c:pt idx="9">
                  <c:v>EU28</c:v>
                </c:pt>
                <c:pt idx="10">
                  <c:v>Francie</c:v>
                </c:pt>
                <c:pt idx="11">
                  <c:v>Lucembursko</c:v>
                </c:pt>
                <c:pt idx="12">
                  <c:v>Česko</c:v>
                </c:pt>
                <c:pt idx="13">
                  <c:v>Řecko</c:v>
                </c:pt>
                <c:pt idx="14">
                  <c:v>Španělsko</c:v>
                </c:pt>
                <c:pt idx="15">
                  <c:v>Itálie</c:v>
                </c:pt>
                <c:pt idx="16">
                  <c:v>Velká Británie</c:v>
                </c:pt>
                <c:pt idx="17">
                  <c:v>Slovinsko</c:v>
                </c:pt>
                <c:pt idx="18">
                  <c:v>Maďarsko</c:v>
                </c:pt>
                <c:pt idx="19">
                  <c:v>Portugalsko</c:v>
                </c:pt>
                <c:pt idx="20">
                  <c:v>Slovensko</c:v>
                </c:pt>
                <c:pt idx="21">
                  <c:v>Polsko</c:v>
                </c:pt>
                <c:pt idx="22">
                  <c:v>Kypr</c:v>
                </c:pt>
                <c:pt idx="23">
                  <c:v>Litva</c:v>
                </c:pt>
                <c:pt idx="24">
                  <c:v>Rumunsko</c:v>
                </c:pt>
                <c:pt idx="25">
                  <c:v>Irsko</c:v>
                </c:pt>
                <c:pt idx="26">
                  <c:v>Lotyšsko</c:v>
                </c:pt>
                <c:pt idx="27">
                  <c:v>Bulharsko</c:v>
                </c:pt>
                <c:pt idx="28">
                  <c:v>Malta</c:v>
                </c:pt>
                <c:pt idx="30">
                  <c:v>Jižní Korea</c:v>
                </c:pt>
                <c:pt idx="31">
                  <c:v>Norsko</c:v>
                </c:pt>
                <c:pt idx="32">
                  <c:v>Spojené státy</c:v>
                </c:pt>
                <c:pt idx="33">
                  <c:v>Izrael</c:v>
                </c:pt>
                <c:pt idx="34">
                  <c:v>Japonsko</c:v>
                </c:pt>
                <c:pt idx="35">
                  <c:v>Rusko</c:v>
                </c:pt>
              </c:strCache>
            </c:strRef>
          </c:cat>
          <c:val>
            <c:numRef>
              <c:f>'GRAF17_1-10'!$B$3:$B$38</c:f>
              <c:numCache>
                <c:formatCode>0.0%</c:formatCode>
                <c:ptCount val="36"/>
                <c:pt idx="0">
                  <c:v>9.8999999999999991E-3</c:v>
                </c:pt>
                <c:pt idx="1">
                  <c:v>8.8999999999999999E-3</c:v>
                </c:pt>
                <c:pt idx="2">
                  <c:v>1.11E-2</c:v>
                </c:pt>
                <c:pt idx="3">
                  <c:v>7.7000000000000002E-3</c:v>
                </c:pt>
                <c:pt idx="4">
                  <c:v>8.3999999999999995E-3</c:v>
                </c:pt>
                <c:pt idx="5">
                  <c:v>7.1999999999999998E-3</c:v>
                </c:pt>
                <c:pt idx="6">
                  <c:v>7.6E-3</c:v>
                </c:pt>
                <c:pt idx="7">
                  <c:v>6.9999999999999993E-3</c:v>
                </c:pt>
                <c:pt idx="8">
                  <c:v>6.5000000000000006E-3</c:v>
                </c:pt>
                <c:pt idx="9">
                  <c:v>7.1999999999999998E-3</c:v>
                </c:pt>
                <c:pt idx="10">
                  <c:v>8.199999999999999E-3</c:v>
                </c:pt>
                <c:pt idx="11">
                  <c:v>5.4000000000000003E-3</c:v>
                </c:pt>
                <c:pt idx="12">
                  <c:v>5.6999999999999993E-3</c:v>
                </c:pt>
                <c:pt idx="13">
                  <c:v>3.0000000000000001E-3</c:v>
                </c:pt>
                <c:pt idx="14">
                  <c:v>7.7000000000000002E-3</c:v>
                </c:pt>
                <c:pt idx="15">
                  <c:v>6.0000000000000001E-3</c:v>
                </c:pt>
                <c:pt idx="16">
                  <c:v>5.8999999999999999E-3</c:v>
                </c:pt>
                <c:pt idx="17">
                  <c:v>6.0000000000000001E-3</c:v>
                </c:pt>
                <c:pt idx="18">
                  <c:v>3.4999999999999996E-3</c:v>
                </c:pt>
                <c:pt idx="19">
                  <c:v>5.4000000000000003E-3</c:v>
                </c:pt>
                <c:pt idx="20">
                  <c:v>3.7000000000000002E-3</c:v>
                </c:pt>
                <c:pt idx="21">
                  <c:v>3.5999999999999999E-3</c:v>
                </c:pt>
                <c:pt idx="22">
                  <c:v>4.1999999999999997E-3</c:v>
                </c:pt>
                <c:pt idx="23">
                  <c:v>4.1999999999999997E-3</c:v>
                </c:pt>
                <c:pt idx="24">
                  <c:v>2.8000000000000004E-3</c:v>
                </c:pt>
                <c:pt idx="25">
                  <c:v>4.8999999999999998E-3</c:v>
                </c:pt>
                <c:pt idx="26">
                  <c:v>1.6000000000000001E-3</c:v>
                </c:pt>
                <c:pt idx="27">
                  <c:v>2.5999999999999999E-3</c:v>
                </c:pt>
                <c:pt idx="28">
                  <c:v>2.2000000000000001E-3</c:v>
                </c:pt>
                <c:pt idx="30">
                  <c:v>1.0800000000000001E-2</c:v>
                </c:pt>
                <c:pt idx="31">
                  <c:v>8.3999999999999995E-3</c:v>
                </c:pt>
                <c:pt idx="32">
                  <c:v>9.8999999999999991E-3</c:v>
                </c:pt>
                <c:pt idx="33">
                  <c:v>6.1696750553297932E-3</c:v>
                </c:pt>
                <c:pt idx="34">
                  <c:v>7.1999999999999998E-3</c:v>
                </c:pt>
                <c:pt idx="35">
                  <c:v>4.7999999999999996E-3</c:v>
                </c:pt>
              </c:numCache>
            </c:numRef>
          </c:val>
          <c:extLst>
            <c:ext xmlns:c16="http://schemas.microsoft.com/office/drawing/2014/chart" uri="{C3380CC4-5D6E-409C-BE32-E72D297353CC}">
              <c16:uniqueId val="{0000000C-CA31-4EF4-AF99-B846A21DBE4E}"/>
            </c:ext>
          </c:extLst>
        </c:ser>
        <c:dLbls>
          <c:showLegendKey val="0"/>
          <c:showVal val="0"/>
          <c:showCatName val="0"/>
          <c:showSerName val="0"/>
          <c:showPercent val="0"/>
          <c:showBubbleSize val="0"/>
        </c:dLbls>
        <c:gapWidth val="50"/>
        <c:axId val="233085568"/>
        <c:axId val="233091456"/>
      </c:barChart>
      <c:barChart>
        <c:barDir val="col"/>
        <c:grouping val="clustered"/>
        <c:varyColors val="0"/>
        <c:ser>
          <c:idx val="1"/>
          <c:order val="1"/>
          <c:tx>
            <c:strRef>
              <c:f>'GRAF17_1-10'!$C$2</c:f>
              <c:strCache>
                <c:ptCount val="1"/>
                <c:pt idx="0">
                  <c:v>2016</c:v>
                </c:pt>
              </c:strCache>
            </c:strRef>
          </c:tx>
          <c:spPr>
            <a:solidFill>
              <a:schemeClr val="accent5">
                <a:lumMod val="50000"/>
              </a:schemeClr>
            </a:solidFill>
          </c:spPr>
          <c:invertIfNegative val="0"/>
          <c:dPt>
            <c:idx val="9"/>
            <c:invertIfNegative val="0"/>
            <c:bubble3D val="0"/>
            <c:spPr>
              <a:solidFill>
                <a:schemeClr val="accent4">
                  <a:lumMod val="50000"/>
                </a:schemeClr>
              </a:solidFill>
            </c:spPr>
            <c:extLst>
              <c:ext xmlns:c16="http://schemas.microsoft.com/office/drawing/2014/chart" uri="{C3380CC4-5D6E-409C-BE32-E72D297353CC}">
                <c16:uniqueId val="{0000000E-CA31-4EF4-AF99-B846A21DBE4E}"/>
              </c:ext>
            </c:extLst>
          </c:dPt>
          <c:dPt>
            <c:idx val="11"/>
            <c:invertIfNegative val="0"/>
            <c:bubble3D val="0"/>
            <c:extLst>
              <c:ext xmlns:c16="http://schemas.microsoft.com/office/drawing/2014/chart" uri="{C3380CC4-5D6E-409C-BE32-E72D297353CC}">
                <c16:uniqueId val="{0000000F-CA31-4EF4-AF99-B846A21DBE4E}"/>
              </c:ext>
            </c:extLst>
          </c:dPt>
          <c:dPt>
            <c:idx val="12"/>
            <c:invertIfNegative val="0"/>
            <c:bubble3D val="0"/>
            <c:spPr>
              <a:solidFill>
                <a:schemeClr val="accent6">
                  <a:lumMod val="50000"/>
                </a:schemeClr>
              </a:solidFill>
            </c:spPr>
            <c:extLst>
              <c:ext xmlns:c16="http://schemas.microsoft.com/office/drawing/2014/chart" uri="{C3380CC4-5D6E-409C-BE32-E72D297353CC}">
                <c16:uniqueId val="{00000011-CA31-4EF4-AF99-B846A21DBE4E}"/>
              </c:ext>
            </c:extLst>
          </c:dPt>
          <c:cat>
            <c:strRef>
              <c:f>'GRAF17_1-10'!$A$3:$A$38</c:f>
              <c:strCache>
                <c:ptCount val="36"/>
                <c:pt idx="0">
                  <c:v>Dánsko</c:v>
                </c:pt>
                <c:pt idx="1">
                  <c:v>Německo</c:v>
                </c:pt>
                <c:pt idx="2">
                  <c:v>Finsko</c:v>
                </c:pt>
                <c:pt idx="3">
                  <c:v>Rakousko</c:v>
                </c:pt>
                <c:pt idx="4">
                  <c:v>Švédsko</c:v>
                </c:pt>
                <c:pt idx="5">
                  <c:v>Chorvatsko</c:v>
                </c:pt>
                <c:pt idx="6">
                  <c:v>Nizozemsko</c:v>
                </c:pt>
                <c:pt idx="7">
                  <c:v>Estonsko</c:v>
                </c:pt>
                <c:pt idx="8">
                  <c:v>Belgie</c:v>
                </c:pt>
                <c:pt idx="9">
                  <c:v>EU28</c:v>
                </c:pt>
                <c:pt idx="10">
                  <c:v>Francie</c:v>
                </c:pt>
                <c:pt idx="11">
                  <c:v>Lucembursko</c:v>
                </c:pt>
                <c:pt idx="12">
                  <c:v>Česko</c:v>
                </c:pt>
                <c:pt idx="13">
                  <c:v>Řecko</c:v>
                </c:pt>
                <c:pt idx="14">
                  <c:v>Španělsko</c:v>
                </c:pt>
                <c:pt idx="15">
                  <c:v>Itálie</c:v>
                </c:pt>
                <c:pt idx="16">
                  <c:v>Velká Británie</c:v>
                </c:pt>
                <c:pt idx="17">
                  <c:v>Slovinsko</c:v>
                </c:pt>
                <c:pt idx="18">
                  <c:v>Maďarsko</c:v>
                </c:pt>
                <c:pt idx="19">
                  <c:v>Portugalsko</c:v>
                </c:pt>
                <c:pt idx="20">
                  <c:v>Slovensko</c:v>
                </c:pt>
                <c:pt idx="21">
                  <c:v>Polsko</c:v>
                </c:pt>
                <c:pt idx="22">
                  <c:v>Kypr</c:v>
                </c:pt>
                <c:pt idx="23">
                  <c:v>Litva</c:v>
                </c:pt>
                <c:pt idx="24">
                  <c:v>Rumunsko</c:v>
                </c:pt>
                <c:pt idx="25">
                  <c:v>Irsko</c:v>
                </c:pt>
                <c:pt idx="26">
                  <c:v>Lotyšsko</c:v>
                </c:pt>
                <c:pt idx="27">
                  <c:v>Bulharsko</c:v>
                </c:pt>
                <c:pt idx="28">
                  <c:v>Malta</c:v>
                </c:pt>
                <c:pt idx="30">
                  <c:v>Jižní Korea</c:v>
                </c:pt>
                <c:pt idx="31">
                  <c:v>Norsko</c:v>
                </c:pt>
                <c:pt idx="32">
                  <c:v>Spojené státy</c:v>
                </c:pt>
                <c:pt idx="33">
                  <c:v>Izrael</c:v>
                </c:pt>
                <c:pt idx="34">
                  <c:v>Japonsko</c:v>
                </c:pt>
                <c:pt idx="35">
                  <c:v>Rusko</c:v>
                </c:pt>
              </c:strCache>
            </c:strRef>
          </c:cat>
          <c:val>
            <c:numRef>
              <c:f>'GRAF17_1-10'!$C$3:$C$38</c:f>
              <c:numCache>
                <c:formatCode>0.0%</c:formatCode>
                <c:ptCount val="36"/>
                <c:pt idx="0">
                  <c:v>9.1999999999999998E-3</c:v>
                </c:pt>
                <c:pt idx="1">
                  <c:v>8.6999999999999994E-3</c:v>
                </c:pt>
                <c:pt idx="2">
                  <c:v>8.5000000000000006E-3</c:v>
                </c:pt>
                <c:pt idx="3">
                  <c:v>8.1000000000000013E-3</c:v>
                </c:pt>
                <c:pt idx="4">
                  <c:v>7.8000000000000005E-3</c:v>
                </c:pt>
                <c:pt idx="5">
                  <c:v>7.4000000000000003E-3</c:v>
                </c:pt>
                <c:pt idx="6">
                  <c:v>6.9999999999999993E-3</c:v>
                </c:pt>
                <c:pt idx="7">
                  <c:v>6.7000000000000002E-3</c:v>
                </c:pt>
                <c:pt idx="8">
                  <c:v>6.4000000000000003E-3</c:v>
                </c:pt>
                <c:pt idx="9">
                  <c:v>6.3E-3</c:v>
                </c:pt>
                <c:pt idx="10">
                  <c:v>6.3E-3</c:v>
                </c:pt>
                <c:pt idx="11">
                  <c:v>6.0999999999999995E-3</c:v>
                </c:pt>
                <c:pt idx="12">
                  <c:v>5.8627580511314888E-3</c:v>
                </c:pt>
                <c:pt idx="13">
                  <c:v>5.4000000000000003E-3</c:v>
                </c:pt>
                <c:pt idx="14">
                  <c:v>5.4000000000000003E-3</c:v>
                </c:pt>
                <c:pt idx="15">
                  <c:v>5.1999999999999998E-3</c:v>
                </c:pt>
                <c:pt idx="16">
                  <c:v>5.1999999999999998E-3</c:v>
                </c:pt>
                <c:pt idx="17">
                  <c:v>4.0000000000000001E-3</c:v>
                </c:pt>
                <c:pt idx="18">
                  <c:v>3.9000000000000003E-3</c:v>
                </c:pt>
                <c:pt idx="19">
                  <c:v>3.8E-3</c:v>
                </c:pt>
                <c:pt idx="20">
                  <c:v>3.7000000000000002E-3</c:v>
                </c:pt>
                <c:pt idx="21">
                  <c:v>3.3E-3</c:v>
                </c:pt>
                <c:pt idx="22">
                  <c:v>3.2000000000000002E-3</c:v>
                </c:pt>
                <c:pt idx="23">
                  <c:v>3.0999999999999999E-3</c:v>
                </c:pt>
                <c:pt idx="24">
                  <c:v>2.8000000000000004E-3</c:v>
                </c:pt>
                <c:pt idx="25">
                  <c:v>2.5999999999999999E-3</c:v>
                </c:pt>
                <c:pt idx="26">
                  <c:v>2.0999999999999999E-3</c:v>
                </c:pt>
                <c:pt idx="27">
                  <c:v>2E-3</c:v>
                </c:pt>
                <c:pt idx="28">
                  <c:v>2E-3</c:v>
                </c:pt>
                <c:pt idx="30">
                  <c:v>1.1663640084639531E-2</c:v>
                </c:pt>
                <c:pt idx="31">
                  <c:v>9.8999999999999991E-3</c:v>
                </c:pt>
                <c:pt idx="32">
                  <c:v>8.074965871521211E-3</c:v>
                </c:pt>
                <c:pt idx="33">
                  <c:v>6.4616907463043785E-3</c:v>
                </c:pt>
                <c:pt idx="34">
                  <c:v>6.4000000000000003E-3</c:v>
                </c:pt>
                <c:pt idx="35">
                  <c:v>4.680441905340906E-3</c:v>
                </c:pt>
              </c:numCache>
            </c:numRef>
          </c:val>
          <c:extLst>
            <c:ext xmlns:c16="http://schemas.microsoft.com/office/drawing/2014/chart" uri="{C3380CC4-5D6E-409C-BE32-E72D297353CC}">
              <c16:uniqueId val="{00000012-CA31-4EF4-AF99-B846A21DBE4E}"/>
            </c:ext>
          </c:extLst>
        </c:ser>
        <c:dLbls>
          <c:showLegendKey val="0"/>
          <c:showVal val="0"/>
          <c:showCatName val="0"/>
          <c:showSerName val="0"/>
          <c:showPercent val="0"/>
          <c:showBubbleSize val="0"/>
        </c:dLbls>
        <c:gapWidth val="249"/>
        <c:axId val="233094528"/>
        <c:axId val="233092992"/>
      </c:barChart>
      <c:catAx>
        <c:axId val="233085568"/>
        <c:scaling>
          <c:orientation val="minMax"/>
        </c:scaling>
        <c:delete val="0"/>
        <c:axPos val="b"/>
        <c:majorGridlines>
          <c:spPr>
            <a:ln>
              <a:solidFill>
                <a:schemeClr val="bg1">
                  <a:lumMod val="85000"/>
                </a:schemeClr>
              </a:solidFill>
            </a:ln>
          </c:spPr>
        </c:majorGridlines>
        <c:numFmt formatCode="General" sourceLinked="1"/>
        <c:majorTickMark val="out"/>
        <c:minorTickMark val="none"/>
        <c:tickLblPos val="nextTo"/>
        <c:crossAx val="233091456"/>
        <c:crosses val="autoZero"/>
        <c:auto val="1"/>
        <c:lblAlgn val="ctr"/>
        <c:lblOffset val="100"/>
        <c:noMultiLvlLbl val="0"/>
      </c:catAx>
      <c:valAx>
        <c:axId val="233091456"/>
        <c:scaling>
          <c:orientation val="minMax"/>
          <c:max val="1.2000000000000005E-2"/>
          <c:min val="0"/>
        </c:scaling>
        <c:delete val="0"/>
        <c:axPos val="l"/>
        <c:majorGridlines>
          <c:spPr>
            <a:ln>
              <a:solidFill>
                <a:schemeClr val="bg1">
                  <a:lumMod val="85000"/>
                </a:schemeClr>
              </a:solidFill>
            </a:ln>
          </c:spPr>
        </c:majorGridlines>
        <c:numFmt formatCode="0.0%" sourceLinked="0"/>
        <c:majorTickMark val="out"/>
        <c:minorTickMark val="none"/>
        <c:tickLblPos val="nextTo"/>
        <c:crossAx val="233085568"/>
        <c:crosses val="autoZero"/>
        <c:crossBetween val="between"/>
      </c:valAx>
      <c:valAx>
        <c:axId val="233092992"/>
        <c:scaling>
          <c:orientation val="minMax"/>
          <c:max val="1.2000000000000002E-2"/>
          <c:min val="0"/>
        </c:scaling>
        <c:delete val="0"/>
        <c:axPos val="r"/>
        <c:numFmt formatCode="0.0%" sourceLinked="1"/>
        <c:majorTickMark val="none"/>
        <c:minorTickMark val="none"/>
        <c:tickLblPos val="none"/>
        <c:spPr>
          <a:ln>
            <a:solidFill>
              <a:schemeClr val="accent3">
                <a:lumMod val="20000"/>
                <a:lumOff val="80000"/>
              </a:schemeClr>
            </a:solidFill>
          </a:ln>
        </c:spPr>
        <c:crossAx val="233094528"/>
        <c:crosses val="max"/>
        <c:crossBetween val="between"/>
      </c:valAx>
      <c:catAx>
        <c:axId val="233094528"/>
        <c:scaling>
          <c:orientation val="minMax"/>
        </c:scaling>
        <c:delete val="1"/>
        <c:axPos val="b"/>
        <c:numFmt formatCode="General" sourceLinked="1"/>
        <c:majorTickMark val="out"/>
        <c:minorTickMark val="none"/>
        <c:tickLblPos val="none"/>
        <c:crossAx val="233092992"/>
        <c:crosses val="autoZero"/>
        <c:auto val="1"/>
        <c:lblAlgn val="ctr"/>
        <c:lblOffset val="100"/>
        <c:noMultiLvlLbl val="0"/>
      </c:catAx>
      <c:spPr>
        <a:ln>
          <a:noFill/>
        </a:ln>
      </c:spPr>
    </c:plotArea>
    <c:legend>
      <c:legendPos val="t"/>
      <c:overlay val="0"/>
    </c:legend>
    <c:plotVisOnly val="1"/>
    <c:dispBlanksAs val="gap"/>
    <c:showDLblsOverMax val="0"/>
  </c:chart>
  <c:spPr>
    <a:ln>
      <a:noFill/>
    </a:ln>
  </c:spPr>
  <c:txPr>
    <a:bodyPr/>
    <a:lstStyle/>
    <a:p>
      <a:pPr>
        <a:defRPr sz="800" baseline="0">
          <a:latin typeface="Arial" pitchFamily="34" charset="0"/>
          <a:cs typeface="Arial" pitchFamily="34" charset="0"/>
        </a:defRPr>
      </a:pPr>
      <a:endParaRPr lang="cs-CZ"/>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barChart>
        <c:barDir val="col"/>
        <c:grouping val="clustered"/>
        <c:varyColors val="0"/>
        <c:ser>
          <c:idx val="0"/>
          <c:order val="0"/>
          <c:spPr>
            <a:solidFill>
              <a:schemeClr val="accent5">
                <a:lumMod val="60000"/>
                <a:lumOff val="40000"/>
              </a:schemeClr>
            </a:solidFill>
          </c:spPr>
          <c:invertIfNegative val="0"/>
          <c:dPt>
            <c:idx val="8"/>
            <c:invertIfNegative val="0"/>
            <c:bubble3D val="0"/>
            <c:spPr>
              <a:solidFill>
                <a:schemeClr val="accent6"/>
              </a:solidFill>
            </c:spPr>
            <c:extLst>
              <c:ext xmlns:c16="http://schemas.microsoft.com/office/drawing/2014/chart" uri="{C3380CC4-5D6E-409C-BE32-E72D297353CC}">
                <c16:uniqueId val="{00000001-C939-46F2-B8CE-82152D7EA319}"/>
              </c:ext>
            </c:extLst>
          </c:dPt>
          <c:dPt>
            <c:idx val="9"/>
            <c:invertIfNegative val="0"/>
            <c:bubble3D val="0"/>
            <c:spPr>
              <a:solidFill>
                <a:schemeClr val="accent5">
                  <a:lumMod val="60000"/>
                  <a:lumOff val="40000"/>
                </a:schemeClr>
              </a:solidFill>
              <a:ln>
                <a:noFill/>
              </a:ln>
            </c:spPr>
            <c:extLst>
              <c:ext xmlns:c16="http://schemas.microsoft.com/office/drawing/2014/chart" uri="{C3380CC4-5D6E-409C-BE32-E72D297353CC}">
                <c16:uniqueId val="{00000003-C939-46F2-B8CE-82152D7EA319}"/>
              </c:ext>
            </c:extLst>
          </c:dPt>
          <c:dPt>
            <c:idx val="10"/>
            <c:invertIfNegative val="0"/>
            <c:bubble3D val="0"/>
            <c:spPr>
              <a:solidFill>
                <a:schemeClr val="accent5">
                  <a:lumMod val="60000"/>
                  <a:lumOff val="40000"/>
                </a:schemeClr>
              </a:solidFill>
              <a:ln>
                <a:noFill/>
              </a:ln>
            </c:spPr>
            <c:extLst>
              <c:ext xmlns:c16="http://schemas.microsoft.com/office/drawing/2014/chart" uri="{C3380CC4-5D6E-409C-BE32-E72D297353CC}">
                <c16:uniqueId val="{00000005-C939-46F2-B8CE-82152D7EA319}"/>
              </c:ext>
            </c:extLst>
          </c:dPt>
          <c:dPt>
            <c:idx val="11"/>
            <c:invertIfNegative val="0"/>
            <c:bubble3D val="0"/>
            <c:extLst>
              <c:ext xmlns:c16="http://schemas.microsoft.com/office/drawing/2014/chart" uri="{C3380CC4-5D6E-409C-BE32-E72D297353CC}">
                <c16:uniqueId val="{00000006-C939-46F2-B8CE-82152D7EA319}"/>
              </c:ext>
            </c:extLst>
          </c:dPt>
          <c:dPt>
            <c:idx val="12"/>
            <c:invertIfNegative val="0"/>
            <c:bubble3D val="0"/>
            <c:extLst>
              <c:ext xmlns:c16="http://schemas.microsoft.com/office/drawing/2014/chart" uri="{C3380CC4-5D6E-409C-BE32-E72D297353CC}">
                <c16:uniqueId val="{00000007-C939-46F2-B8CE-82152D7EA319}"/>
              </c:ext>
            </c:extLst>
          </c:dPt>
          <c:dPt>
            <c:idx val="15"/>
            <c:invertIfNegative val="0"/>
            <c:bubble3D val="0"/>
            <c:spPr>
              <a:solidFill>
                <a:schemeClr val="accent5">
                  <a:lumMod val="60000"/>
                  <a:lumOff val="40000"/>
                </a:schemeClr>
              </a:solidFill>
              <a:ln>
                <a:noFill/>
              </a:ln>
            </c:spPr>
            <c:extLst>
              <c:ext xmlns:c16="http://schemas.microsoft.com/office/drawing/2014/chart" uri="{C3380CC4-5D6E-409C-BE32-E72D297353CC}">
                <c16:uniqueId val="{00000009-C939-46F2-B8CE-82152D7EA319}"/>
              </c:ext>
            </c:extLst>
          </c:dPt>
          <c:dPt>
            <c:idx val="17"/>
            <c:invertIfNegative val="0"/>
            <c:bubble3D val="0"/>
            <c:spPr>
              <a:solidFill>
                <a:schemeClr val="accent4"/>
              </a:solidFill>
              <a:ln>
                <a:noFill/>
              </a:ln>
            </c:spPr>
            <c:extLst>
              <c:ext xmlns:c16="http://schemas.microsoft.com/office/drawing/2014/chart" uri="{C3380CC4-5D6E-409C-BE32-E72D297353CC}">
                <c16:uniqueId val="{0000000B-C939-46F2-B8CE-82152D7EA319}"/>
              </c:ext>
            </c:extLst>
          </c:dPt>
          <c:dPt>
            <c:idx val="20"/>
            <c:invertIfNegative val="0"/>
            <c:bubble3D val="0"/>
            <c:extLst>
              <c:ext xmlns:c16="http://schemas.microsoft.com/office/drawing/2014/chart" uri="{C3380CC4-5D6E-409C-BE32-E72D297353CC}">
                <c16:uniqueId val="{0000000C-C939-46F2-B8CE-82152D7EA319}"/>
              </c:ext>
            </c:extLst>
          </c:dPt>
          <c:cat>
            <c:strRef>
              <c:f>'GRAF17_1-11'!$O$4:$O$39</c:f>
              <c:strCache>
                <c:ptCount val="36"/>
                <c:pt idx="0">
                  <c:v>Malta</c:v>
                </c:pt>
                <c:pt idx="1">
                  <c:v>Chorvatsko</c:v>
                </c:pt>
                <c:pt idx="2">
                  <c:v>Kypr</c:v>
                </c:pt>
                <c:pt idx="3">
                  <c:v>Nizozemsko</c:v>
                </c:pt>
                <c:pt idx="4">
                  <c:v>Švédsko</c:v>
                </c:pt>
                <c:pt idx="5">
                  <c:v>Slovensko</c:v>
                </c:pt>
                <c:pt idx="6">
                  <c:v>Litva</c:v>
                </c:pt>
                <c:pt idx="7">
                  <c:v>Rakousko</c:v>
                </c:pt>
                <c:pt idx="8">
                  <c:v>Česko</c:v>
                </c:pt>
                <c:pt idx="9">
                  <c:v>Dánsko</c:v>
                </c:pt>
                <c:pt idx="10">
                  <c:v>Portugalsko</c:v>
                </c:pt>
                <c:pt idx="11">
                  <c:v>Finsko</c:v>
                </c:pt>
                <c:pt idx="12">
                  <c:v>Estonsko</c:v>
                </c:pt>
                <c:pt idx="13">
                  <c:v>Německo</c:v>
                </c:pt>
                <c:pt idx="14">
                  <c:v>Slovinsko</c:v>
                </c:pt>
                <c:pt idx="15">
                  <c:v>Rumunsko</c:v>
                </c:pt>
                <c:pt idx="16">
                  <c:v>Francie</c:v>
                </c:pt>
                <c:pt idx="17">
                  <c:v>EU28</c:v>
                </c:pt>
                <c:pt idx="18">
                  <c:v>Lucembursko</c:v>
                </c:pt>
                <c:pt idx="19">
                  <c:v>Španělsko</c:v>
                </c:pt>
                <c:pt idx="20">
                  <c:v>Irsko</c:v>
                </c:pt>
                <c:pt idx="21">
                  <c:v>Bulharsko</c:v>
                </c:pt>
                <c:pt idx="22">
                  <c:v>Řecko</c:v>
                </c:pt>
                <c:pt idx="23">
                  <c:v>Itálie</c:v>
                </c:pt>
                <c:pt idx="24">
                  <c:v>Belgie</c:v>
                </c:pt>
                <c:pt idx="25">
                  <c:v>Maďarsko</c:v>
                </c:pt>
                <c:pt idx="26">
                  <c:v>Lotyšsko</c:v>
                </c:pt>
                <c:pt idx="27">
                  <c:v>Polsko</c:v>
                </c:pt>
                <c:pt idx="28">
                  <c:v>Velká Británie</c:v>
                </c:pt>
                <c:pt idx="30">
                  <c:v>Island</c:v>
                </c:pt>
                <c:pt idx="31">
                  <c:v>Švýcarsko</c:v>
                </c:pt>
                <c:pt idx="32">
                  <c:v>Japonsko</c:v>
                </c:pt>
                <c:pt idx="33">
                  <c:v>Norsko</c:v>
                </c:pt>
                <c:pt idx="34">
                  <c:v>Jižní Korea</c:v>
                </c:pt>
                <c:pt idx="35">
                  <c:v>Spojené státy</c:v>
                </c:pt>
              </c:strCache>
            </c:strRef>
          </c:cat>
          <c:val>
            <c:numRef>
              <c:f>'GRAF17_1-11'!$P$4:$P$39</c:f>
              <c:numCache>
                <c:formatCode>0%</c:formatCode>
                <c:ptCount val="36"/>
                <c:pt idx="0">
                  <c:v>0.94991611566169942</c:v>
                </c:pt>
                <c:pt idx="1">
                  <c:v>0.8745814724019263</c:v>
                </c:pt>
                <c:pt idx="2">
                  <c:v>0.77235174097735559</c:v>
                </c:pt>
                <c:pt idx="3">
                  <c:v>0.75512952074128414</c:v>
                </c:pt>
                <c:pt idx="4">
                  <c:v>0.72807939369836405</c:v>
                </c:pt>
                <c:pt idx="5">
                  <c:v>0.70401873889611233</c:v>
                </c:pt>
                <c:pt idx="6">
                  <c:v>0.69614751884499226</c:v>
                </c:pt>
                <c:pt idx="7">
                  <c:v>0.69101883154953947</c:v>
                </c:pt>
                <c:pt idx="8">
                  <c:v>0.62488962994878072</c:v>
                </c:pt>
                <c:pt idx="9">
                  <c:v>0.6193214149950006</c:v>
                </c:pt>
                <c:pt idx="10">
                  <c:v>0.61743290153246966</c:v>
                </c:pt>
                <c:pt idx="11">
                  <c:v>0.60067958310190472</c:v>
                </c:pt>
                <c:pt idx="12">
                  <c:v>0.57619178837145213</c:v>
                </c:pt>
                <c:pt idx="13">
                  <c:v>0.56940582720493227</c:v>
                </c:pt>
                <c:pt idx="14">
                  <c:v>0.56367456519201575</c:v>
                </c:pt>
                <c:pt idx="15">
                  <c:v>0.54294712470770157</c:v>
                </c:pt>
                <c:pt idx="16">
                  <c:v>0.54219712997977909</c:v>
                </c:pt>
                <c:pt idx="17">
                  <c:v>0.53285699964737976</c:v>
                </c:pt>
                <c:pt idx="18">
                  <c:v>0.53068092089029262</c:v>
                </c:pt>
                <c:pt idx="19">
                  <c:v>0.50832904367229992</c:v>
                </c:pt>
                <c:pt idx="20">
                  <c:v>0.50785485889058812</c:v>
                </c:pt>
                <c:pt idx="21">
                  <c:v>0.47223352425067555</c:v>
                </c:pt>
                <c:pt idx="22">
                  <c:v>0.46128970895948257</c:v>
                </c:pt>
                <c:pt idx="23">
                  <c:v>0.44880411261606817</c:v>
                </c:pt>
                <c:pt idx="24">
                  <c:v>0.44840566114994901</c:v>
                </c:pt>
                <c:pt idx="25">
                  <c:v>0.44206756170539369</c:v>
                </c:pt>
                <c:pt idx="26">
                  <c:v>0.34790874524714832</c:v>
                </c:pt>
                <c:pt idx="27">
                  <c:v>0.33105878069414552</c:v>
                </c:pt>
                <c:pt idx="28">
                  <c:v>0.32997735647764759</c:v>
                </c:pt>
                <c:pt idx="30">
                  <c:v>0.9080817094115502</c:v>
                </c:pt>
                <c:pt idx="31">
                  <c:v>0.89954668827164086</c:v>
                </c:pt>
                <c:pt idx="32">
                  <c:v>0.5702963525946334</c:v>
                </c:pt>
                <c:pt idx="33">
                  <c:v>0.45557902360631003</c:v>
                </c:pt>
                <c:pt idx="34">
                  <c:v>0.20871752872909499</c:v>
                </c:pt>
                <c:pt idx="35">
                  <c:v>7.6658233468493903E-2</c:v>
                </c:pt>
              </c:numCache>
            </c:numRef>
          </c:val>
          <c:extLst>
            <c:ext xmlns:c16="http://schemas.microsoft.com/office/drawing/2014/chart" uri="{C3380CC4-5D6E-409C-BE32-E72D297353CC}">
              <c16:uniqueId val="{0000000D-C939-46F2-B8CE-82152D7EA319}"/>
            </c:ext>
          </c:extLst>
        </c:ser>
        <c:dLbls>
          <c:showLegendKey val="0"/>
          <c:showVal val="0"/>
          <c:showCatName val="0"/>
          <c:showSerName val="0"/>
          <c:showPercent val="0"/>
          <c:showBubbleSize val="0"/>
        </c:dLbls>
        <c:gapWidth val="50"/>
        <c:axId val="147950592"/>
        <c:axId val="147952384"/>
      </c:barChart>
      <c:catAx>
        <c:axId val="147950592"/>
        <c:scaling>
          <c:orientation val="minMax"/>
        </c:scaling>
        <c:delete val="0"/>
        <c:axPos val="b"/>
        <c:majorGridlines>
          <c:spPr>
            <a:ln>
              <a:solidFill>
                <a:schemeClr val="bg1">
                  <a:lumMod val="85000"/>
                </a:schemeClr>
              </a:solidFill>
            </a:ln>
          </c:spPr>
        </c:majorGridlines>
        <c:numFmt formatCode="General" sourceLinked="1"/>
        <c:majorTickMark val="out"/>
        <c:minorTickMark val="none"/>
        <c:tickLblPos val="nextTo"/>
        <c:crossAx val="147952384"/>
        <c:crosses val="autoZero"/>
        <c:auto val="1"/>
        <c:lblAlgn val="ctr"/>
        <c:lblOffset val="100"/>
        <c:noMultiLvlLbl val="0"/>
      </c:catAx>
      <c:valAx>
        <c:axId val="147952384"/>
        <c:scaling>
          <c:orientation val="minMax"/>
        </c:scaling>
        <c:delete val="0"/>
        <c:axPos val="l"/>
        <c:majorGridlines>
          <c:spPr>
            <a:ln>
              <a:solidFill>
                <a:schemeClr val="bg1">
                  <a:lumMod val="85000"/>
                </a:schemeClr>
              </a:solidFill>
            </a:ln>
          </c:spPr>
        </c:majorGridlines>
        <c:numFmt formatCode="0%" sourceLinked="0"/>
        <c:majorTickMark val="out"/>
        <c:minorTickMark val="none"/>
        <c:tickLblPos val="nextTo"/>
        <c:crossAx val="147950592"/>
        <c:crosses val="autoZero"/>
        <c:crossBetween val="between"/>
      </c:valAx>
      <c:spPr>
        <a:ln>
          <a:noFill/>
        </a:ln>
      </c:spPr>
    </c:plotArea>
    <c:plotVisOnly val="1"/>
    <c:dispBlanksAs val="gap"/>
    <c:showDLblsOverMax val="0"/>
  </c:chart>
  <c:spPr>
    <a:ln>
      <a:noFill/>
    </a:ln>
  </c:spPr>
  <c:txPr>
    <a:bodyPr/>
    <a:lstStyle/>
    <a:p>
      <a:pPr>
        <a:defRPr sz="800" baseline="0">
          <a:latin typeface="Arial" pitchFamily="34" charset="0"/>
          <a:cs typeface="Arial" pitchFamily="34" charset="0"/>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8801315066774397E-2"/>
          <c:y val="0.18498559108682841"/>
          <c:w val="0.83359739443736691"/>
          <c:h val="0.6990347635117039"/>
        </c:manualLayout>
      </c:layout>
      <c:barChart>
        <c:barDir val="col"/>
        <c:grouping val="stacked"/>
        <c:varyColors val="0"/>
        <c:ser>
          <c:idx val="0"/>
          <c:order val="0"/>
          <c:tx>
            <c:strRef>
              <c:f>'GRAF17_1-2'!$A$13</c:f>
              <c:strCache>
                <c:ptCount val="1"/>
                <c:pt idx="0">
                  <c:v>běžné výdaje </c:v>
                </c:pt>
              </c:strCache>
            </c:strRef>
          </c:tx>
          <c:spPr>
            <a:solidFill>
              <a:schemeClr val="accent5"/>
            </a:solidFill>
          </c:spPr>
          <c:invertIfNegative val="0"/>
          <c:dLbls>
            <c:spPr>
              <a:noFill/>
              <a:ln>
                <a:noFill/>
              </a:ln>
              <a:effectLst/>
            </c:spPr>
            <c:txPr>
              <a:bodyPr wrap="square" lIns="38100" tIns="19050" rIns="38100" bIns="19050" anchor="ctr">
                <a:spAutoFit/>
              </a:bodyPr>
              <a:lstStyle/>
              <a:p>
                <a:pPr>
                  <a:defRPr b="0">
                    <a:solidFill>
                      <a:sysClr val="windowText" lastClr="000000"/>
                    </a:solidFill>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'GRAF17_1-2'!$B$12:$G$12</c:f>
              <c:numCache>
                <c:formatCode>@</c:formatCode>
                <c:ptCount val="6"/>
                <c:pt idx="0">
                  <c:v>2012</c:v>
                </c:pt>
                <c:pt idx="1">
                  <c:v>2013</c:v>
                </c:pt>
                <c:pt idx="2">
                  <c:v>2014</c:v>
                </c:pt>
                <c:pt idx="3">
                  <c:v>2015</c:v>
                </c:pt>
                <c:pt idx="4">
                  <c:v>2016</c:v>
                </c:pt>
                <c:pt idx="5">
                  <c:v>2017</c:v>
                </c:pt>
              </c:numCache>
            </c:numRef>
          </c:cat>
          <c:val>
            <c:numRef>
              <c:f>'GRAF17_1-2'!$B$13:$G$13</c:f>
              <c:numCache>
                <c:formatCode>#\ ##0.0</c:formatCode>
                <c:ptCount val="6"/>
                <c:pt idx="0">
                  <c:v>23.023832099897795</c:v>
                </c:pt>
                <c:pt idx="1">
                  <c:v>23.72040474222981</c:v>
                </c:pt>
                <c:pt idx="2">
                  <c:v>24.34745861578109</c:v>
                </c:pt>
                <c:pt idx="3">
                  <c:v>24.893586031547567</c:v>
                </c:pt>
                <c:pt idx="4">
                  <c:v>26.419540100803129</c:v>
                </c:pt>
                <c:pt idx="5">
                  <c:v>28.862489862847806</c:v>
                </c:pt>
              </c:numCache>
            </c:numRef>
          </c:val>
          <c:extLst>
            <c:ext xmlns:c16="http://schemas.microsoft.com/office/drawing/2014/chart" uri="{C3380CC4-5D6E-409C-BE32-E72D297353CC}">
              <c16:uniqueId val="{00000000-5657-43BB-B6CC-8768D7C95112}"/>
            </c:ext>
          </c:extLst>
        </c:ser>
        <c:ser>
          <c:idx val="1"/>
          <c:order val="1"/>
          <c:tx>
            <c:strRef>
              <c:f>'GRAF17_1-2'!$A$14</c:f>
              <c:strCache>
                <c:ptCount val="1"/>
                <c:pt idx="0">
                  <c:v>kapitálové výdaje </c:v>
                </c:pt>
              </c:strCache>
            </c:strRef>
          </c:tx>
          <c:spPr>
            <a:solidFill>
              <a:schemeClr val="accent5">
                <a:lumMod val="50000"/>
              </a:schemeClr>
            </a:solidFill>
            <a:ln>
              <a:noFill/>
            </a:ln>
            <a:effectLst/>
          </c:spPr>
          <c:invertIfNegative val="0"/>
          <c:dLbls>
            <c:spPr>
              <a:noFill/>
              <a:ln>
                <a:noFill/>
              </a:ln>
              <a:effectLst/>
            </c:spPr>
            <c:txPr>
              <a:bodyPr wrap="square" lIns="38100" tIns="19050" rIns="38100" bIns="19050" anchor="ctr">
                <a:spAutoFit/>
              </a:bodyPr>
              <a:lstStyle/>
              <a:p>
                <a:pPr>
                  <a:defRPr b="0">
                    <a:solidFill>
                      <a:schemeClr val="bg1"/>
                    </a:solidFill>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'GRAF17_1-2'!$B$12:$G$12</c:f>
              <c:numCache>
                <c:formatCode>@</c:formatCode>
                <c:ptCount val="6"/>
                <c:pt idx="0">
                  <c:v>2012</c:v>
                </c:pt>
                <c:pt idx="1">
                  <c:v>2013</c:v>
                </c:pt>
                <c:pt idx="2">
                  <c:v>2014</c:v>
                </c:pt>
                <c:pt idx="3">
                  <c:v>2015</c:v>
                </c:pt>
                <c:pt idx="4">
                  <c:v>2016</c:v>
                </c:pt>
                <c:pt idx="5">
                  <c:v>2017</c:v>
                </c:pt>
              </c:numCache>
            </c:numRef>
          </c:cat>
          <c:val>
            <c:numRef>
              <c:f>'GRAF17_1-2'!$B$14:$G$14</c:f>
              <c:numCache>
                <c:formatCode>#\ ##0.0</c:formatCode>
                <c:ptCount val="6"/>
                <c:pt idx="0">
                  <c:v>3.1270704532022053</c:v>
                </c:pt>
                <c:pt idx="1">
                  <c:v>2.9847336528001938</c:v>
                </c:pt>
                <c:pt idx="2">
                  <c:v>2.936643494218909</c:v>
                </c:pt>
                <c:pt idx="3">
                  <c:v>2.9361923311124314</c:v>
                </c:pt>
                <c:pt idx="4">
                  <c:v>1.564811139179739</c:v>
                </c:pt>
                <c:pt idx="5">
                  <c:v>1.7908200687956266</c:v>
                </c:pt>
              </c:numCache>
            </c:numRef>
          </c:val>
          <c:extLst>
            <c:ext xmlns:c16="http://schemas.microsoft.com/office/drawing/2014/chart" uri="{C3380CC4-5D6E-409C-BE32-E72D297353CC}">
              <c16:uniqueId val="{00000001-5657-43BB-B6CC-8768D7C95112}"/>
            </c:ext>
          </c:extLst>
        </c:ser>
        <c:dLbls>
          <c:showLegendKey val="0"/>
          <c:showVal val="0"/>
          <c:showCatName val="0"/>
          <c:showSerName val="0"/>
          <c:showPercent val="0"/>
          <c:showBubbleSize val="0"/>
        </c:dLbls>
        <c:gapWidth val="150"/>
        <c:overlap val="100"/>
        <c:axId val="143760384"/>
        <c:axId val="143774464"/>
      </c:barChart>
      <c:lineChart>
        <c:grouping val="standard"/>
        <c:varyColors val="0"/>
        <c:ser>
          <c:idx val="2"/>
          <c:order val="2"/>
          <c:tx>
            <c:strRef>
              <c:f>'GRAF17_1-2'!$A$15</c:f>
              <c:strCache>
                <c:ptCount val="1"/>
                <c:pt idx="0">
                  <c:v>podíl na celkých výdajích na VaV</c:v>
                </c:pt>
              </c:strCache>
            </c:strRef>
          </c:tx>
          <c:spPr>
            <a:ln>
              <a:solidFill>
                <a:schemeClr val="accent6"/>
              </a:solidFill>
            </a:ln>
          </c:spPr>
          <c:marker>
            <c:symbol val="circle"/>
            <c:size val="5"/>
            <c:spPr>
              <a:solidFill>
                <a:schemeClr val="bg1"/>
              </a:solidFill>
              <a:ln>
                <a:solidFill>
                  <a:schemeClr val="accent6"/>
                </a:solidFill>
              </a:ln>
            </c:spPr>
          </c:marker>
          <c:dLbls>
            <c:numFmt formatCode="0%" sourceLinked="0"/>
            <c:spPr>
              <a:noFill/>
              <a:ln>
                <a:noFill/>
              </a:ln>
              <a:effectLst/>
            </c:spPr>
            <c:txPr>
              <a:bodyPr wrap="square" lIns="38100" tIns="19050" rIns="38100" bIns="19050" anchor="ctr">
                <a:spAutoFit/>
              </a:bodyPr>
              <a:lstStyle/>
              <a:p>
                <a:pPr>
                  <a:defRPr b="1"/>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'GRAF17_1-2'!$B$12:$G$12</c:f>
              <c:numCache>
                <c:formatCode>@</c:formatCode>
                <c:ptCount val="6"/>
                <c:pt idx="0">
                  <c:v>2012</c:v>
                </c:pt>
                <c:pt idx="1">
                  <c:v>2013</c:v>
                </c:pt>
                <c:pt idx="2">
                  <c:v>2014</c:v>
                </c:pt>
                <c:pt idx="3">
                  <c:v>2015</c:v>
                </c:pt>
                <c:pt idx="4">
                  <c:v>2016</c:v>
                </c:pt>
                <c:pt idx="5">
                  <c:v>2017</c:v>
                </c:pt>
              </c:numCache>
            </c:numRef>
          </c:cat>
          <c:val>
            <c:numRef>
              <c:f>'GRAF17_1-2'!$B$15:$G$15</c:f>
              <c:numCache>
                <c:formatCode>0.0%</c:formatCode>
                <c:ptCount val="6"/>
                <c:pt idx="0">
                  <c:v>0.36139844480992334</c:v>
                </c:pt>
                <c:pt idx="1">
                  <c:v>0.34301832924260761</c:v>
                </c:pt>
                <c:pt idx="2">
                  <c:v>0.32059541780437162</c:v>
                </c:pt>
                <c:pt idx="3">
                  <c:v>0.31388128168064994</c:v>
                </c:pt>
                <c:pt idx="4">
                  <c:v>0.34932774472109485</c:v>
                </c:pt>
                <c:pt idx="5">
                  <c:v>0.33913771521187358</c:v>
                </c:pt>
              </c:numCache>
            </c:numRef>
          </c:val>
          <c:smooth val="0"/>
          <c:extLst>
            <c:ext xmlns:c16="http://schemas.microsoft.com/office/drawing/2014/chart" uri="{C3380CC4-5D6E-409C-BE32-E72D297353CC}">
              <c16:uniqueId val="{00000002-5657-43BB-B6CC-8768D7C95112}"/>
            </c:ext>
          </c:extLst>
        </c:ser>
        <c:dLbls>
          <c:showLegendKey val="0"/>
          <c:showVal val="0"/>
          <c:showCatName val="0"/>
          <c:showSerName val="0"/>
          <c:showPercent val="0"/>
          <c:showBubbleSize val="0"/>
        </c:dLbls>
        <c:marker val="1"/>
        <c:smooth val="0"/>
        <c:axId val="143794560"/>
        <c:axId val="143776384"/>
      </c:lineChart>
      <c:catAx>
        <c:axId val="143760384"/>
        <c:scaling>
          <c:orientation val="minMax"/>
        </c:scaling>
        <c:delete val="0"/>
        <c:axPos val="b"/>
        <c:majorGridlines>
          <c:spPr>
            <a:ln>
              <a:solidFill>
                <a:schemeClr val="bg1">
                  <a:lumMod val="85000"/>
                </a:schemeClr>
              </a:solidFill>
            </a:ln>
          </c:spPr>
        </c:majorGridlines>
        <c:numFmt formatCode="General" sourceLinked="0"/>
        <c:majorTickMark val="out"/>
        <c:minorTickMark val="none"/>
        <c:tickLblPos val="nextTo"/>
        <c:crossAx val="143774464"/>
        <c:crosses val="autoZero"/>
        <c:auto val="1"/>
        <c:lblAlgn val="ctr"/>
        <c:lblOffset val="100"/>
        <c:noMultiLvlLbl val="0"/>
      </c:catAx>
      <c:valAx>
        <c:axId val="143774464"/>
        <c:scaling>
          <c:orientation val="minMax"/>
          <c:max val="40"/>
        </c:scaling>
        <c:delete val="0"/>
        <c:axPos val="l"/>
        <c:majorGridlines>
          <c:spPr>
            <a:ln>
              <a:solidFill>
                <a:schemeClr val="bg1">
                  <a:lumMod val="85000"/>
                </a:schemeClr>
              </a:solidFill>
              <a:prstDash val="solid"/>
            </a:ln>
          </c:spPr>
        </c:majorGridlines>
        <c:title>
          <c:tx>
            <c:rich>
              <a:bodyPr/>
              <a:lstStyle/>
              <a:p>
                <a:pPr>
                  <a:defRPr/>
                </a:pPr>
                <a:r>
                  <a:rPr lang="en-US"/>
                  <a:t>mld. Kč</a:t>
                </a:r>
              </a:p>
            </c:rich>
          </c:tx>
          <c:overlay val="0"/>
        </c:title>
        <c:numFmt formatCode="0" sourceLinked="0"/>
        <c:majorTickMark val="out"/>
        <c:minorTickMark val="none"/>
        <c:tickLblPos val="nextTo"/>
        <c:crossAx val="143760384"/>
        <c:crosses val="autoZero"/>
        <c:crossBetween val="between"/>
        <c:majorUnit val="5"/>
      </c:valAx>
      <c:valAx>
        <c:axId val="143776384"/>
        <c:scaling>
          <c:orientation val="minMax"/>
          <c:max val="0.4"/>
          <c:min val="0"/>
        </c:scaling>
        <c:delete val="0"/>
        <c:axPos val="r"/>
        <c:numFmt formatCode="0%" sourceLinked="0"/>
        <c:majorTickMark val="out"/>
        <c:minorTickMark val="none"/>
        <c:tickLblPos val="nextTo"/>
        <c:crossAx val="143794560"/>
        <c:crosses val="max"/>
        <c:crossBetween val="between"/>
      </c:valAx>
      <c:catAx>
        <c:axId val="143794560"/>
        <c:scaling>
          <c:orientation val="minMax"/>
        </c:scaling>
        <c:delete val="1"/>
        <c:axPos val="b"/>
        <c:numFmt formatCode="@" sourceLinked="1"/>
        <c:majorTickMark val="out"/>
        <c:minorTickMark val="none"/>
        <c:tickLblPos val="none"/>
        <c:crossAx val="143776384"/>
        <c:crosses val="autoZero"/>
        <c:auto val="1"/>
        <c:lblAlgn val="ctr"/>
        <c:lblOffset val="100"/>
        <c:noMultiLvlLbl val="0"/>
      </c:catAx>
      <c:spPr>
        <a:noFill/>
      </c:spPr>
    </c:plotArea>
    <c:legend>
      <c:legendPos val="t"/>
      <c:layout>
        <c:manualLayout>
          <c:xMode val="edge"/>
          <c:yMode val="edge"/>
          <c:x val="0.10581553058311161"/>
          <c:y val="6.2582462906422415E-2"/>
          <c:w val="0.75289467931850995"/>
          <c:h val="8.0792329530237295E-2"/>
        </c:manualLayout>
      </c:layout>
      <c:overlay val="0"/>
      <c:spPr>
        <a:noFill/>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manualLayout>
          <c:layoutTarget val="inner"/>
          <c:xMode val="edge"/>
          <c:yMode val="edge"/>
          <c:x val="8.4047115422189428E-2"/>
          <c:y val="0.1497884497723761"/>
          <c:w val="0.89311163973160146"/>
          <c:h val="0.74098581713983003"/>
        </c:manualLayout>
      </c:layout>
      <c:barChart>
        <c:barDir val="col"/>
        <c:grouping val="clustered"/>
        <c:varyColors val="0"/>
        <c:ser>
          <c:idx val="0"/>
          <c:order val="0"/>
          <c:tx>
            <c:strRef>
              <c:f>'GRAF17_1-3'!$A$8</c:f>
              <c:strCache>
                <c:ptCount val="1"/>
                <c:pt idx="0">
                  <c:v>Institucionální</c:v>
                </c:pt>
              </c:strCache>
            </c:strRef>
          </c:tx>
          <c:spPr>
            <a:solidFill>
              <a:schemeClr val="accent5">
                <a:lumMod val="50000"/>
              </a:schemeClr>
            </a:solidFill>
          </c:spPr>
          <c:invertIfNegative val="0"/>
          <c:dLbls>
            <c:spPr>
              <a:noFill/>
              <a:ln>
                <a:noFill/>
              </a:ln>
              <a:effectLst/>
            </c:spPr>
            <c:txPr>
              <a:bodyPr rot="-5400000" vert="horz" wrap="square" lIns="38100" tIns="19050" rIns="38100" bIns="19050" anchor="ctr">
                <a:spAutoFit/>
              </a:bodyPr>
              <a:lstStyle/>
              <a:p>
                <a:pPr>
                  <a:defRPr>
                    <a:solidFill>
                      <a:schemeClr val="bg1"/>
                    </a:solidFill>
                  </a:defRPr>
                </a:pPr>
                <a:endParaRPr lang="cs-C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'GRAF17_1-3'!$G$7:$S$7</c:f>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strRef>
          </c:cat>
          <c:val>
            <c:numRef>
              <c:f>'GRAF17_1-3'!$G$8:$S$8</c:f>
              <c:numCache>
                <c:formatCode>#\ ##0.0</c:formatCode>
                <c:ptCount val="13"/>
                <c:pt idx="0">
                  <c:v>9.3470840099999926</c:v>
                </c:pt>
                <c:pt idx="1">
                  <c:v>9.8633000100000103</c:v>
                </c:pt>
                <c:pt idx="2">
                  <c:v>11.321539000000005</c:v>
                </c:pt>
                <c:pt idx="3">
                  <c:v>11.041636000000009</c:v>
                </c:pt>
                <c:pt idx="4">
                  <c:v>11.815813</c:v>
                </c:pt>
                <c:pt idx="5">
                  <c:v>11.588380000000004</c:v>
                </c:pt>
                <c:pt idx="6">
                  <c:v>11.672818259999996</c:v>
                </c:pt>
                <c:pt idx="7">
                  <c:v>12.449922553099999</c:v>
                </c:pt>
                <c:pt idx="8">
                  <c:v>13.143822395030012</c:v>
                </c:pt>
                <c:pt idx="9">
                  <c:v>13.101334169199999</c:v>
                </c:pt>
                <c:pt idx="10">
                  <c:v>13.46626582753</c:v>
                </c:pt>
                <c:pt idx="11">
                  <c:v>13.987215606471185</c:v>
                </c:pt>
                <c:pt idx="12">
                  <c:v>15.1206865375534</c:v>
                </c:pt>
              </c:numCache>
            </c:numRef>
          </c:val>
          <c:extLst>
            <c:ext xmlns:c16="http://schemas.microsoft.com/office/drawing/2014/chart" uri="{C3380CC4-5D6E-409C-BE32-E72D297353CC}">
              <c16:uniqueId val="{00000000-B0E7-4535-A6F4-49C5C9145F30}"/>
            </c:ext>
          </c:extLst>
        </c:ser>
        <c:ser>
          <c:idx val="1"/>
          <c:order val="1"/>
          <c:tx>
            <c:strRef>
              <c:f>'GRAF17_1-3'!$A$9</c:f>
              <c:strCache>
                <c:ptCount val="1"/>
                <c:pt idx="0">
                  <c:v>Účelové</c:v>
                </c:pt>
              </c:strCache>
            </c:strRef>
          </c:tx>
          <c:spPr>
            <a:solidFill>
              <a:schemeClr val="accent5"/>
            </a:solidFill>
          </c:spPr>
          <c:invertIfNegative val="0"/>
          <c:dLbls>
            <c:spPr>
              <a:noFill/>
              <a:ln>
                <a:noFill/>
              </a:ln>
              <a:effectLst/>
            </c:spPr>
            <c:txPr>
              <a:bodyPr rot="-5400000" vert="horz" wrap="square" lIns="38100" tIns="19050" rIns="38100" bIns="19050" anchor="ctr">
                <a:spAutoFit/>
              </a:bodyPr>
              <a:lstStyle/>
              <a:p>
                <a:pPr>
                  <a:defRPr>
                    <a:solidFill>
                      <a:sysClr val="windowText" lastClr="000000"/>
                    </a:solidFill>
                  </a:defRPr>
                </a:pPr>
                <a:endParaRPr lang="cs-C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'GRAF17_1-3'!$G$7:$S$7</c:f>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strRef>
          </c:cat>
          <c:val>
            <c:numRef>
              <c:f>'GRAF17_1-3'!$G$9:$S$9</c:f>
              <c:numCache>
                <c:formatCode>#\ ##0.0</c:formatCode>
                <c:ptCount val="13"/>
                <c:pt idx="0">
                  <c:v>7.09401200000001</c:v>
                </c:pt>
                <c:pt idx="1">
                  <c:v>8.4443979999999836</c:v>
                </c:pt>
                <c:pt idx="2">
                  <c:v>9.1542630000000056</c:v>
                </c:pt>
                <c:pt idx="3">
                  <c:v>9.4479379999999491</c:v>
                </c:pt>
                <c:pt idx="4">
                  <c:v>11.189353999999978</c:v>
                </c:pt>
                <c:pt idx="5">
                  <c:v>11.013745000000064</c:v>
                </c:pt>
                <c:pt idx="6">
                  <c:v>14.161721999999992</c:v>
                </c:pt>
                <c:pt idx="7">
                  <c:v>13.700979999999948</c:v>
                </c:pt>
                <c:pt idx="8">
                  <c:v>13.561315999999993</c:v>
                </c:pt>
                <c:pt idx="9">
                  <c:v>14.1827679408</c:v>
                </c:pt>
                <c:pt idx="10">
                  <c:v>14.363512535130001</c:v>
                </c:pt>
                <c:pt idx="11">
                  <c:v>13.997135633511695</c:v>
                </c:pt>
                <c:pt idx="12">
                  <c:v>15.532623394090001</c:v>
                </c:pt>
              </c:numCache>
            </c:numRef>
          </c:val>
          <c:extLst>
            <c:ext xmlns:c16="http://schemas.microsoft.com/office/drawing/2014/chart" uri="{C3380CC4-5D6E-409C-BE32-E72D297353CC}">
              <c16:uniqueId val="{00000001-B0E7-4535-A6F4-49C5C9145F30}"/>
            </c:ext>
          </c:extLst>
        </c:ser>
        <c:dLbls>
          <c:showLegendKey val="0"/>
          <c:showVal val="0"/>
          <c:showCatName val="0"/>
          <c:showSerName val="0"/>
          <c:showPercent val="0"/>
          <c:showBubbleSize val="0"/>
        </c:dLbls>
        <c:gapWidth val="103"/>
        <c:axId val="143828480"/>
        <c:axId val="143830016"/>
      </c:barChart>
      <c:catAx>
        <c:axId val="143828480"/>
        <c:scaling>
          <c:orientation val="minMax"/>
        </c:scaling>
        <c:delete val="0"/>
        <c:axPos val="b"/>
        <c:majorGridlines>
          <c:spPr>
            <a:ln>
              <a:solidFill>
                <a:schemeClr val="bg1">
                  <a:lumMod val="85000"/>
                </a:schemeClr>
              </a:solidFill>
            </a:ln>
          </c:spPr>
        </c:majorGridlines>
        <c:numFmt formatCode="General" sourceLinked="1"/>
        <c:majorTickMark val="out"/>
        <c:minorTickMark val="none"/>
        <c:tickLblPos val="nextTo"/>
        <c:crossAx val="143830016"/>
        <c:crosses val="autoZero"/>
        <c:auto val="1"/>
        <c:lblAlgn val="ctr"/>
        <c:lblOffset val="100"/>
        <c:noMultiLvlLbl val="0"/>
      </c:catAx>
      <c:valAx>
        <c:axId val="143830016"/>
        <c:scaling>
          <c:orientation val="minMax"/>
          <c:max val="16"/>
        </c:scaling>
        <c:delete val="0"/>
        <c:axPos val="l"/>
        <c:majorGridlines>
          <c:spPr>
            <a:ln>
              <a:solidFill>
                <a:schemeClr val="bg1">
                  <a:lumMod val="85000"/>
                </a:schemeClr>
              </a:solidFill>
              <a:prstDash val="solid"/>
            </a:ln>
          </c:spPr>
        </c:majorGridlines>
        <c:title>
          <c:tx>
            <c:rich>
              <a:bodyPr rot="-5400000" vert="horz"/>
              <a:lstStyle/>
              <a:p>
                <a:pPr>
                  <a:defRPr/>
                </a:pPr>
                <a:r>
                  <a:rPr lang="en-US"/>
                  <a:t>mld. Kč</a:t>
                </a:r>
              </a:p>
            </c:rich>
          </c:tx>
          <c:overlay val="0"/>
        </c:title>
        <c:numFmt formatCode="0" sourceLinked="0"/>
        <c:majorTickMark val="out"/>
        <c:minorTickMark val="none"/>
        <c:tickLblPos val="nextTo"/>
        <c:crossAx val="143828480"/>
        <c:crosses val="autoZero"/>
        <c:crossBetween val="between"/>
      </c:valAx>
      <c:spPr>
        <a:solidFill>
          <a:schemeClr val="bg1"/>
        </a:solidFill>
      </c:spPr>
    </c:plotArea>
    <c:legend>
      <c:legendPos val="t"/>
      <c:overlay val="0"/>
      <c:spPr>
        <a:solidFill>
          <a:schemeClr val="bg1"/>
        </a:solidFill>
      </c:spPr>
    </c:legend>
    <c:plotVisOnly val="1"/>
    <c:dispBlanksAs val="gap"/>
    <c:showDLblsOverMax val="0"/>
  </c:chart>
  <c:spPr>
    <a:ln>
      <a:noFill/>
    </a:ln>
  </c:spPr>
  <c:txPr>
    <a:bodyPr/>
    <a:lstStyle/>
    <a:p>
      <a:pPr>
        <a:defRPr sz="800" baseline="0">
          <a:latin typeface="Arial" panose="020B0604020202020204" pitchFamily="34" charset="0"/>
        </a:defRPr>
      </a:pPr>
      <a:endParaRPr lang="cs-CZ"/>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4685428566680748"/>
          <c:y val="0.10111733392480869"/>
          <c:w val="0.61635237947805677"/>
          <c:h val="0.76092627506068788"/>
        </c:manualLayout>
      </c:layout>
      <c:barChart>
        <c:barDir val="bar"/>
        <c:grouping val="stacked"/>
        <c:varyColors val="0"/>
        <c:ser>
          <c:idx val="0"/>
          <c:order val="0"/>
          <c:tx>
            <c:strRef>
              <c:f>'GRAF17_1-4'!$G$108</c:f>
              <c:strCache>
                <c:ptCount val="1"/>
                <c:pt idx="0">
                  <c:v>Institucionální</c:v>
                </c:pt>
              </c:strCache>
            </c:strRef>
          </c:tx>
          <c:spPr>
            <a:solidFill>
              <a:schemeClr val="accent5">
                <a:lumMod val="50000"/>
              </a:schemeClr>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FF73-45BA-AC8F-931EDA2C2482}"/>
                </c:ext>
              </c:extLst>
            </c:dLbl>
            <c:dLbl>
              <c:idx val="1"/>
              <c:delete val="1"/>
              <c:extLst>
                <c:ext xmlns:c15="http://schemas.microsoft.com/office/drawing/2012/chart" uri="{CE6537A1-D6FC-4f65-9D91-7224C49458BB}"/>
                <c:ext xmlns:c16="http://schemas.microsoft.com/office/drawing/2014/chart" uri="{C3380CC4-5D6E-409C-BE32-E72D297353CC}">
                  <c16:uniqueId val="{00000001-FF73-45BA-AC8F-931EDA2C2482}"/>
                </c:ext>
              </c:extLst>
            </c:dLbl>
            <c:dLbl>
              <c:idx val="2"/>
              <c:delete val="1"/>
              <c:extLst>
                <c:ext xmlns:c15="http://schemas.microsoft.com/office/drawing/2012/chart" uri="{CE6537A1-D6FC-4f65-9D91-7224C49458BB}"/>
                <c:ext xmlns:c16="http://schemas.microsoft.com/office/drawing/2014/chart" uri="{C3380CC4-5D6E-409C-BE32-E72D297353CC}">
                  <c16:uniqueId val="{00000002-FF73-45BA-AC8F-931EDA2C2482}"/>
                </c:ext>
              </c:extLst>
            </c:dLbl>
            <c:dLbl>
              <c:idx val="3"/>
              <c:delete val="1"/>
              <c:extLst>
                <c:ext xmlns:c15="http://schemas.microsoft.com/office/drawing/2012/chart" uri="{CE6537A1-D6FC-4f65-9D91-7224C49458BB}"/>
                <c:ext xmlns:c16="http://schemas.microsoft.com/office/drawing/2014/chart" uri="{C3380CC4-5D6E-409C-BE32-E72D297353CC}">
                  <c16:uniqueId val="{00000003-FF73-45BA-AC8F-931EDA2C2482}"/>
                </c:ext>
              </c:extLst>
            </c:dLbl>
            <c:dLbl>
              <c:idx val="4"/>
              <c:delete val="1"/>
              <c:extLst>
                <c:ext xmlns:c15="http://schemas.microsoft.com/office/drawing/2012/chart" uri="{CE6537A1-D6FC-4f65-9D91-7224C49458BB}"/>
                <c:ext xmlns:c16="http://schemas.microsoft.com/office/drawing/2014/chart" uri="{C3380CC4-5D6E-409C-BE32-E72D297353CC}">
                  <c16:uniqueId val="{00000004-FF73-45BA-AC8F-931EDA2C2482}"/>
                </c:ext>
              </c:extLst>
            </c:dLbl>
            <c:dLbl>
              <c:idx val="5"/>
              <c:delete val="1"/>
              <c:extLst>
                <c:ext xmlns:c15="http://schemas.microsoft.com/office/drawing/2012/chart" uri="{CE6537A1-D6FC-4f65-9D91-7224C49458BB}"/>
                <c:ext xmlns:c16="http://schemas.microsoft.com/office/drawing/2014/chart" uri="{C3380CC4-5D6E-409C-BE32-E72D297353CC}">
                  <c16:uniqueId val="{00000005-FF73-45BA-AC8F-931EDA2C2482}"/>
                </c:ext>
              </c:extLst>
            </c:dLbl>
            <c:dLbl>
              <c:idx val="7"/>
              <c:delete val="1"/>
              <c:extLst>
                <c:ext xmlns:c15="http://schemas.microsoft.com/office/drawing/2012/chart" uri="{CE6537A1-D6FC-4f65-9D91-7224C49458BB}"/>
                <c:ext xmlns:c16="http://schemas.microsoft.com/office/drawing/2014/chart" uri="{C3380CC4-5D6E-409C-BE32-E72D297353CC}">
                  <c16:uniqueId val="{00000006-FF73-45BA-AC8F-931EDA2C2482}"/>
                </c:ext>
              </c:extLst>
            </c:dLbl>
            <c:dLbl>
              <c:idx val="8"/>
              <c:delete val="1"/>
              <c:extLst>
                <c:ext xmlns:c15="http://schemas.microsoft.com/office/drawing/2012/chart" uri="{CE6537A1-D6FC-4f65-9D91-7224C49458BB}"/>
                <c:ext xmlns:c16="http://schemas.microsoft.com/office/drawing/2014/chart" uri="{C3380CC4-5D6E-409C-BE32-E72D297353CC}">
                  <c16:uniqueId val="{00000007-FF73-45BA-AC8F-931EDA2C2482}"/>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'GRAF17_1-4'!$F$109:$F$119</c:f>
              <c:strCache>
                <c:ptCount val="11"/>
                <c:pt idx="0">
                  <c:v>Ministerstvo životního prostředí (0,5%)</c:v>
                </c:pt>
                <c:pt idx="1">
                  <c:v>Ministerstvo kultury (1,2%)</c:v>
                </c:pt>
                <c:pt idx="2">
                  <c:v>Ministerstvo obrany (1,5%)</c:v>
                </c:pt>
                <c:pt idx="3">
                  <c:v>Ministerstvo vnitra (2,8%)</c:v>
                </c:pt>
                <c:pt idx="4">
                  <c:v>Ministerstvo zemědělství (3,6%)</c:v>
                </c:pt>
                <c:pt idx="5">
                  <c:v>Ministerstvo průmyslu a obchodu (5,1%)</c:v>
                </c:pt>
                <c:pt idx="6">
                  <c:v>Ministerstvo zdravotnictví (9,5%)</c:v>
                </c:pt>
                <c:pt idx="7">
                  <c:v>Technologická agentura ČR (9,5%)</c:v>
                </c:pt>
                <c:pt idx="8">
                  <c:v>Grantová agentura ČR (13,4%)</c:v>
                </c:pt>
                <c:pt idx="9">
                  <c:v>Akademie věd ČR (17,1%)</c:v>
                </c:pt>
                <c:pt idx="10">
                  <c:v>MŠMT (42,7%)</c:v>
                </c:pt>
              </c:strCache>
            </c:strRef>
          </c:cat>
          <c:val>
            <c:numRef>
              <c:f>'GRAF17_1-4'!$G$109:$G$119</c:f>
              <c:numCache>
                <c:formatCode>0.0</c:formatCode>
                <c:ptCount val="11"/>
                <c:pt idx="0">
                  <c:v>0.15323200000000001</c:v>
                </c:pt>
                <c:pt idx="1">
                  <c:v>0.10216400000000002</c:v>
                </c:pt>
                <c:pt idx="2">
                  <c:v>0.11194699999999991</c:v>
                </c:pt>
                <c:pt idx="3">
                  <c:v>5.3517000000000002E-2</c:v>
                </c:pt>
                <c:pt idx="4">
                  <c:v>0.44688399999999995</c:v>
                </c:pt>
                <c:pt idx="5">
                  <c:v>0.24465099999999998</c:v>
                </c:pt>
                <c:pt idx="6">
                  <c:v>0.59739100000000001</c:v>
                </c:pt>
                <c:pt idx="7">
                  <c:v>0.11077416999999999</c:v>
                </c:pt>
                <c:pt idx="8">
                  <c:v>8.5014659999999992E-2</c:v>
                </c:pt>
                <c:pt idx="9">
                  <c:v>5.2316600199999996</c:v>
                </c:pt>
                <c:pt idx="10">
                  <c:v>7.8718116875534383</c:v>
                </c:pt>
              </c:numCache>
            </c:numRef>
          </c:val>
          <c:extLst>
            <c:ext xmlns:c16="http://schemas.microsoft.com/office/drawing/2014/chart" uri="{C3380CC4-5D6E-409C-BE32-E72D297353CC}">
              <c16:uniqueId val="{00000008-FF73-45BA-AC8F-931EDA2C2482}"/>
            </c:ext>
          </c:extLst>
        </c:ser>
        <c:ser>
          <c:idx val="1"/>
          <c:order val="1"/>
          <c:tx>
            <c:strRef>
              <c:f>'GRAF17_1-4'!$H$108</c:f>
              <c:strCache>
                <c:ptCount val="1"/>
                <c:pt idx="0">
                  <c:v>Účelová</c:v>
                </c:pt>
              </c:strCache>
            </c:strRef>
          </c:tx>
          <c:spPr>
            <a:solidFill>
              <a:schemeClr val="accent5"/>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9-FF73-45BA-AC8F-931EDA2C2482}"/>
                </c:ext>
              </c:extLst>
            </c:dLbl>
            <c:dLbl>
              <c:idx val="1"/>
              <c:delete val="1"/>
              <c:extLst>
                <c:ext xmlns:c15="http://schemas.microsoft.com/office/drawing/2012/chart" uri="{CE6537A1-D6FC-4f65-9D91-7224C49458BB}"/>
                <c:ext xmlns:c16="http://schemas.microsoft.com/office/drawing/2014/chart" uri="{C3380CC4-5D6E-409C-BE32-E72D297353CC}">
                  <c16:uniqueId val="{0000000A-FF73-45BA-AC8F-931EDA2C2482}"/>
                </c:ext>
              </c:extLst>
            </c:dLbl>
            <c:dLbl>
              <c:idx val="2"/>
              <c:delete val="1"/>
              <c:extLst>
                <c:ext xmlns:c15="http://schemas.microsoft.com/office/drawing/2012/chart" uri="{CE6537A1-D6FC-4f65-9D91-7224C49458BB}"/>
                <c:ext xmlns:c16="http://schemas.microsoft.com/office/drawing/2014/chart" uri="{C3380CC4-5D6E-409C-BE32-E72D297353CC}">
                  <c16:uniqueId val="{0000000B-FF73-45BA-AC8F-931EDA2C2482}"/>
                </c:ext>
              </c:extLst>
            </c:dLbl>
            <c:dLbl>
              <c:idx val="3"/>
              <c:delete val="1"/>
              <c:extLst>
                <c:ext xmlns:c15="http://schemas.microsoft.com/office/drawing/2012/chart" uri="{CE6537A1-D6FC-4f65-9D91-7224C49458BB}"/>
                <c:ext xmlns:c16="http://schemas.microsoft.com/office/drawing/2014/chart" uri="{C3380CC4-5D6E-409C-BE32-E72D297353CC}">
                  <c16:uniqueId val="{0000000C-FF73-45BA-AC8F-931EDA2C2482}"/>
                </c:ext>
              </c:extLst>
            </c:dLbl>
            <c:dLbl>
              <c:idx val="4"/>
              <c:delete val="1"/>
              <c:extLst>
                <c:ext xmlns:c15="http://schemas.microsoft.com/office/drawing/2012/chart" uri="{CE6537A1-D6FC-4f65-9D91-7224C49458BB}"/>
                <c:ext xmlns:c16="http://schemas.microsoft.com/office/drawing/2014/chart" uri="{C3380CC4-5D6E-409C-BE32-E72D297353CC}">
                  <c16:uniqueId val="{0000000D-FF73-45BA-AC8F-931EDA2C2482}"/>
                </c:ext>
              </c:extLst>
            </c:dLbl>
            <c:dLbl>
              <c:idx val="5"/>
              <c:delete val="1"/>
              <c:extLst>
                <c:ext xmlns:c15="http://schemas.microsoft.com/office/drawing/2012/chart" uri="{CE6537A1-D6FC-4f65-9D91-7224C49458BB}"/>
                <c:ext xmlns:c16="http://schemas.microsoft.com/office/drawing/2014/chart" uri="{C3380CC4-5D6E-409C-BE32-E72D297353CC}">
                  <c16:uniqueId val="{0000000E-FF73-45BA-AC8F-931EDA2C2482}"/>
                </c:ext>
              </c:extLst>
            </c:dLbl>
            <c:dLbl>
              <c:idx val="9"/>
              <c:delete val="1"/>
              <c:extLst>
                <c:ext xmlns:c15="http://schemas.microsoft.com/office/drawing/2012/chart" uri="{CE6537A1-D6FC-4f65-9D91-7224C49458BB}"/>
                <c:ext xmlns:c16="http://schemas.microsoft.com/office/drawing/2014/chart" uri="{C3380CC4-5D6E-409C-BE32-E72D297353CC}">
                  <c16:uniqueId val="{0000000F-FF73-45BA-AC8F-931EDA2C2482}"/>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'GRAF17_1-4'!$F$109:$F$119</c:f>
              <c:strCache>
                <c:ptCount val="11"/>
                <c:pt idx="0">
                  <c:v>Ministerstvo životního prostředí (0,5%)</c:v>
                </c:pt>
                <c:pt idx="1">
                  <c:v>Ministerstvo kultury (1,2%)</c:v>
                </c:pt>
                <c:pt idx="2">
                  <c:v>Ministerstvo obrany (1,5%)</c:v>
                </c:pt>
                <c:pt idx="3">
                  <c:v>Ministerstvo vnitra (2,8%)</c:v>
                </c:pt>
                <c:pt idx="4">
                  <c:v>Ministerstvo zemědělství (3,6%)</c:v>
                </c:pt>
                <c:pt idx="5">
                  <c:v>Ministerstvo průmyslu a obchodu (5,1%)</c:v>
                </c:pt>
                <c:pt idx="6">
                  <c:v>Ministerstvo zdravotnictví (9,5%)</c:v>
                </c:pt>
                <c:pt idx="7">
                  <c:v>Technologická agentura ČR (9,5%)</c:v>
                </c:pt>
                <c:pt idx="8">
                  <c:v>Grantová agentura ČR (13,4%)</c:v>
                </c:pt>
                <c:pt idx="9">
                  <c:v>Akademie věd ČR (17,1%)</c:v>
                </c:pt>
                <c:pt idx="10">
                  <c:v>MŠMT (42,7%)</c:v>
                </c:pt>
              </c:strCache>
            </c:strRef>
          </c:cat>
          <c:val>
            <c:numRef>
              <c:f>'GRAF17_1-4'!$H$109:$H$119</c:f>
              <c:numCache>
                <c:formatCode>0.0</c:formatCode>
                <c:ptCount val="11"/>
                <c:pt idx="0">
                  <c:v>0</c:v>
                </c:pt>
                <c:pt idx="1">
                  <c:v>0.27876100000000004</c:v>
                </c:pt>
                <c:pt idx="2">
                  <c:v>0.34417399999999981</c:v>
                </c:pt>
                <c:pt idx="3">
                  <c:v>0.61223200000000022</c:v>
                </c:pt>
                <c:pt idx="4">
                  <c:v>0.42540200000000039</c:v>
                </c:pt>
                <c:pt idx="5">
                  <c:v>0.84570300000000009</c:v>
                </c:pt>
                <c:pt idx="6">
                  <c:v>0.96026499999999881</c:v>
                </c:pt>
                <c:pt idx="7">
                  <c:v>2.816360999999997</c:v>
                </c:pt>
                <c:pt idx="8">
                  <c:v>4.0195680000000067</c:v>
                </c:pt>
                <c:pt idx="9">
                  <c:v>0</c:v>
                </c:pt>
                <c:pt idx="10">
                  <c:v>5.2301573940899804</c:v>
                </c:pt>
              </c:numCache>
            </c:numRef>
          </c:val>
          <c:extLst>
            <c:ext xmlns:c16="http://schemas.microsoft.com/office/drawing/2014/chart" uri="{C3380CC4-5D6E-409C-BE32-E72D297353CC}">
              <c16:uniqueId val="{00000010-FF73-45BA-AC8F-931EDA2C2482}"/>
            </c:ext>
          </c:extLst>
        </c:ser>
        <c:dLbls>
          <c:showLegendKey val="0"/>
          <c:showVal val="0"/>
          <c:showCatName val="0"/>
          <c:showSerName val="0"/>
          <c:showPercent val="0"/>
          <c:showBubbleSize val="0"/>
        </c:dLbls>
        <c:gapWidth val="100"/>
        <c:overlap val="100"/>
        <c:axId val="62900864"/>
        <c:axId val="62902656"/>
      </c:barChart>
      <c:catAx>
        <c:axId val="62900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62902656"/>
        <c:crosses val="autoZero"/>
        <c:auto val="1"/>
        <c:lblAlgn val="ctr"/>
        <c:lblOffset val="100"/>
        <c:noMultiLvlLbl val="0"/>
      </c:catAx>
      <c:valAx>
        <c:axId val="62902656"/>
        <c:scaling>
          <c:orientation val="minMax"/>
          <c:max val="14"/>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M</a:t>
                </a:r>
                <a:r>
                  <a:rPr lang="cs-CZ"/>
                  <a:t>ld. Kč</a:t>
                </a:r>
                <a:endParaRPr lang="en-US"/>
              </a:p>
            </c:rich>
          </c:tx>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title>
        <c:numFmt formatCode="#\ ##0" sourceLinked="0"/>
        <c:majorTickMark val="out"/>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62900864"/>
        <c:crosses val="autoZero"/>
        <c:crossBetween val="between"/>
        <c:majorUnit val="1"/>
      </c:valAx>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latin typeface="Arial" panose="020B0604020202020204" pitchFamily="34" charset="0"/>
          <a:cs typeface="Arial" panose="020B0604020202020204" pitchFamily="34" charset="0"/>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954211169148413"/>
          <c:y val="7.1895424836601302E-2"/>
          <c:w val="0.77845300278059304"/>
          <c:h val="0.82835520559930009"/>
        </c:manualLayout>
      </c:layout>
      <c:barChart>
        <c:barDir val="bar"/>
        <c:grouping val="stacked"/>
        <c:varyColors val="0"/>
        <c:ser>
          <c:idx val="0"/>
          <c:order val="0"/>
          <c:tx>
            <c:strRef>
              <c:f>'GRAF17_1-4'!$J$131</c:f>
              <c:strCache>
                <c:ptCount val="1"/>
                <c:pt idx="0">
                  <c:v>Institucionální</c:v>
                </c:pt>
              </c:strCache>
            </c:strRef>
          </c:tx>
          <c:spPr>
            <a:solidFill>
              <a:schemeClr val="accent5">
                <a:lumMod val="50000"/>
              </a:schemeClr>
            </a:solidFill>
            <a:ln>
              <a:noFill/>
            </a:ln>
            <a:effectLst/>
          </c:spPr>
          <c:invertIfNegative val="0"/>
          <c:dLbls>
            <c:dLbl>
              <c:idx val="1"/>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2AD-4348-A07C-A6F4D5B4DFFA}"/>
                </c:ext>
              </c:extLst>
            </c:dLbl>
            <c:dLbl>
              <c:idx val="2"/>
              <c:delete val="1"/>
              <c:extLst>
                <c:ext xmlns:c15="http://schemas.microsoft.com/office/drawing/2012/chart" uri="{CE6537A1-D6FC-4f65-9D91-7224C49458BB}"/>
                <c:ext xmlns:c16="http://schemas.microsoft.com/office/drawing/2014/chart" uri="{C3380CC4-5D6E-409C-BE32-E72D297353CC}">
                  <c16:uniqueId val="{00000001-32AD-4348-A07C-A6F4D5B4DFFA}"/>
                </c:ext>
              </c:extLst>
            </c:dLbl>
            <c:dLbl>
              <c:idx val="3"/>
              <c:delete val="1"/>
              <c:extLst>
                <c:ext xmlns:c15="http://schemas.microsoft.com/office/drawing/2012/chart" uri="{CE6537A1-D6FC-4f65-9D91-7224C49458BB}"/>
                <c:ext xmlns:c16="http://schemas.microsoft.com/office/drawing/2014/chart" uri="{C3380CC4-5D6E-409C-BE32-E72D297353CC}">
                  <c16:uniqueId val="{00000002-32AD-4348-A07C-A6F4D5B4DFFA}"/>
                </c:ext>
              </c:extLst>
            </c:dLbl>
            <c:spPr>
              <a:noFill/>
              <a:ln>
                <a:noFill/>
              </a:ln>
              <a:effectLst/>
            </c:spPr>
            <c:txPr>
              <a:bodyPr/>
              <a:lstStyle/>
              <a:p>
                <a:pPr>
                  <a:defRPr>
                    <a:solidFill>
                      <a:schemeClr val="bg1"/>
                    </a:solidFill>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'GRAF17_1-4'!$I$132:$I$137</c:f>
              <c:strCache>
                <c:ptCount val="6"/>
                <c:pt idx="0">
                  <c:v>MŽP</c:v>
                </c:pt>
                <c:pt idx="1">
                  <c:v>MK</c:v>
                </c:pt>
                <c:pt idx="2">
                  <c:v>MO</c:v>
                </c:pt>
                <c:pt idx="3">
                  <c:v>MV</c:v>
                </c:pt>
                <c:pt idx="4">
                  <c:v>MZe</c:v>
                </c:pt>
                <c:pt idx="5">
                  <c:v>MPO</c:v>
                </c:pt>
              </c:strCache>
            </c:strRef>
          </c:cat>
          <c:val>
            <c:numRef>
              <c:f>'GRAF17_1-4'!$J$132:$J$137</c:f>
              <c:numCache>
                <c:formatCode>0.00</c:formatCode>
                <c:ptCount val="6"/>
                <c:pt idx="0">
                  <c:v>0.15323200000000001</c:v>
                </c:pt>
                <c:pt idx="1">
                  <c:v>0.10216400000000002</c:v>
                </c:pt>
                <c:pt idx="2">
                  <c:v>0.11194699999999991</c:v>
                </c:pt>
                <c:pt idx="3">
                  <c:v>5.3517000000000002E-2</c:v>
                </c:pt>
                <c:pt idx="4">
                  <c:v>0.44688399999999995</c:v>
                </c:pt>
                <c:pt idx="5">
                  <c:v>0.24465099999999998</c:v>
                </c:pt>
              </c:numCache>
            </c:numRef>
          </c:val>
          <c:extLst>
            <c:ext xmlns:c16="http://schemas.microsoft.com/office/drawing/2014/chart" uri="{C3380CC4-5D6E-409C-BE32-E72D297353CC}">
              <c16:uniqueId val="{00000003-32AD-4348-A07C-A6F4D5B4DFFA}"/>
            </c:ext>
          </c:extLst>
        </c:ser>
        <c:ser>
          <c:idx val="1"/>
          <c:order val="1"/>
          <c:tx>
            <c:strRef>
              <c:f>'GRAF17_1-4'!$K$131</c:f>
              <c:strCache>
                <c:ptCount val="1"/>
                <c:pt idx="0">
                  <c:v>Účelová</c:v>
                </c:pt>
              </c:strCache>
            </c:strRef>
          </c:tx>
          <c:spPr>
            <a:solidFill>
              <a:schemeClr val="accent5"/>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4-32AD-4348-A07C-A6F4D5B4DFFA}"/>
                </c:ext>
              </c:extLst>
            </c:dLbl>
            <c:spPr>
              <a:noFill/>
              <a:ln>
                <a:noFill/>
              </a:ln>
              <a:effectLst/>
            </c:spPr>
            <c:txPr>
              <a:bodyPr/>
              <a:lstStyle/>
              <a:p>
                <a:pPr>
                  <a:defRPr>
                    <a:solidFill>
                      <a:schemeClr val="bg1"/>
                    </a:solidFill>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'GRAF17_1-4'!$I$132:$I$137</c:f>
              <c:strCache>
                <c:ptCount val="6"/>
                <c:pt idx="0">
                  <c:v>MŽP</c:v>
                </c:pt>
                <c:pt idx="1">
                  <c:v>MK</c:v>
                </c:pt>
                <c:pt idx="2">
                  <c:v>MO</c:v>
                </c:pt>
                <c:pt idx="3">
                  <c:v>MV</c:v>
                </c:pt>
                <c:pt idx="4">
                  <c:v>MZe</c:v>
                </c:pt>
                <c:pt idx="5">
                  <c:v>MPO</c:v>
                </c:pt>
              </c:strCache>
            </c:strRef>
          </c:cat>
          <c:val>
            <c:numRef>
              <c:f>'GRAF17_1-4'!$K$132:$K$137</c:f>
              <c:numCache>
                <c:formatCode>0.00</c:formatCode>
                <c:ptCount val="6"/>
                <c:pt idx="0">
                  <c:v>0</c:v>
                </c:pt>
                <c:pt idx="1">
                  <c:v>0.27876100000000004</c:v>
                </c:pt>
                <c:pt idx="2">
                  <c:v>0.34417399999999981</c:v>
                </c:pt>
                <c:pt idx="3">
                  <c:v>0.61223200000000022</c:v>
                </c:pt>
                <c:pt idx="4">
                  <c:v>0.42540200000000039</c:v>
                </c:pt>
                <c:pt idx="5">
                  <c:v>0.84570300000000009</c:v>
                </c:pt>
              </c:numCache>
            </c:numRef>
          </c:val>
          <c:extLst>
            <c:ext xmlns:c16="http://schemas.microsoft.com/office/drawing/2014/chart" uri="{C3380CC4-5D6E-409C-BE32-E72D297353CC}">
              <c16:uniqueId val="{00000005-32AD-4348-A07C-A6F4D5B4DFFA}"/>
            </c:ext>
          </c:extLst>
        </c:ser>
        <c:dLbls>
          <c:showLegendKey val="0"/>
          <c:showVal val="0"/>
          <c:showCatName val="0"/>
          <c:showSerName val="0"/>
          <c:showPercent val="0"/>
          <c:showBubbleSize val="0"/>
        </c:dLbls>
        <c:gapWidth val="100"/>
        <c:overlap val="100"/>
        <c:axId val="62949632"/>
        <c:axId val="62951424"/>
      </c:barChart>
      <c:catAx>
        <c:axId val="62949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62951424"/>
        <c:crosses val="autoZero"/>
        <c:auto val="1"/>
        <c:lblAlgn val="ctr"/>
        <c:lblOffset val="100"/>
        <c:noMultiLvlLbl val="0"/>
      </c:catAx>
      <c:valAx>
        <c:axId val="62951424"/>
        <c:scaling>
          <c:orientation val="minMax"/>
          <c:max val="1.25"/>
          <c:min val="0"/>
        </c:scaling>
        <c:delete val="0"/>
        <c:axPos val="b"/>
        <c:majorGridlines>
          <c:spPr>
            <a:ln w="9525" cap="flat" cmpd="sng" algn="ctr">
              <a:solidFill>
                <a:schemeClr val="tx1">
                  <a:lumMod val="15000"/>
                  <a:lumOff val="85000"/>
                </a:schemeClr>
              </a:solidFill>
              <a:round/>
            </a:ln>
            <a:effectLst/>
          </c:spPr>
        </c:majorGridlines>
        <c:numFmt formatCode="#,##0.00" sourceLinked="0"/>
        <c:majorTickMark val="out"/>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62949632"/>
        <c:crosses val="autoZero"/>
        <c:crossBetween val="between"/>
        <c:majorUnit val="0.25"/>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latin typeface="Arial" panose="020B0604020202020204" pitchFamily="34" charset="0"/>
          <a:cs typeface="Arial" panose="020B0604020202020204" pitchFamily="34" charset="0"/>
        </a:defRPr>
      </a:pPr>
      <a:endParaRPr lang="cs-CZ"/>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375604901960785"/>
          <c:y val="0.10452383812447359"/>
          <c:w val="0.56502321268415734"/>
          <c:h val="0.75562639028212963"/>
        </c:manualLayout>
      </c:layout>
      <c:barChart>
        <c:barDir val="bar"/>
        <c:grouping val="stacked"/>
        <c:varyColors val="0"/>
        <c:ser>
          <c:idx val="0"/>
          <c:order val="0"/>
          <c:tx>
            <c:strRef>
              <c:f>'GRAF17_1-5'!$B$95</c:f>
              <c:strCache>
                <c:ptCount val="1"/>
                <c:pt idx="0">
                  <c:v>Institucionální</c:v>
                </c:pt>
              </c:strCache>
            </c:strRef>
          </c:tx>
          <c:spPr>
            <a:solidFill>
              <a:schemeClr val="accent5">
                <a:lumMod val="50000"/>
              </a:schemeClr>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6030-4B46-867C-3B82AF246085}"/>
                </c:ext>
              </c:extLst>
            </c:dLbl>
            <c:dLbl>
              <c:idx val="1"/>
              <c:delete val="1"/>
              <c:extLst>
                <c:ext xmlns:c15="http://schemas.microsoft.com/office/drawing/2012/chart" uri="{CE6537A1-D6FC-4f65-9D91-7224C49458BB}"/>
                <c:ext xmlns:c16="http://schemas.microsoft.com/office/drawing/2014/chart" uri="{C3380CC4-5D6E-409C-BE32-E72D297353CC}">
                  <c16:uniqueId val="{00000001-6030-4B46-867C-3B82AF246085}"/>
                </c:ext>
              </c:extLst>
            </c:dLbl>
            <c:dLbl>
              <c:idx val="2"/>
              <c:delete val="1"/>
              <c:extLst>
                <c:ext xmlns:c15="http://schemas.microsoft.com/office/drawing/2012/chart" uri="{CE6537A1-D6FC-4f65-9D91-7224C49458BB}"/>
                <c:ext xmlns:c16="http://schemas.microsoft.com/office/drawing/2014/chart" uri="{C3380CC4-5D6E-409C-BE32-E72D297353CC}">
                  <c16:uniqueId val="{00000002-6030-4B46-867C-3B82AF246085}"/>
                </c:ext>
              </c:extLst>
            </c:dLbl>
            <c:dLbl>
              <c:idx val="3"/>
              <c:delete val="1"/>
              <c:extLst>
                <c:ext xmlns:c15="http://schemas.microsoft.com/office/drawing/2012/chart" uri="{CE6537A1-D6FC-4f65-9D91-7224C49458BB}"/>
                <c:ext xmlns:c16="http://schemas.microsoft.com/office/drawing/2014/chart" uri="{C3380CC4-5D6E-409C-BE32-E72D297353CC}">
                  <c16:uniqueId val="{00000003-6030-4B46-867C-3B82AF246085}"/>
                </c:ext>
              </c:extLst>
            </c:dLbl>
            <c:dLbl>
              <c:idx val="4"/>
              <c:delete val="1"/>
              <c:extLst>
                <c:ext xmlns:c15="http://schemas.microsoft.com/office/drawing/2012/chart" uri="{CE6537A1-D6FC-4f65-9D91-7224C49458BB}"/>
                <c:ext xmlns:c16="http://schemas.microsoft.com/office/drawing/2014/chart" uri="{C3380CC4-5D6E-409C-BE32-E72D297353CC}">
                  <c16:uniqueId val="{00000004-6030-4B46-867C-3B82AF246085}"/>
                </c:ext>
              </c:extLst>
            </c:dLbl>
            <c:dLbl>
              <c:idx val="5"/>
              <c:layout>
                <c:manualLayout>
                  <c:x val="8.3059072168033075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030-4B46-867C-3B82AF246085}"/>
                </c:ext>
              </c:extLst>
            </c:dLbl>
            <c:spPr>
              <a:noFill/>
              <a:ln>
                <a:noFill/>
              </a:ln>
              <a:effectLst/>
            </c:spPr>
            <c:txPr>
              <a:bodyPr/>
              <a:lstStyle/>
              <a:p>
                <a:pPr>
                  <a:defRPr>
                    <a:solidFill>
                      <a:schemeClr val="bg1"/>
                    </a:solidFill>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'GRAF17_1-5'!$A$96:$A$103</c:f>
              <c:strCache>
                <c:ptCount val="8"/>
                <c:pt idx="0">
                  <c:v>Ostatní (0,6%)</c:v>
                </c:pt>
                <c:pt idx="1">
                  <c:v>Veřejné podniky (2,9%)</c:v>
                </c:pt>
                <c:pt idx="2">
                  <c:v>Zahraniční subjekty (2,9%)</c:v>
                </c:pt>
                <c:pt idx="3">
                  <c:v>Ostatní vládní a veřejné organizace (4%)</c:v>
                </c:pt>
                <c:pt idx="4">
                  <c:v>Fakultní nemocnice a ostatní veřejná zdravotnická zařízení (4,5%)</c:v>
                </c:pt>
                <c:pt idx="5">
                  <c:v>Soukromé podniky (9,9%)</c:v>
                </c:pt>
                <c:pt idx="6">
                  <c:v>Veřejné výzkumné instituce (32,1%)</c:v>
                </c:pt>
                <c:pt idx="7">
                  <c:v>Veřejné a státní vysoké školy (43,1%)</c:v>
                </c:pt>
              </c:strCache>
            </c:strRef>
          </c:cat>
          <c:val>
            <c:numRef>
              <c:f>'GRAF17_1-5'!$B$96:$B$103</c:f>
              <c:numCache>
                <c:formatCode>#,##0.0</c:formatCode>
                <c:ptCount val="8"/>
                <c:pt idx="0">
                  <c:v>2.3198000000003959E-2</c:v>
                </c:pt>
                <c:pt idx="1">
                  <c:v>9.7387000000000001E-2</c:v>
                </c:pt>
                <c:pt idx="2">
                  <c:v>0.86788658699999988</c:v>
                </c:pt>
                <c:pt idx="3">
                  <c:v>0.54854082999999987</c:v>
                </c:pt>
                <c:pt idx="4">
                  <c:v>0.58894000000000002</c:v>
                </c:pt>
                <c:pt idx="5">
                  <c:v>0.252189</c:v>
                </c:pt>
                <c:pt idx="6">
                  <c:v>5.6911630199999994</c:v>
                </c:pt>
                <c:pt idx="7">
                  <c:v>7.0513821005534378</c:v>
                </c:pt>
              </c:numCache>
            </c:numRef>
          </c:val>
          <c:extLst>
            <c:ext xmlns:c16="http://schemas.microsoft.com/office/drawing/2014/chart" uri="{C3380CC4-5D6E-409C-BE32-E72D297353CC}">
              <c16:uniqueId val="{00000000-3AEE-4735-9EB9-AA69224D05D3}"/>
            </c:ext>
          </c:extLst>
        </c:ser>
        <c:ser>
          <c:idx val="1"/>
          <c:order val="1"/>
          <c:tx>
            <c:strRef>
              <c:f>'GRAF17_1-5'!$C$95</c:f>
              <c:strCache>
                <c:ptCount val="1"/>
                <c:pt idx="0">
                  <c:v>Účelová</c:v>
                </c:pt>
              </c:strCache>
            </c:strRef>
          </c:tx>
          <c:spPr>
            <a:solidFill>
              <a:schemeClr val="accent5"/>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6030-4B46-867C-3B82AF246085}"/>
                </c:ext>
              </c:extLst>
            </c:dLbl>
            <c:dLbl>
              <c:idx val="1"/>
              <c:delete val="1"/>
              <c:extLst>
                <c:ext xmlns:c15="http://schemas.microsoft.com/office/drawing/2012/chart" uri="{CE6537A1-D6FC-4f65-9D91-7224C49458BB}"/>
                <c:ext xmlns:c16="http://schemas.microsoft.com/office/drawing/2014/chart" uri="{C3380CC4-5D6E-409C-BE32-E72D297353CC}">
                  <c16:uniqueId val="{00000007-6030-4B46-867C-3B82AF246085}"/>
                </c:ext>
              </c:extLst>
            </c:dLbl>
            <c:dLbl>
              <c:idx val="2"/>
              <c:delete val="1"/>
              <c:extLst>
                <c:ext xmlns:c15="http://schemas.microsoft.com/office/drawing/2012/chart" uri="{CE6537A1-D6FC-4f65-9D91-7224C49458BB}"/>
                <c:ext xmlns:c16="http://schemas.microsoft.com/office/drawing/2014/chart" uri="{C3380CC4-5D6E-409C-BE32-E72D297353CC}">
                  <c16:uniqueId val="{00000008-6030-4B46-867C-3B82AF246085}"/>
                </c:ext>
              </c:extLst>
            </c:dLbl>
            <c:dLbl>
              <c:idx val="3"/>
              <c:delete val="1"/>
              <c:extLst>
                <c:ext xmlns:c15="http://schemas.microsoft.com/office/drawing/2012/chart" uri="{CE6537A1-D6FC-4f65-9D91-7224C49458BB}"/>
                <c:ext xmlns:c16="http://schemas.microsoft.com/office/drawing/2014/chart" uri="{C3380CC4-5D6E-409C-BE32-E72D297353CC}">
                  <c16:uniqueId val="{00000009-6030-4B46-867C-3B82AF246085}"/>
                </c:ext>
              </c:extLst>
            </c:dLbl>
            <c:dLbl>
              <c:idx val="4"/>
              <c:delete val="1"/>
              <c:extLst>
                <c:ext xmlns:c15="http://schemas.microsoft.com/office/drawing/2012/chart" uri="{CE6537A1-D6FC-4f65-9D91-7224C49458BB}"/>
                <c:ext xmlns:c16="http://schemas.microsoft.com/office/drawing/2014/chart" uri="{C3380CC4-5D6E-409C-BE32-E72D297353CC}">
                  <c16:uniqueId val="{0000000A-6030-4B46-867C-3B82AF246085}"/>
                </c:ext>
              </c:extLst>
            </c:dLbl>
            <c:spPr>
              <a:noFill/>
              <a:ln>
                <a:noFill/>
              </a:ln>
              <a:effectLst/>
            </c:spPr>
            <c:txPr>
              <a:bodyPr/>
              <a:lstStyle/>
              <a:p>
                <a:pPr>
                  <a:defRPr>
                    <a:solidFill>
                      <a:sysClr val="windowText" lastClr="000000"/>
                    </a:solidFill>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'GRAF17_1-5'!$A$96:$A$103</c:f>
              <c:strCache>
                <c:ptCount val="8"/>
                <c:pt idx="0">
                  <c:v>Ostatní (0,6%)</c:v>
                </c:pt>
                <c:pt idx="1">
                  <c:v>Veřejné podniky (2,9%)</c:v>
                </c:pt>
                <c:pt idx="2">
                  <c:v>Zahraniční subjekty (2,9%)</c:v>
                </c:pt>
                <c:pt idx="3">
                  <c:v>Ostatní vládní a veřejné organizace (4%)</c:v>
                </c:pt>
                <c:pt idx="4">
                  <c:v>Fakultní nemocnice a ostatní veřejná zdravotnická zařízení (4,5%)</c:v>
                </c:pt>
                <c:pt idx="5">
                  <c:v>Soukromé podniky (9,9%)</c:v>
                </c:pt>
                <c:pt idx="6">
                  <c:v>Veřejné výzkumné instituce (32,1%)</c:v>
                </c:pt>
                <c:pt idx="7">
                  <c:v>Veřejné a státní vysoké školy (43,1%)</c:v>
                </c:pt>
              </c:strCache>
            </c:strRef>
          </c:cat>
          <c:val>
            <c:numRef>
              <c:f>'GRAF17_1-5'!$C$96:$C$103</c:f>
              <c:numCache>
                <c:formatCode>#,##0.0</c:formatCode>
                <c:ptCount val="8"/>
                <c:pt idx="0">
                  <c:v>0.15335399999999572</c:v>
                </c:pt>
                <c:pt idx="1">
                  <c:v>0.79430505842000032</c:v>
                </c:pt>
                <c:pt idx="2">
                  <c:v>1.9542E-2</c:v>
                </c:pt>
                <c:pt idx="3">
                  <c:v>0.68491900000000028</c:v>
                </c:pt>
                <c:pt idx="4">
                  <c:v>0.78736600000000023</c:v>
                </c:pt>
                <c:pt idx="5">
                  <c:v>2.7876576188400035</c:v>
                </c:pt>
                <c:pt idx="6">
                  <c:v>4.1489922606299903</c:v>
                </c:pt>
                <c:pt idx="7">
                  <c:v>6.1564874561999892</c:v>
                </c:pt>
              </c:numCache>
            </c:numRef>
          </c:val>
          <c:extLst>
            <c:ext xmlns:c16="http://schemas.microsoft.com/office/drawing/2014/chart" uri="{C3380CC4-5D6E-409C-BE32-E72D297353CC}">
              <c16:uniqueId val="{00000001-3AEE-4735-9EB9-AA69224D05D3}"/>
            </c:ext>
          </c:extLst>
        </c:ser>
        <c:dLbls>
          <c:showLegendKey val="0"/>
          <c:showVal val="0"/>
          <c:showCatName val="0"/>
          <c:showSerName val="0"/>
          <c:showPercent val="0"/>
          <c:showBubbleSize val="0"/>
        </c:dLbls>
        <c:gapWidth val="100"/>
        <c:overlap val="100"/>
        <c:axId val="145261312"/>
        <c:axId val="145262848"/>
      </c:barChart>
      <c:catAx>
        <c:axId val="145261312"/>
        <c:scaling>
          <c:orientation val="minMax"/>
        </c:scaling>
        <c:delete val="0"/>
        <c:axPos val="l"/>
        <c:majorGridlines>
          <c:spPr>
            <a:ln>
              <a:solidFill>
                <a:schemeClr val="bg1">
                  <a:lumMod val="85000"/>
                </a:schemeClr>
              </a:solidFill>
            </a:ln>
          </c:spPr>
        </c:majorGridlines>
        <c:numFmt formatCode="General" sourceLinked="0"/>
        <c:majorTickMark val="out"/>
        <c:minorTickMark val="none"/>
        <c:tickLblPos val="nextTo"/>
        <c:crossAx val="145262848"/>
        <c:crosses val="autoZero"/>
        <c:auto val="1"/>
        <c:lblAlgn val="ctr"/>
        <c:lblOffset val="100"/>
        <c:noMultiLvlLbl val="0"/>
      </c:catAx>
      <c:valAx>
        <c:axId val="145262848"/>
        <c:scaling>
          <c:orientation val="minMax"/>
          <c:max val="14"/>
          <c:min val="0"/>
        </c:scaling>
        <c:delete val="0"/>
        <c:axPos val="b"/>
        <c:majorGridlines>
          <c:spPr>
            <a:ln>
              <a:solidFill>
                <a:schemeClr val="bg1">
                  <a:lumMod val="85000"/>
                </a:schemeClr>
              </a:solidFill>
            </a:ln>
          </c:spPr>
        </c:majorGridlines>
        <c:title>
          <c:tx>
            <c:rich>
              <a:bodyPr/>
              <a:lstStyle/>
              <a:p>
                <a:pPr>
                  <a:defRPr b="0"/>
                </a:pPr>
                <a:r>
                  <a:rPr lang="cs-CZ" b="0"/>
                  <a:t>Mld. Kč</a:t>
                </a:r>
              </a:p>
            </c:rich>
          </c:tx>
          <c:overlay val="0"/>
        </c:title>
        <c:numFmt formatCode="#,##0" sourceLinked="0"/>
        <c:majorTickMark val="out"/>
        <c:minorTickMark val="none"/>
        <c:tickLblPos val="nextTo"/>
        <c:spPr>
          <a:ln>
            <a:solidFill>
              <a:schemeClr val="tx1">
                <a:lumMod val="50000"/>
                <a:lumOff val="50000"/>
              </a:schemeClr>
            </a:solidFill>
          </a:ln>
        </c:spPr>
        <c:crossAx val="145261312"/>
        <c:crosses val="autoZero"/>
        <c:crossBetween val="between"/>
        <c:majorUnit val="1"/>
      </c:valAx>
      <c:spPr>
        <a:solidFill>
          <a:schemeClr val="bg1"/>
        </a:solidFill>
      </c:spPr>
    </c:plotArea>
    <c:legend>
      <c:legendPos val="t"/>
      <c:overlay val="0"/>
      <c:spPr>
        <a:noFill/>
      </c:spPr>
    </c:legend>
    <c:plotVisOnly val="1"/>
    <c:dispBlanksAs val="zero"/>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375604901960785"/>
          <c:y val="0.10452383812447359"/>
          <c:w val="0.56502321268415734"/>
          <c:h val="0.8015356275165898"/>
        </c:manualLayout>
      </c:layout>
      <c:barChart>
        <c:barDir val="bar"/>
        <c:grouping val="stacked"/>
        <c:varyColors val="0"/>
        <c:ser>
          <c:idx val="0"/>
          <c:order val="0"/>
          <c:tx>
            <c:strRef>
              <c:f>'GRAF17_1-5'!$S$111</c:f>
              <c:strCache>
                <c:ptCount val="1"/>
                <c:pt idx="0">
                  <c:v>Institucionální</c:v>
                </c:pt>
              </c:strCache>
            </c:strRef>
          </c:tx>
          <c:spPr>
            <a:solidFill>
              <a:schemeClr val="accent5">
                <a:lumMod val="50000"/>
              </a:schemeClr>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C604-4F77-9E00-E660D90B6F3D}"/>
                </c:ext>
              </c:extLst>
            </c:dLbl>
            <c:spPr>
              <a:noFill/>
              <a:ln>
                <a:noFill/>
              </a:ln>
              <a:effectLst/>
            </c:spPr>
            <c:txPr>
              <a:bodyPr/>
              <a:lstStyle/>
              <a:p>
                <a:pPr>
                  <a:defRPr>
                    <a:solidFill>
                      <a:schemeClr val="bg1"/>
                    </a:solidFill>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'GRAF17_1-5'!$R$112:$R$116</c:f>
              <c:strCache>
                <c:ptCount val="5"/>
                <c:pt idx="0">
                  <c:v>Ostatní (0,6%)</c:v>
                </c:pt>
                <c:pt idx="1">
                  <c:v>Veřejné podniky (2,9%)</c:v>
                </c:pt>
                <c:pt idx="2">
                  <c:v>Zahraniční subjekty (2,9%)</c:v>
                </c:pt>
                <c:pt idx="3">
                  <c:v>Ostatní vládní a veřejné org. (4%)</c:v>
                </c:pt>
                <c:pt idx="4">
                  <c:v>FN a ostatní veřejná zdrav. zařízení (4,5%)</c:v>
                </c:pt>
              </c:strCache>
            </c:strRef>
          </c:cat>
          <c:val>
            <c:numRef>
              <c:f>'GRAF17_1-5'!$S$112:$S$116</c:f>
              <c:numCache>
                <c:formatCode>0.0</c:formatCode>
                <c:ptCount val="5"/>
                <c:pt idx="0">
                  <c:v>2.3198000000003959E-2</c:v>
                </c:pt>
                <c:pt idx="1">
                  <c:v>9.7387000000000001E-2</c:v>
                </c:pt>
                <c:pt idx="2">
                  <c:v>0.86788658699999988</c:v>
                </c:pt>
                <c:pt idx="3">
                  <c:v>0.54854082999999987</c:v>
                </c:pt>
                <c:pt idx="4">
                  <c:v>0.58894000000000002</c:v>
                </c:pt>
              </c:numCache>
            </c:numRef>
          </c:val>
          <c:extLst>
            <c:ext xmlns:c16="http://schemas.microsoft.com/office/drawing/2014/chart" uri="{C3380CC4-5D6E-409C-BE32-E72D297353CC}">
              <c16:uniqueId val="{00000000-029B-4334-959C-69CF16E89C4D}"/>
            </c:ext>
          </c:extLst>
        </c:ser>
        <c:ser>
          <c:idx val="1"/>
          <c:order val="1"/>
          <c:tx>
            <c:strRef>
              <c:f>'GRAF17_1-5'!$T$111</c:f>
              <c:strCache>
                <c:ptCount val="1"/>
                <c:pt idx="0">
                  <c:v>Účelová</c:v>
                </c:pt>
              </c:strCache>
            </c:strRef>
          </c:tx>
          <c:spPr>
            <a:solidFill>
              <a:schemeClr val="accent5"/>
            </a:solidFill>
          </c:spPr>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1-C604-4F77-9E00-E660D90B6F3D}"/>
                </c:ext>
              </c:extLst>
            </c:dLbl>
            <c:spPr>
              <a:noFill/>
              <a:ln>
                <a:noFill/>
              </a:ln>
              <a:effectLst/>
            </c:spPr>
            <c:txPr>
              <a:bodyPr/>
              <a:lstStyle/>
              <a:p>
                <a:pPr>
                  <a:defRPr>
                    <a:solidFill>
                      <a:sysClr val="windowText" lastClr="000000"/>
                    </a:solidFill>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'GRAF17_1-5'!$R$112:$R$116</c:f>
              <c:strCache>
                <c:ptCount val="5"/>
                <c:pt idx="0">
                  <c:v>Ostatní (0,6%)</c:v>
                </c:pt>
                <c:pt idx="1">
                  <c:v>Veřejné podniky (2,9%)</c:v>
                </c:pt>
                <c:pt idx="2">
                  <c:v>Zahraniční subjekty (2,9%)</c:v>
                </c:pt>
                <c:pt idx="3">
                  <c:v>Ostatní vládní a veřejné org. (4%)</c:v>
                </c:pt>
                <c:pt idx="4">
                  <c:v>FN a ostatní veřejná zdrav. zařízení (4,5%)</c:v>
                </c:pt>
              </c:strCache>
            </c:strRef>
          </c:cat>
          <c:val>
            <c:numRef>
              <c:f>'GRAF17_1-5'!$T$112:$T$116</c:f>
              <c:numCache>
                <c:formatCode>0.0</c:formatCode>
                <c:ptCount val="5"/>
                <c:pt idx="0">
                  <c:v>0.15335399999999572</c:v>
                </c:pt>
                <c:pt idx="1">
                  <c:v>0.79430505842000032</c:v>
                </c:pt>
                <c:pt idx="2">
                  <c:v>1.9542E-2</c:v>
                </c:pt>
                <c:pt idx="3">
                  <c:v>0.68491900000000028</c:v>
                </c:pt>
                <c:pt idx="4">
                  <c:v>0.78736600000000023</c:v>
                </c:pt>
              </c:numCache>
            </c:numRef>
          </c:val>
          <c:extLst>
            <c:ext xmlns:c16="http://schemas.microsoft.com/office/drawing/2014/chart" uri="{C3380CC4-5D6E-409C-BE32-E72D297353CC}">
              <c16:uniqueId val="{00000001-029B-4334-959C-69CF16E89C4D}"/>
            </c:ext>
          </c:extLst>
        </c:ser>
        <c:dLbls>
          <c:showLegendKey val="0"/>
          <c:showVal val="0"/>
          <c:showCatName val="0"/>
          <c:showSerName val="0"/>
          <c:showPercent val="0"/>
          <c:showBubbleSize val="0"/>
        </c:dLbls>
        <c:gapWidth val="100"/>
        <c:overlap val="100"/>
        <c:axId val="164553856"/>
        <c:axId val="164555392"/>
      </c:barChart>
      <c:catAx>
        <c:axId val="164553856"/>
        <c:scaling>
          <c:orientation val="minMax"/>
        </c:scaling>
        <c:delete val="0"/>
        <c:axPos val="l"/>
        <c:majorGridlines>
          <c:spPr>
            <a:ln>
              <a:solidFill>
                <a:schemeClr val="bg1">
                  <a:lumMod val="85000"/>
                </a:schemeClr>
              </a:solidFill>
            </a:ln>
          </c:spPr>
        </c:majorGridlines>
        <c:numFmt formatCode="General" sourceLinked="0"/>
        <c:majorTickMark val="out"/>
        <c:minorTickMark val="none"/>
        <c:tickLblPos val="nextTo"/>
        <c:crossAx val="164555392"/>
        <c:crosses val="autoZero"/>
        <c:auto val="1"/>
        <c:lblAlgn val="ctr"/>
        <c:lblOffset val="100"/>
        <c:noMultiLvlLbl val="0"/>
      </c:catAx>
      <c:valAx>
        <c:axId val="164555392"/>
        <c:scaling>
          <c:orientation val="minMax"/>
          <c:max val="1.5"/>
          <c:min val="0"/>
        </c:scaling>
        <c:delete val="0"/>
        <c:axPos val="b"/>
        <c:majorGridlines>
          <c:spPr>
            <a:ln>
              <a:solidFill>
                <a:schemeClr val="bg1">
                  <a:lumMod val="85000"/>
                </a:schemeClr>
              </a:solidFill>
            </a:ln>
          </c:spPr>
        </c:majorGridlines>
        <c:numFmt formatCode="#,##0.0" sourceLinked="0"/>
        <c:majorTickMark val="out"/>
        <c:minorTickMark val="none"/>
        <c:tickLblPos val="nextTo"/>
        <c:spPr>
          <a:noFill/>
          <a:ln>
            <a:solidFill>
              <a:schemeClr val="tx1">
                <a:lumMod val="50000"/>
                <a:lumOff val="50000"/>
              </a:schemeClr>
            </a:solidFill>
          </a:ln>
        </c:spPr>
        <c:crossAx val="164553856"/>
        <c:crosses val="autoZero"/>
        <c:crossBetween val="between"/>
        <c:majorUnit val="0.5"/>
      </c:valAx>
      <c:spPr>
        <a:solidFill>
          <a:schemeClr val="bg1"/>
        </a:solidFill>
      </c:spPr>
    </c:plotArea>
    <c:plotVisOnly val="1"/>
    <c:dispBlanksAs val="zero"/>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bar"/>
        <c:grouping val="stacked"/>
        <c:varyColors val="0"/>
        <c:ser>
          <c:idx val="0"/>
          <c:order val="0"/>
          <c:tx>
            <c:strRef>
              <c:f>'GRAF17_1-6'!$B$81</c:f>
              <c:strCache>
                <c:ptCount val="1"/>
                <c:pt idx="0">
                  <c:v>Institucionální</c:v>
                </c:pt>
              </c:strCache>
            </c:strRef>
          </c:tx>
          <c:spPr>
            <a:solidFill>
              <a:schemeClr val="accent5">
                <a:lumMod val="50000"/>
              </a:schemeClr>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0-D3AD-4EC9-A4DF-87463F371AC0}"/>
                </c:ext>
              </c:extLst>
            </c:dLbl>
            <c:dLbl>
              <c:idx val="2"/>
              <c:delete val="1"/>
              <c:extLst>
                <c:ext xmlns:c15="http://schemas.microsoft.com/office/drawing/2012/chart" uri="{CE6537A1-D6FC-4f65-9D91-7224C49458BB}"/>
                <c:ext xmlns:c16="http://schemas.microsoft.com/office/drawing/2014/chart" uri="{C3380CC4-5D6E-409C-BE32-E72D297353CC}">
                  <c16:uniqueId val="{00000001-D3AD-4EC9-A4DF-87463F371AC0}"/>
                </c:ext>
              </c:extLst>
            </c:dLbl>
            <c:dLbl>
              <c:idx val="3"/>
              <c:delete val="1"/>
              <c:extLst>
                <c:ext xmlns:c15="http://schemas.microsoft.com/office/drawing/2012/chart" uri="{CE6537A1-D6FC-4f65-9D91-7224C49458BB}"/>
                <c:ext xmlns:c16="http://schemas.microsoft.com/office/drawing/2014/chart" uri="{C3380CC4-5D6E-409C-BE32-E72D297353CC}">
                  <c16:uniqueId val="{00000002-D3AD-4EC9-A4DF-87463F371AC0}"/>
                </c:ext>
              </c:extLst>
            </c:dLbl>
            <c:dLbl>
              <c:idx val="4"/>
              <c:delete val="1"/>
              <c:extLst>
                <c:ext xmlns:c15="http://schemas.microsoft.com/office/drawing/2012/chart" uri="{CE6537A1-D6FC-4f65-9D91-7224C49458BB}"/>
                <c:ext xmlns:c16="http://schemas.microsoft.com/office/drawing/2014/chart" uri="{C3380CC4-5D6E-409C-BE32-E72D297353CC}">
                  <c16:uniqueId val="{00000003-D3AD-4EC9-A4DF-87463F371AC0}"/>
                </c:ext>
              </c:extLst>
            </c:dLbl>
            <c:dLbl>
              <c:idx val="5"/>
              <c:delete val="1"/>
              <c:extLst>
                <c:ext xmlns:c15="http://schemas.microsoft.com/office/drawing/2012/chart" uri="{CE6537A1-D6FC-4f65-9D91-7224C49458BB}"/>
                <c:ext xmlns:c16="http://schemas.microsoft.com/office/drawing/2014/chart" uri="{C3380CC4-5D6E-409C-BE32-E72D297353CC}">
                  <c16:uniqueId val="{00000004-D3AD-4EC9-A4DF-87463F371AC0}"/>
                </c:ext>
              </c:extLst>
            </c:dLbl>
            <c:dLbl>
              <c:idx val="6"/>
              <c:delete val="1"/>
              <c:extLst>
                <c:ext xmlns:c15="http://schemas.microsoft.com/office/drawing/2012/chart" uri="{CE6537A1-D6FC-4f65-9D91-7224C49458BB}"/>
                <c:ext xmlns:c16="http://schemas.microsoft.com/office/drawing/2014/chart" uri="{C3380CC4-5D6E-409C-BE32-E72D297353CC}">
                  <c16:uniqueId val="{00000005-D3AD-4EC9-A4DF-87463F371AC0}"/>
                </c:ext>
              </c:extLst>
            </c:dLbl>
            <c:dLbl>
              <c:idx val="7"/>
              <c:delete val="1"/>
              <c:extLst>
                <c:ext xmlns:c15="http://schemas.microsoft.com/office/drawing/2012/chart" uri="{CE6537A1-D6FC-4f65-9D91-7224C49458BB}"/>
                <c:ext xmlns:c16="http://schemas.microsoft.com/office/drawing/2014/chart" uri="{C3380CC4-5D6E-409C-BE32-E72D297353CC}">
                  <c16:uniqueId val="{00000006-D3AD-4EC9-A4DF-87463F371AC0}"/>
                </c:ext>
              </c:extLst>
            </c:dLbl>
            <c:dLbl>
              <c:idx val="8"/>
              <c:delete val="1"/>
              <c:extLst>
                <c:ext xmlns:c15="http://schemas.microsoft.com/office/drawing/2012/chart" uri="{CE6537A1-D6FC-4f65-9D91-7224C49458BB}"/>
                <c:ext xmlns:c16="http://schemas.microsoft.com/office/drawing/2014/chart" uri="{C3380CC4-5D6E-409C-BE32-E72D297353CC}">
                  <c16:uniqueId val="{00000007-D3AD-4EC9-A4DF-87463F371AC0}"/>
                </c:ext>
              </c:extLst>
            </c:dLbl>
            <c:dLbl>
              <c:idx val="9"/>
              <c:delete val="1"/>
              <c:extLst>
                <c:ext xmlns:c15="http://schemas.microsoft.com/office/drawing/2012/chart" uri="{CE6537A1-D6FC-4f65-9D91-7224C49458BB}"/>
                <c:ext xmlns:c16="http://schemas.microsoft.com/office/drawing/2014/chart" uri="{C3380CC4-5D6E-409C-BE32-E72D297353CC}">
                  <c16:uniqueId val="{00000008-D3AD-4EC9-A4DF-87463F371AC0}"/>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'GRAF17_1-6'!$A$82:$A$96</c:f>
              <c:strCache>
                <c:ptCount val="15"/>
                <c:pt idx="0">
                  <c:v>Neurčeno (3,0%)</c:v>
                </c:pt>
                <c:pt idx="1">
                  <c:v>Karlovarský kraj (0,01%)</c:v>
                </c:pt>
                <c:pt idx="2">
                  <c:v>Vysočina (0,36%)</c:v>
                </c:pt>
                <c:pt idx="3">
                  <c:v>Ústecký kraj (0,70%)</c:v>
                </c:pt>
                <c:pt idx="4">
                  <c:v>Zlínský kraj (1,1%)</c:v>
                </c:pt>
                <c:pt idx="5">
                  <c:v>Královéhradecký kraj (1,2%)</c:v>
                </c:pt>
                <c:pt idx="6">
                  <c:v>Pardubický kraj (1,6%)</c:v>
                </c:pt>
                <c:pt idx="7">
                  <c:v>Liberecký kraj (1,8%)</c:v>
                </c:pt>
                <c:pt idx="8">
                  <c:v>Plzeňský kraj (2,7%)</c:v>
                </c:pt>
                <c:pt idx="9">
                  <c:v>Jihočeský kraj (2,7%)</c:v>
                </c:pt>
                <c:pt idx="10">
                  <c:v>Moravskoslezský kraj (3,7%)</c:v>
                </c:pt>
                <c:pt idx="11">
                  <c:v>Olomoucký kraj (4,1%)</c:v>
                </c:pt>
                <c:pt idx="12">
                  <c:v>Středočeský kraj (6,5%)</c:v>
                </c:pt>
                <c:pt idx="13">
                  <c:v>Jihomoravský kraj (18,0%)</c:v>
                </c:pt>
                <c:pt idx="14">
                  <c:v>Praha (52,3%)</c:v>
                </c:pt>
              </c:strCache>
            </c:strRef>
          </c:cat>
          <c:val>
            <c:numRef>
              <c:f>'GRAF17_1-6'!$B$82:$B$96</c:f>
              <c:numCache>
                <c:formatCode>#,##0.0</c:formatCode>
                <c:ptCount val="15"/>
                <c:pt idx="0">
                  <c:v>0.8678865870000001</c:v>
                </c:pt>
                <c:pt idx="1">
                  <c:v>0</c:v>
                </c:pt>
                <c:pt idx="2">
                  <c:v>1.1787000000000001E-2</c:v>
                </c:pt>
                <c:pt idx="3">
                  <c:v>9.6261600000000003E-2</c:v>
                </c:pt>
                <c:pt idx="4">
                  <c:v>0.16197900000000001</c:v>
                </c:pt>
                <c:pt idx="5">
                  <c:v>0.13015500000000002</c:v>
                </c:pt>
                <c:pt idx="6">
                  <c:v>0.2184780000000002</c:v>
                </c:pt>
                <c:pt idx="7">
                  <c:v>0.16956230892343616</c:v>
                </c:pt>
                <c:pt idx="8">
                  <c:v>0.33333800000000041</c:v>
                </c:pt>
                <c:pt idx="9">
                  <c:v>0.41026100999999987</c:v>
                </c:pt>
                <c:pt idx="10">
                  <c:v>0.58113800000000015</c:v>
                </c:pt>
                <c:pt idx="11">
                  <c:v>0.61317299999999952</c:v>
                </c:pt>
                <c:pt idx="12">
                  <c:v>0.56827899999999998</c:v>
                </c:pt>
                <c:pt idx="13">
                  <c:v>2.2040309999999996</c:v>
                </c:pt>
                <c:pt idx="14">
                  <c:v>8.7543570316300006</c:v>
                </c:pt>
              </c:numCache>
            </c:numRef>
          </c:val>
          <c:extLst>
            <c:ext xmlns:c16="http://schemas.microsoft.com/office/drawing/2014/chart" uri="{C3380CC4-5D6E-409C-BE32-E72D297353CC}">
              <c16:uniqueId val="{00000009-D3AD-4EC9-A4DF-87463F371AC0}"/>
            </c:ext>
          </c:extLst>
        </c:ser>
        <c:ser>
          <c:idx val="1"/>
          <c:order val="1"/>
          <c:tx>
            <c:strRef>
              <c:f>'GRAF17_1-6'!$C$81</c:f>
              <c:strCache>
                <c:ptCount val="1"/>
                <c:pt idx="0">
                  <c:v>Účelová</c:v>
                </c:pt>
              </c:strCache>
            </c:strRef>
          </c:tx>
          <c:spPr>
            <a:solidFill>
              <a:schemeClr val="accent5"/>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A-D3AD-4EC9-A4DF-87463F371AC0}"/>
                </c:ext>
              </c:extLst>
            </c:dLbl>
            <c:dLbl>
              <c:idx val="1"/>
              <c:delete val="1"/>
              <c:extLst>
                <c:ext xmlns:c15="http://schemas.microsoft.com/office/drawing/2012/chart" uri="{CE6537A1-D6FC-4f65-9D91-7224C49458BB}"/>
                <c:ext xmlns:c16="http://schemas.microsoft.com/office/drawing/2014/chart" uri="{C3380CC4-5D6E-409C-BE32-E72D297353CC}">
                  <c16:uniqueId val="{0000000B-D3AD-4EC9-A4DF-87463F371AC0}"/>
                </c:ext>
              </c:extLst>
            </c:dLbl>
            <c:dLbl>
              <c:idx val="2"/>
              <c:delete val="1"/>
              <c:extLst>
                <c:ext xmlns:c15="http://schemas.microsoft.com/office/drawing/2012/chart" uri="{CE6537A1-D6FC-4f65-9D91-7224C49458BB}"/>
                <c:ext xmlns:c16="http://schemas.microsoft.com/office/drawing/2014/chart" uri="{C3380CC4-5D6E-409C-BE32-E72D297353CC}">
                  <c16:uniqueId val="{0000000C-D3AD-4EC9-A4DF-87463F371AC0}"/>
                </c:ext>
              </c:extLst>
            </c:dLbl>
            <c:dLbl>
              <c:idx val="3"/>
              <c:delete val="1"/>
              <c:extLst>
                <c:ext xmlns:c15="http://schemas.microsoft.com/office/drawing/2012/chart" uri="{CE6537A1-D6FC-4f65-9D91-7224C49458BB}"/>
                <c:ext xmlns:c16="http://schemas.microsoft.com/office/drawing/2014/chart" uri="{C3380CC4-5D6E-409C-BE32-E72D297353CC}">
                  <c16:uniqueId val="{0000000D-D3AD-4EC9-A4DF-87463F371AC0}"/>
                </c:ext>
              </c:extLst>
            </c:dLbl>
            <c:dLbl>
              <c:idx val="4"/>
              <c:delete val="1"/>
              <c:extLst>
                <c:ext xmlns:c15="http://schemas.microsoft.com/office/drawing/2012/chart" uri="{CE6537A1-D6FC-4f65-9D91-7224C49458BB}"/>
                <c:ext xmlns:c16="http://schemas.microsoft.com/office/drawing/2014/chart" uri="{C3380CC4-5D6E-409C-BE32-E72D297353CC}">
                  <c16:uniqueId val="{0000000E-D3AD-4EC9-A4DF-87463F371AC0}"/>
                </c:ext>
              </c:extLst>
            </c:dLbl>
            <c:dLbl>
              <c:idx val="5"/>
              <c:delete val="1"/>
              <c:extLst>
                <c:ext xmlns:c15="http://schemas.microsoft.com/office/drawing/2012/chart" uri="{CE6537A1-D6FC-4f65-9D91-7224C49458BB}"/>
                <c:ext xmlns:c16="http://schemas.microsoft.com/office/drawing/2014/chart" uri="{C3380CC4-5D6E-409C-BE32-E72D297353CC}">
                  <c16:uniqueId val="{0000000F-D3AD-4EC9-A4DF-87463F371AC0}"/>
                </c:ext>
              </c:extLst>
            </c:dLbl>
            <c:dLbl>
              <c:idx val="6"/>
              <c:delete val="1"/>
              <c:extLst>
                <c:ext xmlns:c15="http://schemas.microsoft.com/office/drawing/2012/chart" uri="{CE6537A1-D6FC-4f65-9D91-7224C49458BB}"/>
                <c:ext xmlns:c16="http://schemas.microsoft.com/office/drawing/2014/chart" uri="{C3380CC4-5D6E-409C-BE32-E72D297353CC}">
                  <c16:uniqueId val="{00000010-D3AD-4EC9-A4DF-87463F371AC0}"/>
                </c:ext>
              </c:extLst>
            </c:dLbl>
            <c:dLbl>
              <c:idx val="7"/>
              <c:delete val="1"/>
              <c:extLst>
                <c:ext xmlns:c15="http://schemas.microsoft.com/office/drawing/2012/chart" uri="{CE6537A1-D6FC-4f65-9D91-7224C49458BB}"/>
                <c:ext xmlns:c16="http://schemas.microsoft.com/office/drawing/2014/chart" uri="{C3380CC4-5D6E-409C-BE32-E72D297353CC}">
                  <c16:uniqueId val="{00000011-D3AD-4EC9-A4DF-87463F371AC0}"/>
                </c:ext>
              </c:extLst>
            </c:dLbl>
            <c:dLbl>
              <c:idx val="8"/>
              <c:delete val="1"/>
              <c:extLst>
                <c:ext xmlns:c15="http://schemas.microsoft.com/office/drawing/2012/chart" uri="{CE6537A1-D6FC-4f65-9D91-7224C49458BB}"/>
                <c:ext xmlns:c16="http://schemas.microsoft.com/office/drawing/2014/chart" uri="{C3380CC4-5D6E-409C-BE32-E72D297353CC}">
                  <c16:uniqueId val="{00000012-D3AD-4EC9-A4DF-87463F371AC0}"/>
                </c:ext>
              </c:extLst>
            </c:dLbl>
            <c:dLbl>
              <c:idx val="9"/>
              <c:delete val="1"/>
              <c:extLst>
                <c:ext xmlns:c15="http://schemas.microsoft.com/office/drawing/2012/chart" uri="{CE6537A1-D6FC-4f65-9D91-7224C49458BB}"/>
                <c:ext xmlns:c16="http://schemas.microsoft.com/office/drawing/2014/chart" uri="{C3380CC4-5D6E-409C-BE32-E72D297353CC}">
                  <c16:uniqueId val="{00000013-D3AD-4EC9-A4DF-87463F371AC0}"/>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'GRAF17_1-6'!$A$82:$A$96</c:f>
              <c:strCache>
                <c:ptCount val="15"/>
                <c:pt idx="0">
                  <c:v>Neurčeno (3,0%)</c:v>
                </c:pt>
                <c:pt idx="1">
                  <c:v>Karlovarský kraj (0,01%)</c:v>
                </c:pt>
                <c:pt idx="2">
                  <c:v>Vysočina (0,36%)</c:v>
                </c:pt>
                <c:pt idx="3">
                  <c:v>Ústecký kraj (0,70%)</c:v>
                </c:pt>
                <c:pt idx="4">
                  <c:v>Zlínský kraj (1,1%)</c:v>
                </c:pt>
                <c:pt idx="5">
                  <c:v>Královéhradecký kraj (1,2%)</c:v>
                </c:pt>
                <c:pt idx="6">
                  <c:v>Pardubický kraj (1,6%)</c:v>
                </c:pt>
                <c:pt idx="7">
                  <c:v>Liberecký kraj (1,8%)</c:v>
                </c:pt>
                <c:pt idx="8">
                  <c:v>Plzeňský kraj (2,7%)</c:v>
                </c:pt>
                <c:pt idx="9">
                  <c:v>Jihočeský kraj (2,7%)</c:v>
                </c:pt>
                <c:pt idx="10">
                  <c:v>Moravskoslezský kraj (3,7%)</c:v>
                </c:pt>
                <c:pt idx="11">
                  <c:v>Olomoucký kraj (4,1%)</c:v>
                </c:pt>
                <c:pt idx="12">
                  <c:v>Středočeský kraj (6,5%)</c:v>
                </c:pt>
                <c:pt idx="13">
                  <c:v>Jihomoravský kraj (18,0%)</c:v>
                </c:pt>
                <c:pt idx="14">
                  <c:v>Praha (52,3%)</c:v>
                </c:pt>
              </c:strCache>
            </c:strRef>
          </c:cat>
          <c:val>
            <c:numRef>
              <c:f>'GRAF17_1-6'!$C$82:$C$96</c:f>
              <c:numCache>
                <c:formatCode>#,##0.0</c:formatCode>
                <c:ptCount val="15"/>
                <c:pt idx="0">
                  <c:v>5.1020999999999997E-2</c:v>
                </c:pt>
                <c:pt idx="1">
                  <c:v>2.9089999999999997E-3</c:v>
                </c:pt>
                <c:pt idx="2">
                  <c:v>9.8807999999999951E-2</c:v>
                </c:pt>
                <c:pt idx="3">
                  <c:v>0.11846351432999999</c:v>
                </c:pt>
                <c:pt idx="4">
                  <c:v>0.18273436084000005</c:v>
                </c:pt>
                <c:pt idx="5">
                  <c:v>0.24861000000000008</c:v>
                </c:pt>
                <c:pt idx="6">
                  <c:v>0.28048761529000005</c:v>
                </c:pt>
                <c:pt idx="7">
                  <c:v>0.38268329979999982</c:v>
                </c:pt>
                <c:pt idx="8">
                  <c:v>0.49854402767</c:v>
                </c:pt>
                <c:pt idx="9">
                  <c:v>0.4305133564800005</c:v>
                </c:pt>
                <c:pt idx="10">
                  <c:v>0.55012697408000033</c:v>
                </c:pt>
                <c:pt idx="11">
                  <c:v>0.65152610810000022</c:v>
                </c:pt>
                <c:pt idx="12">
                  <c:v>1.4356490646700009</c:v>
                </c:pt>
                <c:pt idx="13">
                  <c:v>3.3245235436600002</c:v>
                </c:pt>
                <c:pt idx="14">
                  <c:v>7.2760235291699855</c:v>
                </c:pt>
              </c:numCache>
            </c:numRef>
          </c:val>
          <c:extLst>
            <c:ext xmlns:c16="http://schemas.microsoft.com/office/drawing/2014/chart" uri="{C3380CC4-5D6E-409C-BE32-E72D297353CC}">
              <c16:uniqueId val="{00000014-D3AD-4EC9-A4DF-87463F371AC0}"/>
            </c:ext>
          </c:extLst>
        </c:ser>
        <c:dLbls>
          <c:showLegendKey val="0"/>
          <c:showVal val="0"/>
          <c:showCatName val="0"/>
          <c:showSerName val="0"/>
          <c:showPercent val="0"/>
          <c:showBubbleSize val="0"/>
        </c:dLbls>
        <c:gapWidth val="75"/>
        <c:overlap val="100"/>
        <c:axId val="307384704"/>
        <c:axId val="307386240"/>
      </c:barChart>
      <c:catAx>
        <c:axId val="307384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mn-cs"/>
              </a:defRPr>
            </a:pPr>
            <a:endParaRPr lang="cs-CZ"/>
          </a:p>
        </c:txPr>
        <c:crossAx val="307386240"/>
        <c:crosses val="autoZero"/>
        <c:auto val="1"/>
        <c:lblAlgn val="ctr"/>
        <c:lblOffset val="100"/>
        <c:noMultiLvlLbl val="0"/>
      </c:catAx>
      <c:valAx>
        <c:axId val="307386240"/>
        <c:scaling>
          <c:orientation val="minMax"/>
          <c:max val="17"/>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mn-cs"/>
                  </a:defRPr>
                </a:pPr>
                <a:r>
                  <a:rPr lang="cs-CZ"/>
                  <a:t>Mld. Kč</a:t>
                </a:r>
                <a:endParaRPr lang="en-US"/>
              </a:p>
            </c:rich>
          </c:tx>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mn-cs"/>
                </a:defRPr>
              </a:pPr>
              <a:endParaRPr lang="cs-CZ"/>
            </a:p>
          </c:txPr>
        </c:title>
        <c:numFmt formatCode="#\ ##0" sourceLinked="0"/>
        <c:majorTickMark val="out"/>
        <c:minorTickMark val="none"/>
        <c:tickLblPos val="nextTo"/>
        <c:spPr>
          <a:noFill/>
          <a:ln>
            <a:solidFill>
              <a:schemeClr val="tx1">
                <a:lumMod val="50000"/>
                <a:lumOff val="50000"/>
              </a:schemeClr>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mn-cs"/>
              </a:defRPr>
            </a:pPr>
            <a:endParaRPr lang="cs-CZ"/>
          </a:p>
        </c:txPr>
        <c:crossAx val="307384704"/>
        <c:crosses val="autoZero"/>
        <c:crossBetween val="between"/>
        <c:majorUnit val="1"/>
      </c:valAx>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sz="800" baseline="0">
          <a:solidFill>
            <a:sysClr val="windowText" lastClr="000000"/>
          </a:solidFill>
          <a:latin typeface="Arial" panose="020B0604020202020204" pitchFamily="34" charset="0"/>
        </a:defRPr>
      </a:pPr>
      <a:endParaRPr lang="cs-C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bar"/>
        <c:grouping val="stacked"/>
        <c:varyColors val="0"/>
        <c:ser>
          <c:idx val="0"/>
          <c:order val="0"/>
          <c:tx>
            <c:strRef>
              <c:f>'GRAF17_1-6'!$B$61</c:f>
              <c:strCache>
                <c:ptCount val="1"/>
                <c:pt idx="0">
                  <c:v>Institucionální</c:v>
                </c:pt>
              </c:strCache>
            </c:strRef>
          </c:tx>
          <c:spPr>
            <a:solidFill>
              <a:schemeClr val="accent5">
                <a:lumMod val="50000"/>
              </a:schemeClr>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0-AB9E-47E1-9654-1C927100AC2B}"/>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'GRAF17_1-6'!$A$62:$A$71</c:f>
              <c:strCache>
                <c:ptCount val="9"/>
                <c:pt idx="0">
                  <c:v>Karlovarský kraj (0,03%)</c:v>
                </c:pt>
                <c:pt idx="1">
                  <c:v>Vysočina (0,4%)</c:v>
                </c:pt>
                <c:pt idx="2">
                  <c:v>Ústecký kraj (0,7%)</c:v>
                </c:pt>
                <c:pt idx="3">
                  <c:v>Zlínský kraj (1,1%)</c:v>
                </c:pt>
                <c:pt idx="4">
                  <c:v>Královéhradecký kraj (1,2%)</c:v>
                </c:pt>
                <c:pt idx="5">
                  <c:v>Pardubický kraj (1,6%)</c:v>
                </c:pt>
                <c:pt idx="6">
                  <c:v>Liberecký kraj (1,8%)</c:v>
                </c:pt>
                <c:pt idx="7">
                  <c:v>Plzeňský kraj (2,7%)</c:v>
                </c:pt>
                <c:pt idx="8">
                  <c:v>Jihočeský kraj (2,7%)</c:v>
                </c:pt>
              </c:strCache>
              <c:extLst/>
            </c:strRef>
          </c:cat>
          <c:val>
            <c:numRef>
              <c:f>'GRAF17_1-6'!$B$62:$B$71</c:f>
              <c:numCache>
                <c:formatCode>#,##0</c:formatCode>
                <c:ptCount val="9"/>
                <c:pt idx="1">
                  <c:v>11.787000000000001</c:v>
                </c:pt>
                <c:pt idx="2">
                  <c:v>96.261600000000001</c:v>
                </c:pt>
                <c:pt idx="3">
                  <c:v>161.97900000000001</c:v>
                </c:pt>
                <c:pt idx="4">
                  <c:v>130.15500000000003</c:v>
                </c:pt>
                <c:pt idx="5">
                  <c:v>218.47800000000021</c:v>
                </c:pt>
                <c:pt idx="6">
                  <c:v>169.56230892343615</c:v>
                </c:pt>
                <c:pt idx="7">
                  <c:v>333.33800000000042</c:v>
                </c:pt>
                <c:pt idx="8">
                  <c:v>410.26100999999989</c:v>
                </c:pt>
              </c:numCache>
              <c:extLst/>
            </c:numRef>
          </c:val>
          <c:extLst>
            <c:ext xmlns:c16="http://schemas.microsoft.com/office/drawing/2014/chart" uri="{C3380CC4-5D6E-409C-BE32-E72D297353CC}">
              <c16:uniqueId val="{00000001-AB9E-47E1-9654-1C927100AC2B}"/>
            </c:ext>
          </c:extLst>
        </c:ser>
        <c:ser>
          <c:idx val="1"/>
          <c:order val="1"/>
          <c:tx>
            <c:strRef>
              <c:f>'GRAF17_1-6'!$C$61</c:f>
              <c:strCache>
                <c:ptCount val="1"/>
                <c:pt idx="0">
                  <c:v>Účelová</c:v>
                </c:pt>
              </c:strCache>
            </c:strRef>
          </c:tx>
          <c:spPr>
            <a:solidFill>
              <a:schemeClr val="accent5">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'GRAF17_1-6'!$A$62:$A$71</c:f>
              <c:strCache>
                <c:ptCount val="9"/>
                <c:pt idx="0">
                  <c:v>Karlovarský kraj (0,03%)</c:v>
                </c:pt>
                <c:pt idx="1">
                  <c:v>Vysočina (0,4%)</c:v>
                </c:pt>
                <c:pt idx="2">
                  <c:v>Ústecký kraj (0,7%)</c:v>
                </c:pt>
                <c:pt idx="3">
                  <c:v>Zlínský kraj (1,1%)</c:v>
                </c:pt>
                <c:pt idx="4">
                  <c:v>Královéhradecký kraj (1,2%)</c:v>
                </c:pt>
                <c:pt idx="5">
                  <c:v>Pardubický kraj (1,6%)</c:v>
                </c:pt>
                <c:pt idx="6">
                  <c:v>Liberecký kraj (1,8%)</c:v>
                </c:pt>
                <c:pt idx="7">
                  <c:v>Plzeňský kraj (2,7%)</c:v>
                </c:pt>
                <c:pt idx="8">
                  <c:v>Jihočeský kraj (2,7%)</c:v>
                </c:pt>
              </c:strCache>
              <c:extLst/>
            </c:strRef>
          </c:cat>
          <c:val>
            <c:numRef>
              <c:f>'GRAF17_1-6'!$C$62:$C$71</c:f>
              <c:numCache>
                <c:formatCode>#,##0</c:formatCode>
                <c:ptCount val="9"/>
                <c:pt idx="0">
                  <c:v>2.9089999999999998</c:v>
                </c:pt>
                <c:pt idx="1">
                  <c:v>98.80799999999995</c:v>
                </c:pt>
                <c:pt idx="2">
                  <c:v>118.46351433</c:v>
                </c:pt>
                <c:pt idx="3">
                  <c:v>182.73436084000005</c:v>
                </c:pt>
                <c:pt idx="4">
                  <c:v>248.61000000000007</c:v>
                </c:pt>
                <c:pt idx="5">
                  <c:v>280.48761529000006</c:v>
                </c:pt>
                <c:pt idx="6">
                  <c:v>382.68329979999982</c:v>
                </c:pt>
                <c:pt idx="7">
                  <c:v>498.54402766999999</c:v>
                </c:pt>
                <c:pt idx="8">
                  <c:v>430.51335648000048</c:v>
                </c:pt>
              </c:numCache>
              <c:extLst/>
            </c:numRef>
          </c:val>
          <c:extLst>
            <c:ext xmlns:c16="http://schemas.microsoft.com/office/drawing/2014/chart" uri="{C3380CC4-5D6E-409C-BE32-E72D297353CC}">
              <c16:uniqueId val="{00000002-AB9E-47E1-9654-1C927100AC2B}"/>
            </c:ext>
          </c:extLst>
        </c:ser>
        <c:dLbls>
          <c:showLegendKey val="0"/>
          <c:showVal val="0"/>
          <c:showCatName val="0"/>
          <c:showSerName val="0"/>
          <c:showPercent val="0"/>
          <c:showBubbleSize val="0"/>
        </c:dLbls>
        <c:gapWidth val="75"/>
        <c:overlap val="100"/>
        <c:axId val="307432064"/>
        <c:axId val="307433856"/>
      </c:barChart>
      <c:catAx>
        <c:axId val="307432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mn-cs"/>
              </a:defRPr>
            </a:pPr>
            <a:endParaRPr lang="cs-CZ"/>
          </a:p>
        </c:txPr>
        <c:crossAx val="307433856"/>
        <c:crosses val="autoZero"/>
        <c:auto val="1"/>
        <c:lblAlgn val="ctr"/>
        <c:lblOffset val="100"/>
        <c:noMultiLvlLbl val="0"/>
      </c:catAx>
      <c:valAx>
        <c:axId val="307433856"/>
        <c:scaling>
          <c:orientation val="minMax"/>
          <c:max val="10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mn-cs"/>
                  </a:defRPr>
                </a:pPr>
                <a:r>
                  <a:rPr lang="cs-CZ"/>
                  <a:t>Mil. Kč</a:t>
                </a:r>
                <a:endParaRPr lang="en-US"/>
              </a:p>
            </c:rich>
          </c:tx>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mn-cs"/>
                </a:defRPr>
              </a:pPr>
              <a:endParaRPr lang="cs-CZ"/>
            </a:p>
          </c:txPr>
        </c:title>
        <c:numFmt formatCode="#\ ##0" sourceLinked="0"/>
        <c:majorTickMark val="out"/>
        <c:minorTickMark val="none"/>
        <c:tickLblPos val="nextTo"/>
        <c:spPr>
          <a:noFill/>
          <a:ln>
            <a:solidFill>
              <a:schemeClr val="tx1">
                <a:lumMod val="50000"/>
                <a:lumOff val="50000"/>
              </a:schemeClr>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mn-cs"/>
              </a:defRPr>
            </a:pPr>
            <a:endParaRPr lang="cs-CZ"/>
          </a:p>
        </c:txPr>
        <c:crossAx val="30743206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baseline="0">
          <a:solidFill>
            <a:sysClr val="windowText" lastClr="000000"/>
          </a:solidFill>
          <a:latin typeface="Arial" panose="020B0604020202020204" pitchFamily="34" charset="0"/>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8">
  <a:schemeClr val="accent5"/>
</cs:colorStyle>
</file>

<file path=word/charts/colors3.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DBC48-260C-4107-A6A6-E63F70695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bar_veda IT.dot</Template>
  <TotalTime>196</TotalTime>
  <Pages>13</Pages>
  <Words>4103</Words>
  <Characters>24214</Characters>
  <Application>Microsoft Office Word</Application>
  <DocSecurity>0</DocSecurity>
  <Lines>201</Lines>
  <Paragraphs>56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Václav Sojka</dc:creator>
  <cp:lastModifiedBy>sojka7725</cp:lastModifiedBy>
  <cp:revision>19</cp:revision>
  <cp:lastPrinted>2018-12-04T11:29:00Z</cp:lastPrinted>
  <dcterms:created xsi:type="dcterms:W3CDTF">2018-12-04T12:35:00Z</dcterms:created>
  <dcterms:modified xsi:type="dcterms:W3CDTF">2018-12-06T12:40:00Z</dcterms:modified>
</cp:coreProperties>
</file>