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640" w:rsidRDefault="00DF48FF" w:rsidP="001B2640">
      <w:pPr>
        <w:pStyle w:val="Zkladntext"/>
        <w:spacing w:after="240"/>
        <w:rPr>
          <w:rFonts w:ascii="Arial" w:hAnsi="Arial" w:cs="Arial"/>
          <w:b/>
          <w:bCs/>
          <w:sz w:val="32"/>
          <w:szCs w:val="32"/>
        </w:rPr>
      </w:pPr>
      <w:r w:rsidRPr="00DF48FF">
        <w:rPr>
          <w:rFonts w:ascii="Arial" w:hAnsi="Arial" w:cs="Arial"/>
          <w:b/>
          <w:bCs/>
          <w:sz w:val="32"/>
          <w:szCs w:val="32"/>
        </w:rPr>
        <w:t>Metodické</w:t>
      </w:r>
      <w:bookmarkStart w:id="0" w:name="_GoBack"/>
      <w:bookmarkEnd w:id="0"/>
      <w:r w:rsidRPr="00DF48FF">
        <w:rPr>
          <w:rFonts w:ascii="Arial" w:hAnsi="Arial" w:cs="Arial"/>
          <w:b/>
          <w:bCs/>
          <w:sz w:val="32"/>
          <w:szCs w:val="32"/>
        </w:rPr>
        <w:t xml:space="preserve"> vysvětlivky </w:t>
      </w:r>
    </w:p>
    <w:p w:rsidR="002A4577" w:rsidRPr="00F83D7E" w:rsidRDefault="00DF48FF">
      <w:pPr>
        <w:pStyle w:val="Zkladntext"/>
        <w:spacing w:after="120"/>
        <w:ind w:firstLine="709"/>
        <w:rPr>
          <w:rFonts w:ascii="Arial" w:hAnsi="Arial" w:cs="Arial"/>
          <w:sz w:val="20"/>
          <w:szCs w:val="20"/>
        </w:rPr>
      </w:pPr>
      <w:r w:rsidRPr="00DF48FF">
        <w:rPr>
          <w:rFonts w:ascii="Arial" w:hAnsi="Arial" w:cs="Arial"/>
          <w:sz w:val="20"/>
          <w:szCs w:val="20"/>
        </w:rPr>
        <w:t>V souvislosti s členstvím v Evropské unii má Česká republika na základě Nařízení (EC) 1177/2003 a navazujících prováděcích nařízení Evropské komise povinnost realizovat každoročně výběrové šetření o</w:t>
      </w:r>
      <w:r w:rsidR="002D2D58">
        <w:rPr>
          <w:rFonts w:ascii="Arial" w:hAnsi="Arial" w:cs="Arial"/>
          <w:sz w:val="20"/>
          <w:szCs w:val="20"/>
        </w:rPr>
        <w:t> </w:t>
      </w:r>
      <w:r w:rsidRPr="00DF48FF">
        <w:rPr>
          <w:rFonts w:ascii="Arial" w:hAnsi="Arial" w:cs="Arial"/>
          <w:sz w:val="20"/>
          <w:szCs w:val="20"/>
        </w:rPr>
        <w:t>příjmech a životních podmínkách domácností EU-SILC (</w:t>
      </w:r>
      <w:proofErr w:type="spellStart"/>
      <w:r w:rsidRPr="00DF48FF">
        <w:rPr>
          <w:rFonts w:ascii="Arial" w:hAnsi="Arial" w:cs="Arial"/>
          <w:sz w:val="20"/>
          <w:szCs w:val="20"/>
        </w:rPr>
        <w:t>European</w:t>
      </w:r>
      <w:proofErr w:type="spellEnd"/>
      <w:r w:rsidRPr="00DF48FF">
        <w:rPr>
          <w:rFonts w:ascii="Arial" w:hAnsi="Arial" w:cs="Arial"/>
          <w:sz w:val="20"/>
          <w:szCs w:val="20"/>
        </w:rPr>
        <w:t xml:space="preserve"> Union – </w:t>
      </w:r>
      <w:proofErr w:type="spellStart"/>
      <w:r w:rsidRPr="00DF48FF">
        <w:rPr>
          <w:rFonts w:ascii="Arial" w:hAnsi="Arial" w:cs="Arial"/>
          <w:sz w:val="20"/>
          <w:szCs w:val="20"/>
        </w:rPr>
        <w:t>Statistics</w:t>
      </w:r>
      <w:proofErr w:type="spellEnd"/>
      <w:r w:rsidRPr="00DF48FF">
        <w:rPr>
          <w:rFonts w:ascii="Arial" w:hAnsi="Arial" w:cs="Arial"/>
          <w:sz w:val="20"/>
          <w:szCs w:val="20"/>
        </w:rPr>
        <w:t xml:space="preserve"> on </w:t>
      </w:r>
      <w:proofErr w:type="spellStart"/>
      <w:r w:rsidRPr="00DF48FF">
        <w:rPr>
          <w:rFonts w:ascii="Arial" w:hAnsi="Arial" w:cs="Arial"/>
          <w:sz w:val="20"/>
          <w:szCs w:val="20"/>
        </w:rPr>
        <w:t>Income</w:t>
      </w:r>
      <w:proofErr w:type="spellEnd"/>
      <w:r w:rsidRPr="00DF48FF">
        <w:rPr>
          <w:rFonts w:ascii="Arial" w:hAnsi="Arial" w:cs="Arial"/>
          <w:sz w:val="20"/>
          <w:szCs w:val="20"/>
        </w:rPr>
        <w:t xml:space="preserve"> and </w:t>
      </w:r>
      <w:proofErr w:type="spellStart"/>
      <w:r w:rsidRPr="00DF48FF">
        <w:rPr>
          <w:rFonts w:ascii="Arial" w:hAnsi="Arial" w:cs="Arial"/>
          <w:sz w:val="20"/>
          <w:szCs w:val="20"/>
        </w:rPr>
        <w:t>Living</w:t>
      </w:r>
      <w:proofErr w:type="spellEnd"/>
      <w:r w:rsidRPr="00DF48FF">
        <w:rPr>
          <w:rFonts w:ascii="Arial" w:hAnsi="Arial" w:cs="Arial"/>
          <w:sz w:val="20"/>
          <w:szCs w:val="20"/>
        </w:rPr>
        <w:t xml:space="preserve"> </w:t>
      </w:r>
      <w:proofErr w:type="spellStart"/>
      <w:r w:rsidRPr="00DF48FF">
        <w:rPr>
          <w:rFonts w:ascii="Arial" w:hAnsi="Arial" w:cs="Arial"/>
          <w:sz w:val="20"/>
          <w:szCs w:val="20"/>
        </w:rPr>
        <w:t>Conditions</w:t>
      </w:r>
      <w:proofErr w:type="spellEnd"/>
      <w:r w:rsidRPr="00DF48FF">
        <w:rPr>
          <w:rFonts w:ascii="Arial" w:hAnsi="Arial" w:cs="Arial"/>
          <w:sz w:val="20"/>
          <w:szCs w:val="20"/>
        </w:rPr>
        <w:t xml:space="preserve">). </w:t>
      </w:r>
    </w:p>
    <w:p w:rsidR="002A4577" w:rsidRPr="00F83D7E" w:rsidRDefault="00DF48FF">
      <w:pPr>
        <w:pStyle w:val="Zkladntext"/>
        <w:spacing w:after="120"/>
        <w:ind w:firstLine="709"/>
        <w:rPr>
          <w:rFonts w:ascii="Arial" w:hAnsi="Arial" w:cs="Arial"/>
          <w:sz w:val="20"/>
          <w:szCs w:val="20"/>
        </w:rPr>
      </w:pPr>
      <w:r w:rsidRPr="00DF48FF">
        <w:rPr>
          <w:rFonts w:ascii="Arial" w:hAnsi="Arial" w:cs="Arial"/>
          <w:sz w:val="20"/>
          <w:szCs w:val="20"/>
        </w:rPr>
        <w:t xml:space="preserve">V souladu s výše uvedeným nařízením, se zákonem č. 89/1995 Sb. o státní statistické službě, ve znění pozdějších předpisů a při respektování zákona č. 101/2000 Sb. o ochraně individuálních dat, provedl Český statistický úřad (ČSÚ) toto celoevropské šetření v národní verzi pod názvem </w:t>
      </w:r>
      <w:r w:rsidRPr="00DF48FF">
        <w:rPr>
          <w:rFonts w:ascii="Arial" w:hAnsi="Arial" w:cs="Arial"/>
          <w:i/>
          <w:iCs/>
          <w:sz w:val="20"/>
          <w:szCs w:val="20"/>
        </w:rPr>
        <w:t>Životní podmínky 201</w:t>
      </w:r>
      <w:r w:rsidR="00006FEC">
        <w:rPr>
          <w:rFonts w:ascii="Arial" w:hAnsi="Arial" w:cs="Arial"/>
          <w:i/>
          <w:iCs/>
          <w:sz w:val="20"/>
          <w:szCs w:val="20"/>
        </w:rPr>
        <w:t>7</w:t>
      </w:r>
      <w:r w:rsidRPr="00DF48FF">
        <w:rPr>
          <w:rFonts w:ascii="Arial" w:hAnsi="Arial" w:cs="Arial"/>
          <w:sz w:val="20"/>
          <w:szCs w:val="20"/>
        </w:rPr>
        <w:t>.</w:t>
      </w:r>
    </w:p>
    <w:p w:rsidR="001B2640" w:rsidRDefault="00DF48FF" w:rsidP="001B2640">
      <w:pPr>
        <w:pStyle w:val="Zkladntext"/>
        <w:spacing w:after="120"/>
        <w:ind w:firstLine="709"/>
        <w:rPr>
          <w:rFonts w:ascii="Arial" w:hAnsi="Arial" w:cs="Arial"/>
          <w:sz w:val="20"/>
          <w:szCs w:val="20"/>
        </w:rPr>
      </w:pPr>
      <w:r w:rsidRPr="00DF48FF">
        <w:rPr>
          <w:rFonts w:ascii="Arial" w:hAnsi="Arial" w:cs="Arial"/>
          <w:sz w:val="20"/>
          <w:szCs w:val="20"/>
        </w:rPr>
        <w:t>Účelem šetření je získávat reprezentativní údaje o příjmovém rozdělení jednotlivých typů domácností, údaje o způsobu, kvalitě a finanční náročnosti bydlení, vybavenosti domácností předměty dlouhodobého užívání a o pracovních, hmotných a zdravotních podmínkách dospělých osob žijících v</w:t>
      </w:r>
      <w:r w:rsidR="002D2D58">
        <w:rPr>
          <w:rFonts w:ascii="Arial" w:hAnsi="Arial" w:cs="Arial"/>
          <w:sz w:val="20"/>
          <w:szCs w:val="20"/>
        </w:rPr>
        <w:t> </w:t>
      </w:r>
      <w:r w:rsidRPr="00DF48FF">
        <w:rPr>
          <w:rFonts w:ascii="Arial" w:hAnsi="Arial" w:cs="Arial"/>
          <w:sz w:val="20"/>
          <w:szCs w:val="20"/>
        </w:rPr>
        <w:t xml:space="preserve">domácnostech. Šetření </w:t>
      </w:r>
      <w:r w:rsidRPr="00DF48FF">
        <w:rPr>
          <w:rFonts w:ascii="Arial" w:hAnsi="Arial" w:cs="Arial"/>
          <w:i/>
          <w:iCs/>
          <w:sz w:val="20"/>
          <w:szCs w:val="20"/>
        </w:rPr>
        <w:t xml:space="preserve">Životní podmínky </w:t>
      </w:r>
      <w:r w:rsidRPr="00A3763C">
        <w:rPr>
          <w:rFonts w:ascii="Arial" w:hAnsi="Arial" w:cs="Arial"/>
          <w:i/>
          <w:iCs/>
          <w:sz w:val="20"/>
          <w:szCs w:val="20"/>
        </w:rPr>
        <w:t>201</w:t>
      </w:r>
      <w:r w:rsidR="009D6018">
        <w:rPr>
          <w:rFonts w:ascii="Arial" w:hAnsi="Arial" w:cs="Arial"/>
          <w:i/>
          <w:iCs/>
          <w:sz w:val="20"/>
          <w:szCs w:val="20"/>
        </w:rPr>
        <w:t>8</w:t>
      </w:r>
      <w:r w:rsidRPr="00DF48FF">
        <w:rPr>
          <w:rFonts w:ascii="Arial" w:hAnsi="Arial" w:cs="Arial"/>
          <w:sz w:val="20"/>
          <w:szCs w:val="20"/>
        </w:rPr>
        <w:t xml:space="preserve"> obsahovalo samostatný modul</w:t>
      </w:r>
      <w:r w:rsidR="00FE20AA">
        <w:rPr>
          <w:rFonts w:ascii="Arial" w:hAnsi="Arial" w:cs="Arial"/>
          <w:sz w:val="20"/>
          <w:szCs w:val="20"/>
        </w:rPr>
        <w:t>,</w:t>
      </w:r>
      <w:r w:rsidR="009D6018">
        <w:rPr>
          <w:rFonts w:ascii="Arial" w:hAnsi="Arial" w:cs="Arial"/>
          <w:sz w:val="20"/>
          <w:szCs w:val="20"/>
        </w:rPr>
        <w:t xml:space="preserve"> který byl zaměřen na pocit životní pohody a spokojenosti v různých oblastech života.</w:t>
      </w:r>
      <w:r w:rsidR="002D2D58">
        <w:rPr>
          <w:rFonts w:ascii="Arial" w:hAnsi="Arial" w:cs="Arial"/>
          <w:sz w:val="20"/>
          <w:szCs w:val="20"/>
        </w:rPr>
        <w:t xml:space="preserve"> </w:t>
      </w:r>
    </w:p>
    <w:p w:rsidR="002A4577" w:rsidRPr="00F83D7E" w:rsidRDefault="002A4577">
      <w:pPr>
        <w:pStyle w:val="Zkladntext"/>
        <w:rPr>
          <w:rFonts w:ascii="Arial" w:hAnsi="Arial" w:cs="Arial"/>
          <w:b/>
          <w:bCs/>
          <w:sz w:val="20"/>
          <w:szCs w:val="20"/>
        </w:rPr>
      </w:pPr>
    </w:p>
    <w:p w:rsidR="001B2640" w:rsidRDefault="00DF48FF" w:rsidP="001B2640">
      <w:pPr>
        <w:pStyle w:val="Zkladntext"/>
        <w:spacing w:after="240"/>
        <w:rPr>
          <w:rFonts w:ascii="Arial" w:hAnsi="Arial" w:cs="Arial"/>
          <w:b/>
          <w:bCs/>
          <w:sz w:val="28"/>
          <w:szCs w:val="28"/>
        </w:rPr>
      </w:pPr>
      <w:r w:rsidRPr="00DF48FF">
        <w:rPr>
          <w:rFonts w:ascii="Arial" w:hAnsi="Arial" w:cs="Arial"/>
          <w:b/>
          <w:bCs/>
          <w:sz w:val="28"/>
          <w:szCs w:val="28"/>
        </w:rPr>
        <w:t>1. Organizace šetření</w:t>
      </w:r>
    </w:p>
    <w:p w:rsidR="001B2640" w:rsidRDefault="00DF48FF" w:rsidP="001B2640">
      <w:pPr>
        <w:pStyle w:val="Zkladntext"/>
        <w:spacing w:after="240"/>
        <w:rPr>
          <w:rFonts w:ascii="Arial" w:hAnsi="Arial" w:cs="Arial"/>
          <w:b/>
          <w:bCs/>
        </w:rPr>
      </w:pPr>
      <w:r w:rsidRPr="00DF48FF">
        <w:rPr>
          <w:rFonts w:ascii="Arial" w:hAnsi="Arial" w:cs="Arial"/>
          <w:b/>
          <w:bCs/>
        </w:rPr>
        <w:t>1.1 Výběr domácností</w:t>
      </w:r>
    </w:p>
    <w:p w:rsidR="002A4577" w:rsidRPr="00B72771" w:rsidRDefault="00DF48FF">
      <w:pPr>
        <w:pStyle w:val="Zkladntext"/>
        <w:spacing w:after="120"/>
        <w:ind w:firstLine="709"/>
        <w:rPr>
          <w:rFonts w:ascii="Arial" w:hAnsi="Arial" w:cs="Arial"/>
          <w:sz w:val="20"/>
          <w:szCs w:val="20"/>
        </w:rPr>
      </w:pPr>
      <w:r w:rsidRPr="00DF48FF">
        <w:rPr>
          <w:rFonts w:ascii="Arial" w:hAnsi="Arial" w:cs="Arial"/>
          <w:sz w:val="20"/>
          <w:szCs w:val="20"/>
        </w:rPr>
        <w:t xml:space="preserve">Zjišťování se uskutečnilo ve všech krajích ČR. V jeho průběhu navštívili pověření </w:t>
      </w:r>
      <w:r w:rsidRPr="00B72771">
        <w:rPr>
          <w:rFonts w:ascii="Arial" w:hAnsi="Arial" w:cs="Arial"/>
          <w:sz w:val="20"/>
          <w:szCs w:val="20"/>
        </w:rPr>
        <w:t xml:space="preserve">tazatelé </w:t>
      </w:r>
      <w:r w:rsidR="00334840" w:rsidRPr="00786FD5">
        <w:rPr>
          <w:rFonts w:ascii="Arial" w:hAnsi="Arial" w:cs="Arial"/>
          <w:sz w:val="20"/>
          <w:szCs w:val="20"/>
        </w:rPr>
        <w:t>6</w:t>
      </w:r>
      <w:r w:rsidR="00E269F7" w:rsidRPr="00B72771">
        <w:rPr>
          <w:rFonts w:ascii="Arial" w:hAnsi="Arial" w:cs="Arial"/>
          <w:sz w:val="20"/>
          <w:szCs w:val="20"/>
        </w:rPr>
        <w:t> </w:t>
      </w:r>
      <w:r w:rsidR="00334840" w:rsidRPr="00B72771">
        <w:rPr>
          <w:rFonts w:ascii="Arial" w:hAnsi="Arial" w:cs="Arial"/>
          <w:sz w:val="20"/>
          <w:szCs w:val="20"/>
        </w:rPr>
        <w:t>802</w:t>
      </w:r>
      <w:r w:rsidRPr="00B72771">
        <w:rPr>
          <w:rFonts w:ascii="Arial" w:hAnsi="Arial" w:cs="Arial"/>
          <w:sz w:val="20"/>
          <w:szCs w:val="20"/>
        </w:rPr>
        <w:t xml:space="preserve"> byt</w:t>
      </w:r>
      <w:r w:rsidR="00334840" w:rsidRPr="00B72771">
        <w:rPr>
          <w:rFonts w:ascii="Arial" w:hAnsi="Arial" w:cs="Arial"/>
          <w:sz w:val="20"/>
          <w:szCs w:val="20"/>
        </w:rPr>
        <w:t>ů</w:t>
      </w:r>
      <w:r w:rsidRPr="00B72771">
        <w:rPr>
          <w:rFonts w:ascii="Arial" w:hAnsi="Arial" w:cs="Arial"/>
          <w:sz w:val="20"/>
          <w:szCs w:val="20"/>
        </w:rPr>
        <w:t xml:space="preserve"> vyšetřených v předchozím roce, dále </w:t>
      </w:r>
      <w:r w:rsidR="00E269F7" w:rsidRPr="00B72771">
        <w:rPr>
          <w:rFonts w:ascii="Arial" w:hAnsi="Arial" w:cs="Arial"/>
          <w:sz w:val="20"/>
          <w:szCs w:val="20"/>
        </w:rPr>
        <w:t>1</w:t>
      </w:r>
      <w:r w:rsidR="00334840" w:rsidRPr="00B72771">
        <w:rPr>
          <w:rFonts w:ascii="Arial" w:hAnsi="Arial" w:cs="Arial"/>
          <w:sz w:val="20"/>
          <w:szCs w:val="20"/>
        </w:rPr>
        <w:t>31</w:t>
      </w:r>
      <w:r w:rsidRPr="00B72771">
        <w:rPr>
          <w:rFonts w:ascii="Arial" w:hAnsi="Arial" w:cs="Arial"/>
          <w:sz w:val="20"/>
          <w:szCs w:val="20"/>
        </w:rPr>
        <w:t xml:space="preserve"> bytů, do kterých se od předchozího roku přestěhovaly některé panelové osoby, a 4 </w:t>
      </w:r>
      <w:r w:rsidR="007342BC" w:rsidRPr="00B72771">
        <w:rPr>
          <w:rFonts w:ascii="Arial" w:hAnsi="Arial" w:cs="Arial"/>
          <w:sz w:val="20"/>
          <w:szCs w:val="20"/>
        </w:rPr>
        <w:t>750</w:t>
      </w:r>
      <w:r w:rsidRPr="00B72771">
        <w:rPr>
          <w:rFonts w:ascii="Arial" w:hAnsi="Arial" w:cs="Arial"/>
          <w:sz w:val="20"/>
          <w:szCs w:val="20"/>
        </w:rPr>
        <w:t xml:space="preserve"> nově náhodně vybraných bytů.</w:t>
      </w:r>
    </w:p>
    <w:p w:rsidR="002A4577" w:rsidRPr="00F83D7E" w:rsidRDefault="00DF48FF">
      <w:pPr>
        <w:pStyle w:val="Zkladntext"/>
        <w:ind w:firstLine="709"/>
        <w:rPr>
          <w:rFonts w:ascii="Arial" w:hAnsi="Arial" w:cs="Arial"/>
          <w:sz w:val="20"/>
          <w:szCs w:val="20"/>
        </w:rPr>
      </w:pPr>
      <w:r w:rsidRPr="00B72771">
        <w:rPr>
          <w:rFonts w:ascii="Arial" w:hAnsi="Arial" w:cs="Arial"/>
          <w:sz w:val="20"/>
          <w:szCs w:val="20"/>
        </w:rPr>
        <w:t>Výběrový plán byl založen na náhodném dvoustupňovém výběru pro každý kraj nezávisle tak, aby</w:t>
      </w:r>
      <w:r w:rsidRPr="00DF48FF">
        <w:rPr>
          <w:rFonts w:ascii="Arial" w:hAnsi="Arial" w:cs="Arial"/>
          <w:sz w:val="20"/>
          <w:szCs w:val="20"/>
        </w:rPr>
        <w:t xml:space="preserve"> celkový počet vybraných bytů byl úměrný velikosti kraje. Na prvním stupni byly na základě Registru sčítacích obvodů náhodně vybrány sčítací obvody (dále též SO), ve vybraných sčítacích obvodech bylo následně na druhém stupni vybíráno 10 bytů.</w:t>
      </w:r>
    </w:p>
    <w:p w:rsidR="002A4577" w:rsidRPr="00F83D7E" w:rsidRDefault="00DF48FF">
      <w:pPr>
        <w:pStyle w:val="Zkladntext"/>
        <w:spacing w:before="120" w:after="120"/>
        <w:ind w:firstLine="709"/>
        <w:rPr>
          <w:rFonts w:ascii="Arial" w:hAnsi="Arial" w:cs="Arial"/>
          <w:sz w:val="20"/>
          <w:szCs w:val="20"/>
        </w:rPr>
      </w:pPr>
      <w:r w:rsidRPr="00DF48FF">
        <w:rPr>
          <w:rFonts w:ascii="Arial" w:hAnsi="Arial" w:cs="Arial"/>
          <w:sz w:val="20"/>
          <w:szCs w:val="20"/>
        </w:rPr>
        <w:t>Před výběrem sčítacích obvodů bylo nutné oporu výběru upravit tak, aby mohly být do šetření zařazeny i sčítací obvody s malým počtem bytů a bylo tak dosaženo požadovaného pokrytí celého území ČR. Malé SO (s méně než 20 trvale obydlenými byty) byly proto nejprve sloučeny s jiným SO v rámci obce a do opory výběru sčítacích obvodů byl zařazen tento sloučený SO. V některých případech je proto 10 vybraných bytů rozděleno do dvou, výjimečně i více sčítacích obvodů.</w:t>
      </w:r>
    </w:p>
    <w:p w:rsidR="001B2640" w:rsidRDefault="00DF48FF" w:rsidP="001B2640">
      <w:pPr>
        <w:pStyle w:val="Zkladntext"/>
        <w:spacing w:after="240"/>
        <w:ind w:firstLine="708"/>
        <w:rPr>
          <w:rFonts w:ascii="Arial" w:hAnsi="Arial" w:cs="Arial"/>
          <w:sz w:val="20"/>
          <w:szCs w:val="20"/>
        </w:rPr>
      </w:pPr>
      <w:r w:rsidRPr="00DF48FF">
        <w:rPr>
          <w:rFonts w:ascii="Arial" w:hAnsi="Arial" w:cs="Arial"/>
          <w:sz w:val="20"/>
          <w:szCs w:val="20"/>
        </w:rPr>
        <w:t xml:space="preserve">Pracovištím ČSÚ v jednotlivých krajích byly zaslány seznamy takto vybraných bytů s adresou a pořadovým číslem vybraného bytu v domě. Jejich úkolem bylo zjistit a do seznamů doplnit jména uživatelů vybraných bytů. </w:t>
      </w:r>
    </w:p>
    <w:p w:rsidR="002A4577" w:rsidRPr="00F83D7E" w:rsidRDefault="002A4577">
      <w:pPr>
        <w:pStyle w:val="Zkladntext"/>
        <w:rPr>
          <w:rFonts w:ascii="Arial" w:hAnsi="Arial" w:cs="Arial"/>
          <w:b/>
          <w:bCs/>
          <w:sz w:val="20"/>
          <w:szCs w:val="20"/>
        </w:rPr>
      </w:pPr>
    </w:p>
    <w:p w:rsidR="001B2640" w:rsidRDefault="00DF48FF" w:rsidP="001B2640">
      <w:pPr>
        <w:pStyle w:val="Zkladntext"/>
        <w:spacing w:after="240"/>
        <w:rPr>
          <w:rFonts w:ascii="Arial" w:hAnsi="Arial" w:cs="Arial"/>
          <w:b/>
          <w:bCs/>
        </w:rPr>
      </w:pPr>
      <w:r w:rsidRPr="00DF48FF">
        <w:rPr>
          <w:rFonts w:ascii="Arial" w:hAnsi="Arial" w:cs="Arial"/>
          <w:b/>
          <w:bCs/>
        </w:rPr>
        <w:t>1.2 Zjišťování údajů v domácnostech</w:t>
      </w:r>
    </w:p>
    <w:p w:rsidR="002A4577" w:rsidRPr="00F83D7E" w:rsidRDefault="00DF48FF">
      <w:pPr>
        <w:pStyle w:val="Zkladntext"/>
        <w:spacing w:after="120"/>
        <w:rPr>
          <w:rFonts w:ascii="Arial" w:hAnsi="Arial" w:cs="Arial"/>
          <w:sz w:val="20"/>
          <w:szCs w:val="20"/>
        </w:rPr>
      </w:pPr>
      <w:r w:rsidRPr="00DF48FF">
        <w:rPr>
          <w:rFonts w:ascii="Arial" w:hAnsi="Arial" w:cs="Arial"/>
          <w:sz w:val="20"/>
          <w:szCs w:val="20"/>
        </w:rPr>
        <w:tab/>
        <w:t>Jednotkou zjišťování je byt. Při první návštěvě (1. vlna) jsou do šetření zahrnuty všechny hospodařící domácnosti a jejich členové, kteří mají ve vybraném bytě obvyklé (tzn. jediné nebo hlavní) bydliště. Toto pravidlo platí i pro cizí státní příslušníky a podnájemníky. Ve 2. až 4. vlně se šetří pouze domácnosti, které zahrnují tzv. panelové osoby, tj. osoby vyšetřené při 1. vlně zjišťování. Panelové osoby odstěhované z původní domácnosti se dohledávají na jejich nové adrese. Do šetření se poté zahrnou všechny osoby, které s dohledanými osobami tvoří hospodařící domácnost.</w:t>
      </w:r>
    </w:p>
    <w:p w:rsidR="002A4577" w:rsidRPr="00F83D7E" w:rsidRDefault="00DF48FF">
      <w:pPr>
        <w:pStyle w:val="Zkladntext"/>
        <w:spacing w:after="120"/>
        <w:ind w:firstLine="709"/>
        <w:rPr>
          <w:rFonts w:ascii="Arial" w:hAnsi="Arial" w:cs="Arial"/>
          <w:sz w:val="20"/>
          <w:szCs w:val="20"/>
        </w:rPr>
      </w:pPr>
      <w:r w:rsidRPr="00DF48FF">
        <w:rPr>
          <w:rFonts w:ascii="Arial" w:hAnsi="Arial" w:cs="Arial"/>
          <w:sz w:val="20"/>
          <w:szCs w:val="20"/>
        </w:rPr>
        <w:t>Zjišťování údajů v terénu se uskutečnilo dvojí</w:t>
      </w:r>
      <w:r w:rsidR="006B3D79">
        <w:rPr>
          <w:rFonts w:ascii="Arial" w:hAnsi="Arial" w:cs="Arial"/>
          <w:sz w:val="20"/>
          <w:szCs w:val="20"/>
        </w:rPr>
        <w:t xml:space="preserve">m způsobem </w:t>
      </w:r>
      <w:r w:rsidRPr="00DF48FF">
        <w:rPr>
          <w:rFonts w:ascii="Arial" w:hAnsi="Arial" w:cs="Arial"/>
          <w:sz w:val="20"/>
          <w:szCs w:val="20"/>
        </w:rPr>
        <w:t xml:space="preserve">– </w:t>
      </w:r>
      <w:r w:rsidR="006B3D79">
        <w:rPr>
          <w:rFonts w:ascii="Arial" w:hAnsi="Arial" w:cs="Arial"/>
          <w:sz w:val="20"/>
          <w:szCs w:val="20"/>
        </w:rPr>
        <w:t xml:space="preserve">převažující část domácností </w:t>
      </w:r>
      <w:r w:rsidR="006B3D79" w:rsidRPr="00DF48FF">
        <w:rPr>
          <w:rFonts w:ascii="Arial" w:hAnsi="Arial" w:cs="Arial"/>
          <w:sz w:val="20"/>
          <w:szCs w:val="20"/>
        </w:rPr>
        <w:t>byla šetřena s využitím elektronického dotazníku (CAPI) v prostředí BLAISE</w:t>
      </w:r>
      <w:r w:rsidR="00A40B37">
        <w:rPr>
          <w:rFonts w:ascii="Arial" w:hAnsi="Arial" w:cs="Arial"/>
          <w:sz w:val="20"/>
          <w:szCs w:val="20"/>
        </w:rPr>
        <w:t xml:space="preserve"> zatímco </w:t>
      </w:r>
      <w:r w:rsidRPr="00DF48FF">
        <w:rPr>
          <w:rFonts w:ascii="Arial" w:hAnsi="Arial" w:cs="Arial"/>
          <w:sz w:val="20"/>
          <w:szCs w:val="20"/>
        </w:rPr>
        <w:t xml:space="preserve">prostřednictvím </w:t>
      </w:r>
      <w:r w:rsidR="00A40B37">
        <w:rPr>
          <w:rFonts w:ascii="Arial" w:hAnsi="Arial" w:cs="Arial"/>
          <w:sz w:val="20"/>
          <w:szCs w:val="20"/>
        </w:rPr>
        <w:t xml:space="preserve">tradičních </w:t>
      </w:r>
      <w:r w:rsidRPr="00DF48FF">
        <w:rPr>
          <w:rFonts w:ascii="Arial" w:hAnsi="Arial" w:cs="Arial"/>
          <w:sz w:val="20"/>
          <w:szCs w:val="20"/>
        </w:rPr>
        <w:t>papírových dotazníků (PAPI)</w:t>
      </w:r>
      <w:r w:rsidR="006B3D79">
        <w:rPr>
          <w:rFonts w:ascii="Arial" w:hAnsi="Arial" w:cs="Arial"/>
          <w:sz w:val="20"/>
          <w:szCs w:val="20"/>
        </w:rPr>
        <w:t xml:space="preserve"> </w:t>
      </w:r>
      <w:r w:rsidR="00A40B37">
        <w:rPr>
          <w:rFonts w:ascii="Arial" w:hAnsi="Arial" w:cs="Arial"/>
          <w:sz w:val="20"/>
          <w:szCs w:val="20"/>
        </w:rPr>
        <w:t xml:space="preserve">provedli tazatelé šetření jen u </w:t>
      </w:r>
      <w:r w:rsidR="006B3D79">
        <w:rPr>
          <w:rFonts w:ascii="Arial" w:hAnsi="Arial" w:cs="Arial"/>
          <w:sz w:val="20"/>
          <w:szCs w:val="20"/>
        </w:rPr>
        <w:t>necel</w:t>
      </w:r>
      <w:r w:rsidR="00A40B37">
        <w:rPr>
          <w:rFonts w:ascii="Arial" w:hAnsi="Arial" w:cs="Arial"/>
          <w:sz w:val="20"/>
          <w:szCs w:val="20"/>
        </w:rPr>
        <w:t>é</w:t>
      </w:r>
      <w:r w:rsidR="006B3D79">
        <w:rPr>
          <w:rFonts w:ascii="Arial" w:hAnsi="Arial" w:cs="Arial"/>
          <w:sz w:val="20"/>
          <w:szCs w:val="20"/>
        </w:rPr>
        <w:t xml:space="preserve"> třetin</w:t>
      </w:r>
      <w:r w:rsidR="00A40B37">
        <w:rPr>
          <w:rFonts w:ascii="Arial" w:hAnsi="Arial" w:cs="Arial"/>
          <w:sz w:val="20"/>
          <w:szCs w:val="20"/>
        </w:rPr>
        <w:t>y</w:t>
      </w:r>
      <w:r w:rsidR="006B3D79" w:rsidRPr="00DF48FF">
        <w:rPr>
          <w:rFonts w:ascii="Arial" w:hAnsi="Arial" w:cs="Arial"/>
          <w:sz w:val="20"/>
          <w:szCs w:val="20"/>
        </w:rPr>
        <w:t xml:space="preserve"> </w:t>
      </w:r>
      <w:r w:rsidR="00A40B37">
        <w:rPr>
          <w:rFonts w:ascii="Arial" w:hAnsi="Arial" w:cs="Arial"/>
          <w:sz w:val="20"/>
          <w:szCs w:val="20"/>
        </w:rPr>
        <w:t>domácností</w:t>
      </w:r>
      <w:r w:rsidRPr="00DF48FF">
        <w:rPr>
          <w:rFonts w:ascii="Arial" w:hAnsi="Arial" w:cs="Arial"/>
          <w:sz w:val="20"/>
          <w:szCs w:val="20"/>
        </w:rPr>
        <w:t xml:space="preserve">. </w:t>
      </w:r>
    </w:p>
    <w:p w:rsidR="002A4577" w:rsidRPr="00F83D7E" w:rsidRDefault="00DF48FF">
      <w:pPr>
        <w:pStyle w:val="Zkladntext"/>
        <w:spacing w:after="120"/>
        <w:ind w:firstLine="709"/>
        <w:rPr>
          <w:rFonts w:ascii="Arial" w:hAnsi="Arial" w:cs="Arial"/>
          <w:sz w:val="20"/>
          <w:szCs w:val="20"/>
        </w:rPr>
      </w:pPr>
      <w:r w:rsidRPr="00DF48FF">
        <w:rPr>
          <w:rFonts w:ascii="Arial" w:hAnsi="Arial" w:cs="Arial"/>
          <w:sz w:val="20"/>
          <w:szCs w:val="20"/>
        </w:rPr>
        <w:t xml:space="preserve">Šetření ve vybraných bytech proběhlo v období od </w:t>
      </w:r>
      <w:r w:rsidR="00624842">
        <w:rPr>
          <w:rFonts w:ascii="Arial" w:hAnsi="Arial" w:cs="Arial"/>
          <w:sz w:val="20"/>
          <w:szCs w:val="20"/>
        </w:rPr>
        <w:t>3</w:t>
      </w:r>
      <w:r w:rsidRPr="00DF48FF">
        <w:rPr>
          <w:rFonts w:ascii="Arial" w:hAnsi="Arial" w:cs="Arial"/>
          <w:sz w:val="20"/>
          <w:szCs w:val="20"/>
        </w:rPr>
        <w:t xml:space="preserve">. února do </w:t>
      </w:r>
      <w:r w:rsidR="00A3763C">
        <w:rPr>
          <w:rFonts w:ascii="Arial" w:hAnsi="Arial" w:cs="Arial"/>
          <w:sz w:val="20"/>
          <w:szCs w:val="20"/>
        </w:rPr>
        <w:t>2</w:t>
      </w:r>
      <w:r w:rsidR="00624842">
        <w:rPr>
          <w:rFonts w:ascii="Arial" w:hAnsi="Arial" w:cs="Arial"/>
          <w:sz w:val="20"/>
          <w:szCs w:val="20"/>
        </w:rPr>
        <w:t>7</w:t>
      </w:r>
      <w:r w:rsidRPr="00DF48FF">
        <w:rPr>
          <w:rFonts w:ascii="Arial" w:hAnsi="Arial" w:cs="Arial"/>
          <w:sz w:val="20"/>
          <w:szCs w:val="20"/>
        </w:rPr>
        <w:t xml:space="preserve">. </w:t>
      </w:r>
      <w:r w:rsidR="00A3763C">
        <w:rPr>
          <w:rFonts w:ascii="Arial" w:hAnsi="Arial" w:cs="Arial"/>
          <w:sz w:val="20"/>
          <w:szCs w:val="20"/>
        </w:rPr>
        <w:t>k</w:t>
      </w:r>
      <w:r w:rsidR="007F5D1C">
        <w:rPr>
          <w:rFonts w:ascii="Arial" w:hAnsi="Arial" w:cs="Arial"/>
          <w:sz w:val="20"/>
          <w:szCs w:val="20"/>
        </w:rPr>
        <w:t>větna</w:t>
      </w:r>
      <w:r w:rsidR="00A3763C">
        <w:rPr>
          <w:rFonts w:ascii="Arial" w:hAnsi="Arial" w:cs="Arial"/>
          <w:sz w:val="20"/>
          <w:szCs w:val="20"/>
        </w:rPr>
        <w:t xml:space="preserve"> 201</w:t>
      </w:r>
      <w:r w:rsidR="00624842">
        <w:rPr>
          <w:rFonts w:ascii="Arial" w:hAnsi="Arial" w:cs="Arial"/>
          <w:sz w:val="20"/>
          <w:szCs w:val="20"/>
        </w:rPr>
        <w:t>8</w:t>
      </w:r>
      <w:r w:rsidRPr="00DF48FF">
        <w:rPr>
          <w:rFonts w:ascii="Arial" w:hAnsi="Arial" w:cs="Arial"/>
          <w:sz w:val="20"/>
          <w:szCs w:val="20"/>
        </w:rPr>
        <w:t xml:space="preserve">, a bylo koordinováno pracovníky oddělení terénních zjišťování v jednotlivých krajích, kteří zároveň zajistili metodické školení tazatelů. </w:t>
      </w:r>
    </w:p>
    <w:p w:rsidR="002A4577" w:rsidRPr="00F83D7E" w:rsidRDefault="00DF48FF">
      <w:pPr>
        <w:pStyle w:val="Zkladntext"/>
        <w:spacing w:after="120"/>
        <w:ind w:firstLine="709"/>
        <w:rPr>
          <w:rFonts w:ascii="Arial" w:hAnsi="Arial" w:cs="Arial"/>
          <w:sz w:val="20"/>
          <w:szCs w:val="20"/>
        </w:rPr>
      </w:pPr>
      <w:r w:rsidRPr="00DF48FF">
        <w:rPr>
          <w:rFonts w:ascii="Arial" w:hAnsi="Arial" w:cs="Arial"/>
          <w:sz w:val="20"/>
          <w:szCs w:val="20"/>
        </w:rPr>
        <w:t>Šetření probíhalo formou rozhovoru a zjištěné údaje tazatel zapisoval do předepsaných formulářů, resp. vkládal do elektronického dotazníku. Referenční období bylo odlišné pro různé okruhy otázek, což je podrobněji popsáno v kap. 2.</w:t>
      </w:r>
    </w:p>
    <w:p w:rsidR="001B2640" w:rsidRDefault="00DF48FF" w:rsidP="001B2640">
      <w:pPr>
        <w:pStyle w:val="Zkladntext"/>
        <w:spacing w:after="240"/>
        <w:rPr>
          <w:rFonts w:ascii="Arial" w:hAnsi="Arial" w:cs="Arial"/>
          <w:sz w:val="20"/>
          <w:szCs w:val="20"/>
        </w:rPr>
      </w:pPr>
      <w:r w:rsidRPr="00DF48FF">
        <w:rPr>
          <w:rFonts w:ascii="Arial" w:hAnsi="Arial" w:cs="Arial"/>
          <w:sz w:val="20"/>
          <w:szCs w:val="20"/>
        </w:rPr>
        <w:tab/>
      </w:r>
      <w:r w:rsidRPr="00DF48FF">
        <w:rPr>
          <w:rFonts w:ascii="Arial" w:hAnsi="Arial" w:cs="Arial"/>
          <w:sz w:val="20"/>
          <w:szCs w:val="20"/>
          <w:u w:val="single"/>
        </w:rPr>
        <w:t>Dotazník A</w:t>
      </w:r>
      <w:r w:rsidRPr="00DF48FF">
        <w:rPr>
          <w:rFonts w:ascii="Arial" w:hAnsi="Arial" w:cs="Arial"/>
          <w:sz w:val="20"/>
          <w:szCs w:val="20"/>
        </w:rPr>
        <w:t xml:space="preserve"> se vztahoval k celému bytu, obsahoval seznam obvykle bydlících osob v daném bytě a přehled jejich základních demografických charakteristik: měsíc a rok narození, pohlaví, rodinný stav, rodinné </w:t>
      </w:r>
      <w:r w:rsidRPr="00DF48FF">
        <w:rPr>
          <w:rFonts w:ascii="Arial" w:hAnsi="Arial" w:cs="Arial"/>
          <w:sz w:val="20"/>
          <w:szCs w:val="20"/>
        </w:rPr>
        <w:lastRenderedPageBreak/>
        <w:t xml:space="preserve">vztahy, rok sňatku, nejvyšší dokončené vzdělání a současné studium. Dále se zjišťovaly údaje o společném hospodaření osob bydlících v bytě, jejich vztah k uživateli bytu a k osobě v čele hospodařící domácnosti. </w:t>
      </w:r>
    </w:p>
    <w:p w:rsidR="002A4577" w:rsidRPr="00F83D7E" w:rsidRDefault="00DF48FF">
      <w:pPr>
        <w:pStyle w:val="Zkladntext"/>
        <w:rPr>
          <w:rFonts w:ascii="Arial" w:hAnsi="Arial" w:cs="Arial"/>
          <w:sz w:val="20"/>
          <w:szCs w:val="20"/>
        </w:rPr>
      </w:pPr>
      <w:r w:rsidRPr="00DF48FF">
        <w:rPr>
          <w:rFonts w:ascii="Arial" w:hAnsi="Arial" w:cs="Arial"/>
          <w:sz w:val="20"/>
          <w:szCs w:val="20"/>
        </w:rPr>
        <w:tab/>
      </w:r>
      <w:r w:rsidRPr="00DF48FF">
        <w:rPr>
          <w:rFonts w:ascii="Arial" w:hAnsi="Arial" w:cs="Arial"/>
          <w:sz w:val="20"/>
          <w:szCs w:val="20"/>
          <w:u w:val="single"/>
        </w:rPr>
        <w:t>Dotazník B</w:t>
      </w:r>
      <w:r w:rsidRPr="00DF48FF">
        <w:rPr>
          <w:rFonts w:ascii="Arial" w:hAnsi="Arial" w:cs="Arial"/>
          <w:sz w:val="20"/>
          <w:szCs w:val="20"/>
        </w:rPr>
        <w:t xml:space="preserve"> se vyplňoval zvlášť za každou samostatně hospodařící domácnost a byl zaměřen na tyto skupiny otázek:</w:t>
      </w:r>
    </w:p>
    <w:p w:rsidR="002A4577" w:rsidRPr="00F83D7E" w:rsidRDefault="00DF48FF">
      <w:pPr>
        <w:pStyle w:val="Zkladntext"/>
        <w:numPr>
          <w:ilvl w:val="0"/>
          <w:numId w:val="23"/>
        </w:numPr>
        <w:spacing w:before="120" w:after="120"/>
        <w:ind w:left="357" w:hanging="357"/>
        <w:rPr>
          <w:rFonts w:ascii="Arial" w:hAnsi="Arial" w:cs="Arial"/>
          <w:sz w:val="20"/>
          <w:szCs w:val="20"/>
        </w:rPr>
      </w:pPr>
      <w:r w:rsidRPr="00DF48FF">
        <w:rPr>
          <w:rFonts w:ascii="Arial" w:hAnsi="Arial" w:cs="Arial"/>
          <w:sz w:val="20"/>
          <w:szCs w:val="20"/>
        </w:rPr>
        <w:t>bydlení - počet místností a plocha bytu, problémy spojené s bydlením, právní forma užívání bytu, údaje o</w:t>
      </w:r>
      <w:r w:rsidR="002D2D58">
        <w:rPr>
          <w:rFonts w:ascii="Arial" w:hAnsi="Arial" w:cs="Arial"/>
          <w:sz w:val="20"/>
          <w:szCs w:val="20"/>
        </w:rPr>
        <w:t> </w:t>
      </w:r>
      <w:r w:rsidRPr="00DF48FF">
        <w:rPr>
          <w:rFonts w:ascii="Arial" w:hAnsi="Arial" w:cs="Arial"/>
          <w:sz w:val="20"/>
          <w:szCs w:val="20"/>
        </w:rPr>
        <w:t>hypotéce, náklady na bydlení, subjektivní hodnocení zátěže domácnosti celkovými výdaji na bydlení,</w:t>
      </w:r>
    </w:p>
    <w:p w:rsidR="002A4577" w:rsidRPr="00F83D7E" w:rsidRDefault="00DF48FF">
      <w:pPr>
        <w:pStyle w:val="Zkladntext"/>
        <w:numPr>
          <w:ilvl w:val="0"/>
          <w:numId w:val="23"/>
        </w:numPr>
        <w:spacing w:after="120"/>
        <w:ind w:left="357" w:hanging="357"/>
        <w:rPr>
          <w:rFonts w:ascii="Arial" w:hAnsi="Arial" w:cs="Arial"/>
          <w:sz w:val="20"/>
          <w:szCs w:val="20"/>
        </w:rPr>
      </w:pPr>
      <w:r w:rsidRPr="00DF48FF">
        <w:rPr>
          <w:rFonts w:ascii="Arial" w:hAnsi="Arial" w:cs="Arial"/>
          <w:sz w:val="20"/>
          <w:szCs w:val="20"/>
        </w:rPr>
        <w:t>vybavení domácnosti vybranými předměty dlouhodobého užívání,</w:t>
      </w:r>
    </w:p>
    <w:p w:rsidR="002A4577" w:rsidRPr="00F83D7E" w:rsidRDefault="00DF48FF">
      <w:pPr>
        <w:pStyle w:val="Zkladntext"/>
        <w:numPr>
          <w:ilvl w:val="0"/>
          <w:numId w:val="23"/>
        </w:numPr>
        <w:spacing w:after="120"/>
        <w:ind w:left="357" w:hanging="357"/>
        <w:rPr>
          <w:rFonts w:ascii="Arial" w:hAnsi="Arial" w:cs="Arial"/>
          <w:sz w:val="20"/>
          <w:szCs w:val="20"/>
        </w:rPr>
      </w:pPr>
      <w:r w:rsidRPr="00DF48FF">
        <w:rPr>
          <w:rFonts w:ascii="Arial" w:hAnsi="Arial" w:cs="Arial"/>
          <w:sz w:val="20"/>
          <w:szCs w:val="20"/>
        </w:rPr>
        <w:t>finanční situace - splátky a spotřebitelské úvěry a subjektivní hodnocení jejich dopadu na finanční situaci domácnosti, finanční dostupnost určitých výrobků a služeb, problémy s úhradou některých plateb,</w:t>
      </w:r>
    </w:p>
    <w:p w:rsidR="002A4577" w:rsidRPr="00F83D7E" w:rsidRDefault="00DF48FF">
      <w:pPr>
        <w:pStyle w:val="Zkladntext"/>
        <w:numPr>
          <w:ilvl w:val="0"/>
          <w:numId w:val="23"/>
        </w:numPr>
        <w:spacing w:after="120"/>
        <w:ind w:left="357" w:hanging="357"/>
        <w:rPr>
          <w:rFonts w:ascii="Arial" w:hAnsi="Arial" w:cs="Arial"/>
          <w:sz w:val="20"/>
          <w:szCs w:val="20"/>
        </w:rPr>
      </w:pPr>
      <w:r w:rsidRPr="00DF48FF">
        <w:rPr>
          <w:rFonts w:ascii="Arial" w:hAnsi="Arial" w:cs="Arial"/>
          <w:sz w:val="20"/>
          <w:szCs w:val="20"/>
        </w:rPr>
        <w:t>spotřeba produkce z vlastního hospodářství nebo podniku - respondentův odhad hodnoty nebo množství bezplatně získaných potravin, průmyslových výrobků nebo služeb,</w:t>
      </w:r>
    </w:p>
    <w:p w:rsidR="002A4577" w:rsidRPr="00F83D7E" w:rsidRDefault="00DF48FF">
      <w:pPr>
        <w:pStyle w:val="Zkladntext"/>
        <w:numPr>
          <w:ilvl w:val="0"/>
          <w:numId w:val="23"/>
        </w:numPr>
        <w:spacing w:after="120"/>
        <w:ind w:left="357" w:hanging="357"/>
        <w:rPr>
          <w:rFonts w:ascii="Arial" w:hAnsi="Arial" w:cs="Arial"/>
          <w:sz w:val="20"/>
          <w:szCs w:val="20"/>
        </w:rPr>
      </w:pPr>
      <w:r w:rsidRPr="00DF48FF">
        <w:rPr>
          <w:rFonts w:ascii="Arial" w:hAnsi="Arial" w:cs="Arial"/>
          <w:sz w:val="20"/>
          <w:szCs w:val="20"/>
        </w:rPr>
        <w:t>transfery mezi domácnostmi - peněžní a naturální přesuny mezi domácnostmi a osobami, které nežijí ve společné domácnosti (výživné, pravidelné peněžní příspěvky, jednorázové a mimořádné částky, hodnota potravin, průmyslových výrobků a služeb získaných darem nebo darovaných),</w:t>
      </w:r>
    </w:p>
    <w:p w:rsidR="002A4577" w:rsidRPr="00F83D7E" w:rsidRDefault="00DF48FF">
      <w:pPr>
        <w:pStyle w:val="Zkladntext"/>
        <w:numPr>
          <w:ilvl w:val="0"/>
          <w:numId w:val="23"/>
        </w:numPr>
        <w:spacing w:after="120"/>
        <w:ind w:left="357" w:hanging="357"/>
        <w:rPr>
          <w:rFonts w:ascii="Arial" w:hAnsi="Arial" w:cs="Arial"/>
          <w:sz w:val="20"/>
          <w:szCs w:val="20"/>
        </w:rPr>
      </w:pPr>
      <w:r w:rsidRPr="00DF48FF">
        <w:rPr>
          <w:rFonts w:ascii="Arial" w:hAnsi="Arial" w:cs="Arial"/>
          <w:sz w:val="20"/>
          <w:szCs w:val="20"/>
        </w:rPr>
        <w:t>dávky státní sociální podpory a sociální péče,</w:t>
      </w:r>
    </w:p>
    <w:p w:rsidR="001B2640" w:rsidRDefault="00DF48FF" w:rsidP="001B2640">
      <w:pPr>
        <w:pStyle w:val="Zkladntext"/>
        <w:numPr>
          <w:ilvl w:val="0"/>
          <w:numId w:val="23"/>
        </w:numPr>
        <w:spacing w:after="240"/>
        <w:ind w:left="357" w:hanging="357"/>
        <w:rPr>
          <w:rFonts w:ascii="Arial" w:hAnsi="Arial" w:cs="Arial"/>
          <w:sz w:val="20"/>
          <w:szCs w:val="20"/>
        </w:rPr>
      </w:pPr>
      <w:r w:rsidRPr="00DF48FF">
        <w:rPr>
          <w:rFonts w:ascii="Arial" w:hAnsi="Arial" w:cs="Arial"/>
          <w:sz w:val="20"/>
          <w:szCs w:val="20"/>
        </w:rPr>
        <w:t>příjmy z pronájmu, daně z</w:t>
      </w:r>
      <w:r w:rsidR="008172D5">
        <w:rPr>
          <w:rFonts w:ascii="Arial" w:hAnsi="Arial" w:cs="Arial"/>
          <w:sz w:val="20"/>
          <w:szCs w:val="20"/>
        </w:rPr>
        <w:t> </w:t>
      </w:r>
      <w:r w:rsidRPr="00DF48FF">
        <w:rPr>
          <w:rFonts w:ascii="Arial" w:hAnsi="Arial" w:cs="Arial"/>
          <w:sz w:val="20"/>
          <w:szCs w:val="20"/>
        </w:rPr>
        <w:t>nemovitostí</w:t>
      </w:r>
      <w:r w:rsidR="008172D5">
        <w:rPr>
          <w:rFonts w:ascii="Arial" w:hAnsi="Arial" w:cs="Arial"/>
          <w:sz w:val="20"/>
          <w:szCs w:val="20"/>
        </w:rPr>
        <w:t>.</w:t>
      </w:r>
    </w:p>
    <w:p w:rsidR="001B2640" w:rsidRDefault="00D309DB" w:rsidP="00786FD5">
      <w:pPr>
        <w:pStyle w:val="Zkladntext"/>
        <w:spacing w:after="240"/>
        <w:rPr>
          <w:rFonts w:ascii="Arial" w:hAnsi="Arial" w:cs="Arial"/>
          <w:sz w:val="20"/>
          <w:szCs w:val="20"/>
        </w:rPr>
      </w:pPr>
      <w:r w:rsidRPr="00DF48FF">
        <w:rPr>
          <w:rFonts w:ascii="Arial" w:hAnsi="Arial" w:cs="Arial"/>
          <w:sz w:val="20"/>
          <w:szCs w:val="20"/>
        </w:rPr>
        <w:tab/>
      </w:r>
      <w:r w:rsidR="00DF48FF" w:rsidRPr="00DF48FF">
        <w:rPr>
          <w:rFonts w:ascii="Arial" w:hAnsi="Arial" w:cs="Arial"/>
          <w:sz w:val="20"/>
          <w:szCs w:val="20"/>
          <w:u w:val="single"/>
        </w:rPr>
        <w:t>Dotazník C</w:t>
      </w:r>
      <w:r w:rsidR="00DF48FF" w:rsidRPr="00DF48FF">
        <w:rPr>
          <w:rFonts w:ascii="Arial" w:hAnsi="Arial" w:cs="Arial"/>
          <w:sz w:val="20"/>
          <w:szCs w:val="20"/>
        </w:rPr>
        <w:t xml:space="preserve"> se týkal osob, které ke konci roku 201</w:t>
      </w:r>
      <w:r w:rsidR="00BA50CD">
        <w:rPr>
          <w:rFonts w:ascii="Arial" w:hAnsi="Arial" w:cs="Arial"/>
          <w:sz w:val="20"/>
          <w:szCs w:val="20"/>
        </w:rPr>
        <w:t>7</w:t>
      </w:r>
      <w:r w:rsidR="00DF48FF" w:rsidRPr="00DF48FF">
        <w:rPr>
          <w:rFonts w:ascii="Arial" w:hAnsi="Arial" w:cs="Arial"/>
          <w:sz w:val="20"/>
          <w:szCs w:val="20"/>
        </w:rPr>
        <w:t xml:space="preserve"> dovršily věk 16 a více let. Zjišťovaly se údaje v následujících oblastech:</w:t>
      </w:r>
    </w:p>
    <w:p w:rsidR="002A4577" w:rsidRPr="00F83D7E" w:rsidRDefault="00DF48FF">
      <w:pPr>
        <w:pStyle w:val="Zkladntext"/>
        <w:numPr>
          <w:ilvl w:val="0"/>
          <w:numId w:val="24"/>
        </w:numPr>
        <w:spacing w:before="120" w:after="120"/>
        <w:ind w:left="357" w:hanging="357"/>
        <w:rPr>
          <w:rFonts w:ascii="Arial" w:hAnsi="Arial" w:cs="Arial"/>
          <w:sz w:val="20"/>
          <w:szCs w:val="20"/>
        </w:rPr>
      </w:pPr>
      <w:r w:rsidRPr="00DF48FF">
        <w:rPr>
          <w:rFonts w:ascii="Arial" w:hAnsi="Arial" w:cs="Arial"/>
          <w:sz w:val="20"/>
          <w:szCs w:val="20"/>
        </w:rPr>
        <w:t xml:space="preserve">pracovní aktivita - </w:t>
      </w:r>
      <w:proofErr w:type="spellStart"/>
      <w:r w:rsidRPr="00DF48FF">
        <w:rPr>
          <w:rFonts w:ascii="Arial" w:hAnsi="Arial" w:cs="Arial"/>
          <w:sz w:val="20"/>
          <w:szCs w:val="20"/>
        </w:rPr>
        <w:t>sebezařazení</w:t>
      </w:r>
      <w:proofErr w:type="spellEnd"/>
      <w:r w:rsidRPr="00DF48FF">
        <w:rPr>
          <w:rFonts w:ascii="Arial" w:hAnsi="Arial" w:cs="Arial"/>
          <w:sz w:val="20"/>
          <w:szCs w:val="20"/>
        </w:rPr>
        <w:t xml:space="preserve"> respondenta z hlediska jeho hlavní pracovní činnosti (zaměstnanec, samostatně činný, osoba na placené mateřské dovolené, osoba pobírající rodičovský příspěvek, nezaměstnaný, student nebo učeň, osoba ve starobním důchodu, osoba v invalidním důchodu, osoba v domácnosti, ostatní ekonomicky neaktivní); u nezaměstnaných osob se zjišťovala doba nezaměstnanosti, evidence na úřadu práce a způsob hledání práce; dále byly zjišťovány údaje o bývalém či současném hlavním zaměstnání osob a o jejich případné vedlejší činnosti,</w:t>
      </w:r>
    </w:p>
    <w:p w:rsidR="002A4577" w:rsidRPr="00F83D7E" w:rsidRDefault="00DF48FF">
      <w:pPr>
        <w:pStyle w:val="Zkladntext"/>
        <w:numPr>
          <w:ilvl w:val="0"/>
          <w:numId w:val="24"/>
        </w:numPr>
        <w:spacing w:after="120"/>
        <w:ind w:left="357" w:hanging="357"/>
        <w:rPr>
          <w:rFonts w:ascii="Arial" w:hAnsi="Arial" w:cs="Arial"/>
          <w:sz w:val="20"/>
          <w:szCs w:val="20"/>
        </w:rPr>
      </w:pPr>
      <w:r w:rsidRPr="00DF48FF">
        <w:rPr>
          <w:rFonts w:ascii="Arial" w:hAnsi="Arial" w:cs="Arial"/>
          <w:sz w:val="20"/>
          <w:szCs w:val="20"/>
        </w:rPr>
        <w:t>příjmy byly zjišťovány v návaznosti na typ pracovní aktivity, tj. příjmy ze závislé činnosti, příjmy z podnikání a jiné samostatně výdělečné činnosti, příjmy z vedlejších činností, požitky od zaměstnavatele, ostatní příjmy, sociální dávky, uplatňované úlevy na dani z příjmů (např. odčitatelné položky, slevy na dani),</w:t>
      </w:r>
    </w:p>
    <w:p w:rsidR="002A4577" w:rsidRPr="00F83D7E" w:rsidRDefault="00DF48FF">
      <w:pPr>
        <w:pStyle w:val="Zkladntext"/>
        <w:numPr>
          <w:ilvl w:val="0"/>
          <w:numId w:val="24"/>
        </w:numPr>
        <w:spacing w:after="120"/>
        <w:ind w:left="357" w:hanging="357"/>
        <w:rPr>
          <w:rFonts w:ascii="Arial" w:hAnsi="Arial" w:cs="Arial"/>
          <w:sz w:val="20"/>
          <w:szCs w:val="20"/>
        </w:rPr>
      </w:pPr>
      <w:r w:rsidRPr="00DF48FF">
        <w:rPr>
          <w:rFonts w:ascii="Arial" w:hAnsi="Arial" w:cs="Arial"/>
          <w:sz w:val="20"/>
          <w:szCs w:val="20"/>
        </w:rPr>
        <w:t>penzijní připojištění,</w:t>
      </w:r>
    </w:p>
    <w:p w:rsidR="002A4577" w:rsidRPr="00F83D7E" w:rsidRDefault="00DF48FF" w:rsidP="002D3639">
      <w:pPr>
        <w:pStyle w:val="Zkladntext"/>
        <w:numPr>
          <w:ilvl w:val="0"/>
          <w:numId w:val="24"/>
        </w:numPr>
        <w:spacing w:after="120"/>
        <w:ind w:left="357" w:hanging="357"/>
        <w:rPr>
          <w:rFonts w:ascii="Arial" w:hAnsi="Arial" w:cs="Arial"/>
          <w:sz w:val="20"/>
          <w:szCs w:val="20"/>
        </w:rPr>
      </w:pPr>
      <w:r w:rsidRPr="00DF48FF">
        <w:rPr>
          <w:rFonts w:ascii="Arial" w:hAnsi="Arial" w:cs="Arial"/>
          <w:sz w:val="20"/>
          <w:szCs w:val="20"/>
        </w:rPr>
        <w:t>biografické informace (země narození, státní příslušnost),</w:t>
      </w:r>
    </w:p>
    <w:p w:rsidR="001D37F3" w:rsidRPr="00F83D7E" w:rsidRDefault="00DF48FF">
      <w:pPr>
        <w:pStyle w:val="Zkladntext"/>
        <w:numPr>
          <w:ilvl w:val="0"/>
          <w:numId w:val="24"/>
        </w:numPr>
        <w:spacing w:after="120"/>
        <w:ind w:left="357" w:hanging="357"/>
        <w:rPr>
          <w:rFonts w:ascii="Arial" w:hAnsi="Arial" w:cs="Arial"/>
          <w:sz w:val="20"/>
          <w:szCs w:val="20"/>
        </w:rPr>
      </w:pPr>
      <w:r w:rsidRPr="00DF48FF">
        <w:rPr>
          <w:rFonts w:ascii="Arial" w:hAnsi="Arial" w:cs="Arial"/>
          <w:sz w:val="20"/>
          <w:szCs w:val="20"/>
        </w:rPr>
        <w:t xml:space="preserve">otázky zaměřené na sociální a materiální podmínky,   </w:t>
      </w:r>
    </w:p>
    <w:p w:rsidR="002D3639" w:rsidRDefault="00DF48FF" w:rsidP="00786FD5">
      <w:pPr>
        <w:pStyle w:val="Zkladntext"/>
        <w:numPr>
          <w:ilvl w:val="0"/>
          <w:numId w:val="24"/>
        </w:numPr>
        <w:spacing w:after="240"/>
        <w:ind w:left="357" w:hanging="357"/>
        <w:rPr>
          <w:rFonts w:ascii="Arial" w:hAnsi="Arial" w:cs="Arial"/>
          <w:sz w:val="20"/>
          <w:szCs w:val="20"/>
        </w:rPr>
      </w:pPr>
      <w:r w:rsidRPr="00DF48FF">
        <w:rPr>
          <w:rFonts w:ascii="Arial" w:hAnsi="Arial" w:cs="Arial"/>
          <w:sz w:val="20"/>
          <w:szCs w:val="20"/>
        </w:rPr>
        <w:t>sebehodnocení zdravotního stavu a návštěvy lékařů.</w:t>
      </w:r>
    </w:p>
    <w:p w:rsidR="00092BF4" w:rsidRPr="00092BF4" w:rsidRDefault="00092BF4" w:rsidP="00786FD5">
      <w:pPr>
        <w:pStyle w:val="Zkladntext"/>
        <w:spacing w:after="120"/>
        <w:ind w:firstLine="709"/>
        <w:rPr>
          <w:rFonts w:ascii="Arial" w:hAnsi="Arial" w:cs="Arial"/>
          <w:sz w:val="20"/>
          <w:szCs w:val="20"/>
        </w:rPr>
      </w:pPr>
      <w:r w:rsidRPr="00DF48FF">
        <w:rPr>
          <w:rFonts w:ascii="Arial" w:hAnsi="Arial" w:cs="Arial"/>
          <w:sz w:val="20"/>
          <w:szCs w:val="20"/>
          <w:u w:val="single"/>
        </w:rPr>
        <w:t>Dotazník C</w:t>
      </w:r>
      <w:r>
        <w:rPr>
          <w:rFonts w:ascii="Arial" w:hAnsi="Arial" w:cs="Arial"/>
          <w:sz w:val="20"/>
          <w:szCs w:val="20"/>
          <w:u w:val="single"/>
        </w:rPr>
        <w:t>M</w:t>
      </w:r>
      <w:r>
        <w:rPr>
          <w:rFonts w:ascii="Arial" w:hAnsi="Arial" w:cs="Arial"/>
          <w:sz w:val="20"/>
          <w:szCs w:val="20"/>
        </w:rPr>
        <w:t xml:space="preserve"> se týkal všech přítomných šestnáctiletých a starších osob v domácnosti, šetření </w:t>
      </w:r>
      <w:proofErr w:type="spellStart"/>
      <w:r>
        <w:rPr>
          <w:rFonts w:ascii="Arial" w:hAnsi="Arial" w:cs="Arial"/>
          <w:sz w:val="20"/>
          <w:szCs w:val="20"/>
        </w:rPr>
        <w:t>proxy</w:t>
      </w:r>
      <w:proofErr w:type="spellEnd"/>
      <w:r>
        <w:rPr>
          <w:rFonts w:ascii="Arial" w:hAnsi="Arial" w:cs="Arial"/>
          <w:sz w:val="20"/>
          <w:szCs w:val="20"/>
        </w:rPr>
        <w:t xml:space="preserve"> se </w:t>
      </w:r>
      <w:r w:rsidR="00492B54">
        <w:rPr>
          <w:rFonts w:ascii="Arial" w:hAnsi="Arial" w:cs="Arial"/>
          <w:sz w:val="20"/>
          <w:szCs w:val="20"/>
        </w:rPr>
        <w:t xml:space="preserve">nepřipouštělo. Modulové otázky byly zaměřeny na téma </w:t>
      </w:r>
      <w:proofErr w:type="spellStart"/>
      <w:r w:rsidR="00492B54">
        <w:rPr>
          <w:rFonts w:ascii="Arial" w:hAnsi="Arial" w:cs="Arial"/>
          <w:sz w:val="20"/>
          <w:szCs w:val="20"/>
        </w:rPr>
        <w:t>well-being</w:t>
      </w:r>
      <w:proofErr w:type="spellEnd"/>
      <w:r w:rsidR="00492B54">
        <w:rPr>
          <w:rFonts w:ascii="Arial" w:hAnsi="Arial" w:cs="Arial"/>
          <w:sz w:val="20"/>
          <w:szCs w:val="20"/>
        </w:rPr>
        <w:t>, kterým se označuje pocit životní pohody a spokojenosti v různých oblastech života.</w:t>
      </w:r>
    </w:p>
    <w:p w:rsidR="00092BF4" w:rsidRPr="00F83D7E" w:rsidRDefault="00092BF4" w:rsidP="00786FD5">
      <w:pPr>
        <w:pStyle w:val="Zkladntext"/>
        <w:ind w:left="357"/>
        <w:rPr>
          <w:rFonts w:ascii="Arial" w:hAnsi="Arial" w:cs="Arial"/>
          <w:sz w:val="20"/>
          <w:szCs w:val="20"/>
        </w:rPr>
      </w:pPr>
    </w:p>
    <w:p w:rsidR="001B2640" w:rsidRDefault="00DF48FF" w:rsidP="001B2640">
      <w:pPr>
        <w:pStyle w:val="Zkladntext"/>
        <w:spacing w:after="240"/>
        <w:rPr>
          <w:rFonts w:ascii="Arial" w:hAnsi="Arial" w:cs="Arial"/>
        </w:rPr>
      </w:pPr>
      <w:r w:rsidRPr="00DF48FF">
        <w:rPr>
          <w:rFonts w:ascii="Arial" w:hAnsi="Arial" w:cs="Arial"/>
          <w:b/>
          <w:bCs/>
        </w:rPr>
        <w:t>1.3 Kontrola dotazníkového materiálu a pořízených dat</w:t>
      </w:r>
    </w:p>
    <w:p w:rsidR="002A4577" w:rsidRPr="00A4215F" w:rsidRDefault="00DF48FF" w:rsidP="0041653F">
      <w:pPr>
        <w:pStyle w:val="Zkladntext"/>
        <w:spacing w:after="120"/>
        <w:rPr>
          <w:rFonts w:ascii="Arial" w:hAnsi="Arial" w:cs="Arial"/>
          <w:sz w:val="20"/>
          <w:szCs w:val="20"/>
        </w:rPr>
      </w:pPr>
      <w:r w:rsidRPr="00DF48FF">
        <w:rPr>
          <w:rFonts w:ascii="Arial" w:hAnsi="Arial" w:cs="Arial"/>
          <w:sz w:val="20"/>
          <w:szCs w:val="20"/>
        </w:rPr>
        <w:tab/>
      </w:r>
      <w:r w:rsidRPr="00A4215F">
        <w:rPr>
          <w:rFonts w:ascii="Arial" w:hAnsi="Arial" w:cs="Arial"/>
          <w:sz w:val="20"/>
          <w:szCs w:val="20"/>
        </w:rPr>
        <w:t>Přejímku vyplněných papírových dotazníků od tazatelů</w:t>
      </w:r>
      <w:r w:rsidR="00A4215F">
        <w:rPr>
          <w:rFonts w:ascii="Arial" w:hAnsi="Arial" w:cs="Arial"/>
          <w:sz w:val="20"/>
          <w:szCs w:val="20"/>
        </w:rPr>
        <w:t xml:space="preserve"> </w:t>
      </w:r>
      <w:r w:rsidRPr="00A4215F">
        <w:rPr>
          <w:rFonts w:ascii="Arial" w:hAnsi="Arial" w:cs="Arial"/>
          <w:sz w:val="20"/>
          <w:szCs w:val="20"/>
        </w:rPr>
        <w:t xml:space="preserve">a </w:t>
      </w:r>
      <w:r w:rsidR="00A4215F">
        <w:rPr>
          <w:rFonts w:ascii="Arial" w:hAnsi="Arial" w:cs="Arial"/>
          <w:sz w:val="20"/>
          <w:szCs w:val="20"/>
        </w:rPr>
        <w:t xml:space="preserve">jejich </w:t>
      </w:r>
      <w:r w:rsidR="001B2640" w:rsidRPr="001B2640">
        <w:rPr>
          <w:rFonts w:ascii="Arial" w:hAnsi="Arial" w:cs="Arial"/>
          <w:sz w:val="20"/>
          <w:szCs w:val="20"/>
        </w:rPr>
        <w:t>přepis do elektronick</w:t>
      </w:r>
      <w:r w:rsidR="00A4215F">
        <w:rPr>
          <w:rFonts w:ascii="Arial" w:hAnsi="Arial" w:cs="Arial"/>
          <w:sz w:val="20"/>
          <w:szCs w:val="20"/>
        </w:rPr>
        <w:t>ých dotazníků (</w:t>
      </w:r>
      <w:r w:rsidR="001B2640" w:rsidRPr="001B2640">
        <w:rPr>
          <w:rFonts w:ascii="Arial" w:hAnsi="Arial" w:cs="Arial"/>
          <w:sz w:val="20"/>
          <w:szCs w:val="20"/>
        </w:rPr>
        <w:t xml:space="preserve">včetně </w:t>
      </w:r>
      <w:r w:rsidR="00A4215F">
        <w:rPr>
          <w:rFonts w:ascii="Arial" w:hAnsi="Arial" w:cs="Arial"/>
          <w:sz w:val="20"/>
          <w:szCs w:val="20"/>
        </w:rPr>
        <w:t>za</w:t>
      </w:r>
      <w:r w:rsidRPr="00A4215F">
        <w:rPr>
          <w:rFonts w:ascii="Arial" w:hAnsi="Arial" w:cs="Arial"/>
          <w:sz w:val="20"/>
          <w:szCs w:val="20"/>
        </w:rPr>
        <w:t>kódování slovně zapsaných údajů o zaměstnání, odvětví činnosti a několika dalších ukazatelů</w:t>
      </w:r>
      <w:r w:rsidR="001B2640" w:rsidRPr="001B2640">
        <w:rPr>
          <w:rFonts w:ascii="Arial" w:hAnsi="Arial" w:cs="Arial"/>
          <w:sz w:val="20"/>
          <w:szCs w:val="20"/>
        </w:rPr>
        <w:t>)</w:t>
      </w:r>
      <w:r w:rsidRPr="00A4215F">
        <w:rPr>
          <w:rFonts w:ascii="Arial" w:hAnsi="Arial" w:cs="Arial"/>
          <w:sz w:val="20"/>
          <w:szCs w:val="20"/>
        </w:rPr>
        <w:t xml:space="preserve"> zabezpečoval</w:t>
      </w:r>
      <w:r w:rsidR="00A4215F">
        <w:rPr>
          <w:rFonts w:ascii="Arial" w:hAnsi="Arial" w:cs="Arial"/>
          <w:sz w:val="20"/>
          <w:szCs w:val="20"/>
        </w:rPr>
        <w:t>i pracovníci</w:t>
      </w:r>
      <w:r w:rsidRPr="00A4215F">
        <w:rPr>
          <w:rFonts w:ascii="Arial" w:hAnsi="Arial" w:cs="Arial"/>
          <w:sz w:val="20"/>
          <w:szCs w:val="20"/>
        </w:rPr>
        <w:t xml:space="preserve"> oddělení terénních zjišťování (OTZ) v krajích. Tato pracoviště </w:t>
      </w:r>
      <w:r w:rsidR="00DB5B4D">
        <w:rPr>
          <w:rFonts w:ascii="Arial" w:hAnsi="Arial" w:cs="Arial"/>
          <w:sz w:val="20"/>
          <w:szCs w:val="20"/>
        </w:rPr>
        <w:t xml:space="preserve">zároveň </w:t>
      </w:r>
      <w:r w:rsidRPr="00A4215F">
        <w:rPr>
          <w:rFonts w:ascii="Arial" w:hAnsi="Arial" w:cs="Arial"/>
          <w:sz w:val="20"/>
          <w:szCs w:val="20"/>
        </w:rPr>
        <w:t>zajistila sehrání elektronicky pořízených dotazníků od tazatelů</w:t>
      </w:r>
      <w:r w:rsidR="00A4215F">
        <w:rPr>
          <w:rFonts w:ascii="Arial" w:hAnsi="Arial" w:cs="Arial"/>
          <w:sz w:val="20"/>
          <w:szCs w:val="20"/>
        </w:rPr>
        <w:t xml:space="preserve"> </w:t>
      </w:r>
      <w:r w:rsidR="00DB5B4D">
        <w:rPr>
          <w:rFonts w:ascii="Arial" w:hAnsi="Arial" w:cs="Arial"/>
          <w:sz w:val="20"/>
          <w:szCs w:val="20"/>
        </w:rPr>
        <w:t xml:space="preserve">i přepisovatelů </w:t>
      </w:r>
      <w:r w:rsidR="006E1121">
        <w:rPr>
          <w:rFonts w:ascii="Arial" w:hAnsi="Arial" w:cs="Arial"/>
          <w:sz w:val="20"/>
          <w:szCs w:val="20"/>
        </w:rPr>
        <w:t xml:space="preserve">včetně </w:t>
      </w:r>
      <w:r w:rsidRPr="00A4215F">
        <w:rPr>
          <w:rFonts w:ascii="Arial" w:hAnsi="Arial" w:cs="Arial"/>
          <w:sz w:val="20"/>
          <w:szCs w:val="20"/>
        </w:rPr>
        <w:t>jejich kontrol</w:t>
      </w:r>
      <w:r w:rsidR="006E1121">
        <w:rPr>
          <w:rFonts w:ascii="Arial" w:hAnsi="Arial" w:cs="Arial"/>
          <w:sz w:val="20"/>
          <w:szCs w:val="20"/>
        </w:rPr>
        <w:t>y</w:t>
      </w:r>
      <w:r w:rsidRPr="00A4215F">
        <w:rPr>
          <w:rFonts w:ascii="Arial" w:hAnsi="Arial" w:cs="Arial"/>
          <w:sz w:val="20"/>
          <w:szCs w:val="20"/>
        </w:rPr>
        <w:t xml:space="preserve"> na úrovni kraje</w:t>
      </w:r>
      <w:r w:rsidR="00DB5B4D">
        <w:rPr>
          <w:rFonts w:ascii="Arial" w:hAnsi="Arial" w:cs="Arial"/>
          <w:sz w:val="20"/>
          <w:szCs w:val="20"/>
        </w:rPr>
        <w:t xml:space="preserve">, takže </w:t>
      </w:r>
      <w:r w:rsidR="00A4215F">
        <w:rPr>
          <w:rFonts w:ascii="Arial" w:hAnsi="Arial" w:cs="Arial"/>
          <w:sz w:val="20"/>
          <w:szCs w:val="20"/>
        </w:rPr>
        <w:t>vešker</w:t>
      </w:r>
      <w:r w:rsidR="00DB5B4D">
        <w:rPr>
          <w:rFonts w:ascii="Arial" w:hAnsi="Arial" w:cs="Arial"/>
          <w:sz w:val="20"/>
          <w:szCs w:val="20"/>
        </w:rPr>
        <w:t xml:space="preserve">á data </w:t>
      </w:r>
      <w:r w:rsidR="006E1121">
        <w:rPr>
          <w:rFonts w:ascii="Arial" w:hAnsi="Arial" w:cs="Arial"/>
          <w:sz w:val="20"/>
          <w:szCs w:val="20"/>
        </w:rPr>
        <w:t xml:space="preserve">odevzdávala </w:t>
      </w:r>
      <w:r w:rsidRPr="00A4215F">
        <w:rPr>
          <w:rFonts w:ascii="Arial" w:hAnsi="Arial" w:cs="Arial"/>
          <w:sz w:val="20"/>
          <w:szCs w:val="20"/>
        </w:rPr>
        <w:t>na ústředí ČSÚ</w:t>
      </w:r>
      <w:r w:rsidR="00DB5B4D">
        <w:rPr>
          <w:rFonts w:ascii="Arial" w:hAnsi="Arial" w:cs="Arial"/>
          <w:sz w:val="20"/>
          <w:szCs w:val="20"/>
        </w:rPr>
        <w:t xml:space="preserve"> v elektronické podobě</w:t>
      </w:r>
      <w:r w:rsidRPr="00A4215F">
        <w:rPr>
          <w:rFonts w:ascii="Arial" w:hAnsi="Arial" w:cs="Arial"/>
          <w:sz w:val="20"/>
          <w:szCs w:val="20"/>
        </w:rPr>
        <w:t>.</w:t>
      </w:r>
    </w:p>
    <w:p w:rsidR="004B7A64" w:rsidRDefault="006E1121" w:rsidP="004B7A64">
      <w:pPr>
        <w:pStyle w:val="Zkladntext"/>
        <w:spacing w:after="120"/>
        <w:ind w:firstLine="709"/>
        <w:rPr>
          <w:rFonts w:ascii="Arial" w:hAnsi="Arial" w:cs="Arial"/>
          <w:sz w:val="20"/>
          <w:szCs w:val="20"/>
        </w:rPr>
      </w:pPr>
      <w:r>
        <w:rPr>
          <w:rFonts w:ascii="Arial" w:hAnsi="Arial" w:cs="Arial"/>
          <w:sz w:val="20"/>
          <w:szCs w:val="20"/>
        </w:rPr>
        <w:t xml:space="preserve">V ústředí ČSÚ </w:t>
      </w:r>
      <w:r w:rsidR="00B32CFE">
        <w:rPr>
          <w:rFonts w:ascii="Arial" w:hAnsi="Arial" w:cs="Arial"/>
          <w:sz w:val="20"/>
          <w:szCs w:val="20"/>
        </w:rPr>
        <w:t xml:space="preserve">byly na kompletních datových souborech </w:t>
      </w:r>
      <w:r w:rsidR="004B7A64">
        <w:rPr>
          <w:rFonts w:ascii="Arial" w:hAnsi="Arial" w:cs="Arial"/>
          <w:sz w:val="20"/>
          <w:szCs w:val="20"/>
        </w:rPr>
        <w:t xml:space="preserve">s dotazníkovými daty </w:t>
      </w:r>
      <w:r w:rsidR="00DF48FF" w:rsidRPr="00A4215F">
        <w:rPr>
          <w:rFonts w:ascii="Arial" w:hAnsi="Arial" w:cs="Arial"/>
          <w:sz w:val="20"/>
          <w:szCs w:val="20"/>
        </w:rPr>
        <w:t xml:space="preserve">provedeny </w:t>
      </w:r>
      <w:r w:rsidR="00E65223">
        <w:rPr>
          <w:rFonts w:ascii="Arial" w:hAnsi="Arial" w:cs="Arial"/>
          <w:sz w:val="20"/>
          <w:szCs w:val="20"/>
        </w:rPr>
        <w:t xml:space="preserve">závěrečné </w:t>
      </w:r>
      <w:proofErr w:type="spellStart"/>
      <w:r w:rsidR="00DF48FF" w:rsidRPr="00A4215F">
        <w:rPr>
          <w:rFonts w:ascii="Arial" w:hAnsi="Arial" w:cs="Arial"/>
          <w:sz w:val="20"/>
          <w:szCs w:val="20"/>
        </w:rPr>
        <w:t>superkontroly</w:t>
      </w:r>
      <w:proofErr w:type="spellEnd"/>
      <w:r w:rsidR="00DF48FF" w:rsidRPr="00A4215F">
        <w:rPr>
          <w:rFonts w:ascii="Arial" w:hAnsi="Arial" w:cs="Arial"/>
          <w:sz w:val="20"/>
          <w:szCs w:val="20"/>
        </w:rPr>
        <w:t xml:space="preserve"> a centrální zpracování.</w:t>
      </w:r>
    </w:p>
    <w:p w:rsidR="00F7242D" w:rsidRDefault="00F7242D">
      <w:pPr>
        <w:pStyle w:val="Zkladntext"/>
        <w:spacing w:after="120"/>
        <w:ind w:firstLine="709"/>
        <w:rPr>
          <w:rFonts w:ascii="Arial" w:hAnsi="Arial" w:cs="Arial"/>
          <w:sz w:val="20"/>
          <w:szCs w:val="20"/>
        </w:rPr>
      </w:pPr>
    </w:p>
    <w:p w:rsidR="00194E6A" w:rsidRDefault="00194E6A" w:rsidP="001B2640">
      <w:pPr>
        <w:pStyle w:val="Zkladntext"/>
        <w:spacing w:after="240"/>
        <w:rPr>
          <w:rFonts w:ascii="Arial" w:hAnsi="Arial" w:cs="Arial"/>
          <w:b/>
          <w:bCs/>
        </w:rPr>
      </w:pPr>
    </w:p>
    <w:p w:rsidR="001B2640" w:rsidRDefault="00DF48FF" w:rsidP="001B2640">
      <w:pPr>
        <w:pStyle w:val="Zkladntext"/>
        <w:spacing w:after="240"/>
        <w:rPr>
          <w:rFonts w:ascii="Arial" w:hAnsi="Arial" w:cs="Arial"/>
          <w:b/>
          <w:bCs/>
        </w:rPr>
      </w:pPr>
      <w:r w:rsidRPr="00DF48FF">
        <w:rPr>
          <w:rFonts w:ascii="Arial" w:hAnsi="Arial" w:cs="Arial"/>
          <w:b/>
          <w:bCs/>
        </w:rPr>
        <w:lastRenderedPageBreak/>
        <w:t>1.4 Počet vyšetřených a nevyšetřených domácností</w:t>
      </w:r>
    </w:p>
    <w:p w:rsidR="001B2640" w:rsidRDefault="00DF48FF" w:rsidP="008E3115">
      <w:pPr>
        <w:pStyle w:val="Zkladntext"/>
        <w:rPr>
          <w:rFonts w:ascii="Arial" w:hAnsi="Arial" w:cs="Arial"/>
          <w:sz w:val="20"/>
          <w:szCs w:val="20"/>
        </w:rPr>
      </w:pPr>
      <w:r w:rsidRPr="00DF48FF">
        <w:rPr>
          <w:rFonts w:ascii="Arial" w:hAnsi="Arial" w:cs="Arial"/>
          <w:sz w:val="20"/>
          <w:szCs w:val="20"/>
        </w:rPr>
        <w:tab/>
        <w:t xml:space="preserve">V průběhu šetření se ukázalo, že mezi </w:t>
      </w:r>
      <w:r w:rsidRPr="00B72771">
        <w:rPr>
          <w:rFonts w:ascii="Arial" w:hAnsi="Arial" w:cs="Arial"/>
          <w:sz w:val="20"/>
          <w:szCs w:val="20"/>
        </w:rPr>
        <w:t xml:space="preserve">celkovými </w:t>
      </w:r>
      <w:r w:rsidR="00E269F7" w:rsidRPr="00B72771">
        <w:rPr>
          <w:rFonts w:ascii="Arial" w:hAnsi="Arial" w:cs="Arial"/>
          <w:sz w:val="20"/>
          <w:szCs w:val="20"/>
        </w:rPr>
        <w:t>11 6</w:t>
      </w:r>
      <w:r w:rsidR="002D3381" w:rsidRPr="00B72771">
        <w:rPr>
          <w:rFonts w:ascii="Arial" w:hAnsi="Arial" w:cs="Arial"/>
          <w:sz w:val="20"/>
          <w:szCs w:val="20"/>
        </w:rPr>
        <w:t>83</w:t>
      </w:r>
      <w:r w:rsidRPr="00B72771">
        <w:rPr>
          <w:rFonts w:ascii="Arial" w:hAnsi="Arial" w:cs="Arial"/>
          <w:sz w:val="20"/>
          <w:szCs w:val="20"/>
        </w:rPr>
        <w:t xml:space="preserve"> byty v šetřeném vzorku bylo </w:t>
      </w:r>
      <w:r w:rsidR="00E269F7" w:rsidRPr="00B72771">
        <w:rPr>
          <w:rFonts w:ascii="Arial" w:hAnsi="Arial" w:cs="Arial"/>
          <w:sz w:val="20"/>
          <w:szCs w:val="20"/>
        </w:rPr>
        <w:t>7</w:t>
      </w:r>
      <w:r w:rsidR="002D3381" w:rsidRPr="00B72771">
        <w:rPr>
          <w:rFonts w:ascii="Arial" w:hAnsi="Arial" w:cs="Arial"/>
          <w:sz w:val="20"/>
          <w:szCs w:val="20"/>
        </w:rPr>
        <w:t>63</w:t>
      </w:r>
      <w:r w:rsidRPr="00B72771">
        <w:rPr>
          <w:rFonts w:ascii="Arial" w:hAnsi="Arial" w:cs="Arial"/>
          <w:sz w:val="20"/>
          <w:szCs w:val="20"/>
        </w:rPr>
        <w:t xml:space="preserve"> případů (</w:t>
      </w:r>
      <w:r w:rsidR="00E269F7" w:rsidRPr="00B72771">
        <w:rPr>
          <w:rFonts w:ascii="Arial" w:hAnsi="Arial" w:cs="Arial"/>
          <w:sz w:val="20"/>
          <w:szCs w:val="20"/>
        </w:rPr>
        <w:t>6,</w:t>
      </w:r>
      <w:r w:rsidR="005B4853" w:rsidRPr="00B72771">
        <w:rPr>
          <w:rFonts w:ascii="Arial" w:hAnsi="Arial" w:cs="Arial"/>
          <w:sz w:val="20"/>
          <w:szCs w:val="20"/>
        </w:rPr>
        <w:t>5</w:t>
      </w:r>
      <w:r w:rsidRPr="00B72771">
        <w:rPr>
          <w:rFonts w:ascii="Arial" w:hAnsi="Arial" w:cs="Arial"/>
          <w:sz w:val="20"/>
          <w:szCs w:val="20"/>
        </w:rPr>
        <w:t> %), kdy byt byl neobydlený, adresa nebyla nalezena nebo šetření nepřicházelo v úvahu, protože se domácnost odstěhovala apod. Náhradní výběr bytů povolen není, takže vlastní zjišťování proběhlo v </w:t>
      </w:r>
      <w:r w:rsidR="00E269F7" w:rsidRPr="00B72771">
        <w:rPr>
          <w:rFonts w:ascii="Arial" w:hAnsi="Arial" w:cs="Arial"/>
          <w:sz w:val="20"/>
          <w:szCs w:val="20"/>
        </w:rPr>
        <w:t>10 </w:t>
      </w:r>
      <w:r w:rsidR="002D3381" w:rsidRPr="00B72771">
        <w:rPr>
          <w:rFonts w:ascii="Arial" w:hAnsi="Arial" w:cs="Arial"/>
          <w:sz w:val="20"/>
          <w:szCs w:val="20"/>
        </w:rPr>
        <w:t>920</w:t>
      </w:r>
      <w:r w:rsidRPr="00B72771">
        <w:rPr>
          <w:rFonts w:ascii="Arial" w:hAnsi="Arial" w:cs="Arial"/>
          <w:sz w:val="20"/>
          <w:szCs w:val="20"/>
        </w:rPr>
        <w:t xml:space="preserve"> bytech a </w:t>
      </w:r>
      <w:r w:rsidR="00E269F7" w:rsidRPr="00B72771">
        <w:rPr>
          <w:rFonts w:ascii="Arial" w:hAnsi="Arial" w:cs="Arial"/>
          <w:sz w:val="20"/>
          <w:szCs w:val="20"/>
        </w:rPr>
        <w:t>10 9</w:t>
      </w:r>
      <w:r w:rsidR="002D3381" w:rsidRPr="00B72771">
        <w:rPr>
          <w:rFonts w:ascii="Arial" w:hAnsi="Arial" w:cs="Arial"/>
          <w:sz w:val="20"/>
          <w:szCs w:val="20"/>
        </w:rPr>
        <w:t>48</w:t>
      </w:r>
      <w:r w:rsidRPr="00B72771">
        <w:rPr>
          <w:rFonts w:ascii="Arial" w:hAnsi="Arial" w:cs="Arial"/>
          <w:sz w:val="20"/>
          <w:szCs w:val="20"/>
        </w:rPr>
        <w:t xml:space="preserve"> hospodařících domácnostech</w:t>
      </w:r>
      <w:r w:rsidRPr="008E3115">
        <w:rPr>
          <w:rFonts w:ascii="Arial" w:hAnsi="Arial" w:cs="Arial"/>
          <w:sz w:val="20"/>
          <w:szCs w:val="20"/>
        </w:rPr>
        <w:t>, neboť v některých bytech žije více hospodařících domácností. Stručný přehled vyšetřených a nevyšetřených HD celkem a v rozdělení na 1. a 2. až 4. vlnu</w:t>
      </w:r>
      <w:r w:rsidRPr="00DF48FF">
        <w:rPr>
          <w:rFonts w:ascii="Arial" w:hAnsi="Arial" w:cs="Arial"/>
          <w:sz w:val="20"/>
          <w:szCs w:val="20"/>
        </w:rPr>
        <w:t xml:space="preserve"> je uveden v následující tabulce:</w:t>
      </w:r>
    </w:p>
    <w:p w:rsidR="008E3115" w:rsidRDefault="008E3115" w:rsidP="008E3115">
      <w:pPr>
        <w:pStyle w:val="Zkladntext"/>
        <w:rPr>
          <w:rFonts w:ascii="Arial" w:hAnsi="Arial" w:cs="Arial"/>
          <w:sz w:val="20"/>
          <w:szCs w:val="20"/>
        </w:rPr>
      </w:pPr>
    </w:p>
    <w:p w:rsidR="00811140" w:rsidRDefault="00DF48FF">
      <w:pPr>
        <w:pStyle w:val="Zkladntext"/>
        <w:rPr>
          <w:rFonts w:ascii="Arial" w:hAnsi="Arial" w:cs="Arial"/>
          <w:b/>
          <w:sz w:val="20"/>
          <w:szCs w:val="20"/>
        </w:rPr>
      </w:pPr>
      <w:r w:rsidRPr="00DF48FF">
        <w:rPr>
          <w:rFonts w:ascii="Arial" w:hAnsi="Arial" w:cs="Arial"/>
          <w:b/>
          <w:sz w:val="20"/>
          <w:szCs w:val="20"/>
        </w:rPr>
        <w:t>Tab. 1 Počet vyšetřených a nevyšetřených domácností</w:t>
      </w:r>
    </w:p>
    <w:tbl>
      <w:tblPr>
        <w:tblW w:w="0" w:type="auto"/>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113" w:type="dxa"/>
        </w:tblCellMar>
        <w:tblLook w:val="0000" w:firstRow="0" w:lastRow="0" w:firstColumn="0" w:lastColumn="0" w:noHBand="0" w:noVBand="0"/>
      </w:tblPr>
      <w:tblGrid>
        <w:gridCol w:w="3290"/>
        <w:gridCol w:w="910"/>
        <w:gridCol w:w="960"/>
        <w:gridCol w:w="960"/>
        <w:gridCol w:w="960"/>
        <w:gridCol w:w="960"/>
        <w:gridCol w:w="960"/>
      </w:tblGrid>
      <w:tr w:rsidR="002A4577" w:rsidRPr="00F83D7E" w:rsidTr="00DB41B7">
        <w:trPr>
          <w:cantSplit/>
          <w:trHeight w:val="283"/>
        </w:trPr>
        <w:tc>
          <w:tcPr>
            <w:tcW w:w="3290" w:type="dxa"/>
            <w:vMerge w:val="restart"/>
            <w:shd w:val="clear" w:color="auto" w:fill="D9D9D9"/>
            <w:vAlign w:val="center"/>
          </w:tcPr>
          <w:p w:rsidR="002A4577" w:rsidRPr="00F83D7E" w:rsidRDefault="002A4577">
            <w:pPr>
              <w:pStyle w:val="Zkladntext"/>
              <w:rPr>
                <w:rFonts w:ascii="Arial" w:hAnsi="Arial" w:cs="Arial"/>
                <w:sz w:val="20"/>
                <w:szCs w:val="20"/>
              </w:rPr>
            </w:pPr>
          </w:p>
        </w:tc>
        <w:tc>
          <w:tcPr>
            <w:tcW w:w="2830" w:type="dxa"/>
            <w:gridSpan w:val="3"/>
            <w:tcBorders>
              <w:right w:val="single" w:sz="12" w:space="0" w:color="auto"/>
            </w:tcBorders>
            <w:shd w:val="clear" w:color="auto" w:fill="D9D9D9"/>
            <w:vAlign w:val="center"/>
          </w:tcPr>
          <w:p w:rsidR="002A4577" w:rsidRPr="00CF3C06" w:rsidRDefault="00DF48FF">
            <w:pPr>
              <w:pStyle w:val="Zkladntext"/>
              <w:jc w:val="center"/>
              <w:rPr>
                <w:rFonts w:ascii="Arial" w:hAnsi="Arial" w:cs="Arial"/>
                <w:b/>
                <w:bCs/>
                <w:sz w:val="16"/>
                <w:szCs w:val="16"/>
              </w:rPr>
            </w:pPr>
            <w:r w:rsidRPr="00DF48FF">
              <w:rPr>
                <w:rFonts w:ascii="Arial" w:hAnsi="Arial" w:cs="Arial"/>
                <w:b/>
                <w:bCs/>
                <w:sz w:val="16"/>
                <w:szCs w:val="16"/>
              </w:rPr>
              <w:t>Počet HD</w:t>
            </w:r>
          </w:p>
        </w:tc>
        <w:tc>
          <w:tcPr>
            <w:tcW w:w="2880" w:type="dxa"/>
            <w:gridSpan w:val="3"/>
            <w:shd w:val="clear" w:color="auto" w:fill="D9D9D9"/>
            <w:vAlign w:val="center"/>
          </w:tcPr>
          <w:p w:rsidR="002A4577" w:rsidRPr="00CF3C06" w:rsidRDefault="00DF48FF">
            <w:pPr>
              <w:pStyle w:val="Zkladntext"/>
              <w:jc w:val="center"/>
              <w:rPr>
                <w:rFonts w:ascii="Arial" w:hAnsi="Arial" w:cs="Arial"/>
                <w:b/>
                <w:bCs/>
                <w:sz w:val="16"/>
                <w:szCs w:val="16"/>
              </w:rPr>
            </w:pPr>
            <w:r w:rsidRPr="00DF48FF">
              <w:rPr>
                <w:rFonts w:ascii="Arial" w:hAnsi="Arial" w:cs="Arial"/>
                <w:b/>
                <w:bCs/>
                <w:sz w:val="16"/>
                <w:szCs w:val="16"/>
              </w:rPr>
              <w:t>Podíl vyšetřených HD (%)</w:t>
            </w:r>
          </w:p>
        </w:tc>
      </w:tr>
      <w:tr w:rsidR="00DB41B7" w:rsidRPr="00F83D7E" w:rsidTr="00DB41B7">
        <w:trPr>
          <w:cantSplit/>
          <w:trHeight w:val="447"/>
        </w:trPr>
        <w:tc>
          <w:tcPr>
            <w:tcW w:w="3290" w:type="dxa"/>
            <w:vMerge/>
            <w:tcBorders>
              <w:bottom w:val="single" w:sz="12" w:space="0" w:color="auto"/>
            </w:tcBorders>
            <w:shd w:val="clear" w:color="auto" w:fill="D9D9D9"/>
            <w:vAlign w:val="bottom"/>
          </w:tcPr>
          <w:p w:rsidR="002A4577" w:rsidRPr="00F83D7E" w:rsidRDefault="002A4577">
            <w:pPr>
              <w:pStyle w:val="Zkladntext"/>
              <w:rPr>
                <w:rFonts w:ascii="Arial" w:hAnsi="Arial" w:cs="Arial"/>
                <w:sz w:val="20"/>
                <w:szCs w:val="20"/>
              </w:rPr>
            </w:pPr>
          </w:p>
        </w:tc>
        <w:tc>
          <w:tcPr>
            <w:tcW w:w="910" w:type="dxa"/>
            <w:tcBorders>
              <w:bottom w:val="single" w:sz="12" w:space="0" w:color="auto"/>
            </w:tcBorders>
            <w:shd w:val="clear" w:color="auto" w:fill="D9D9D9"/>
            <w:vAlign w:val="center"/>
          </w:tcPr>
          <w:p w:rsidR="002A4577" w:rsidRPr="00F37D3F" w:rsidRDefault="00DF48FF">
            <w:pPr>
              <w:pStyle w:val="Zkladntext"/>
              <w:jc w:val="center"/>
              <w:rPr>
                <w:rFonts w:ascii="Arial" w:hAnsi="Arial" w:cs="Arial"/>
                <w:b/>
                <w:sz w:val="16"/>
                <w:szCs w:val="16"/>
              </w:rPr>
            </w:pPr>
            <w:r w:rsidRPr="00DF48FF">
              <w:rPr>
                <w:rFonts w:ascii="Arial" w:hAnsi="Arial" w:cs="Arial"/>
                <w:b/>
                <w:sz w:val="16"/>
                <w:szCs w:val="16"/>
              </w:rPr>
              <w:t>Celkem</w:t>
            </w:r>
          </w:p>
        </w:tc>
        <w:tc>
          <w:tcPr>
            <w:tcW w:w="960" w:type="dxa"/>
            <w:tcBorders>
              <w:top w:val="single" w:sz="4" w:space="0" w:color="auto"/>
              <w:bottom w:val="single" w:sz="12" w:space="0" w:color="auto"/>
            </w:tcBorders>
            <w:shd w:val="clear" w:color="auto" w:fill="D9D9D9"/>
            <w:vAlign w:val="center"/>
          </w:tcPr>
          <w:p w:rsidR="002A4577" w:rsidRPr="00F37D3F" w:rsidRDefault="00DF48FF">
            <w:pPr>
              <w:pStyle w:val="Zkladntext"/>
              <w:jc w:val="center"/>
              <w:rPr>
                <w:rFonts w:ascii="Arial" w:hAnsi="Arial" w:cs="Arial"/>
                <w:b/>
                <w:sz w:val="16"/>
                <w:szCs w:val="16"/>
              </w:rPr>
            </w:pPr>
            <w:r w:rsidRPr="00DF48FF">
              <w:rPr>
                <w:rFonts w:ascii="Arial" w:hAnsi="Arial" w:cs="Arial"/>
                <w:b/>
                <w:sz w:val="16"/>
                <w:szCs w:val="16"/>
              </w:rPr>
              <w:t>1. vlna</w:t>
            </w:r>
          </w:p>
        </w:tc>
        <w:tc>
          <w:tcPr>
            <w:tcW w:w="960" w:type="dxa"/>
            <w:tcBorders>
              <w:top w:val="single" w:sz="4" w:space="0" w:color="auto"/>
              <w:bottom w:val="single" w:sz="12" w:space="0" w:color="auto"/>
              <w:right w:val="single" w:sz="12" w:space="0" w:color="auto"/>
            </w:tcBorders>
            <w:shd w:val="clear" w:color="auto" w:fill="D9D9D9"/>
            <w:vAlign w:val="center"/>
          </w:tcPr>
          <w:p w:rsidR="002A4577" w:rsidRPr="00F37D3F" w:rsidRDefault="00DF48FF">
            <w:pPr>
              <w:pStyle w:val="Zkladntext"/>
              <w:jc w:val="center"/>
              <w:rPr>
                <w:rFonts w:ascii="Arial" w:hAnsi="Arial" w:cs="Arial"/>
                <w:b/>
                <w:sz w:val="16"/>
                <w:szCs w:val="16"/>
              </w:rPr>
            </w:pPr>
            <w:r w:rsidRPr="00DF48FF">
              <w:rPr>
                <w:rFonts w:ascii="Arial" w:hAnsi="Arial" w:cs="Arial"/>
                <w:b/>
                <w:sz w:val="16"/>
                <w:szCs w:val="16"/>
              </w:rPr>
              <w:t>2. až 4. vlna</w:t>
            </w:r>
          </w:p>
        </w:tc>
        <w:tc>
          <w:tcPr>
            <w:tcW w:w="960" w:type="dxa"/>
            <w:tcBorders>
              <w:bottom w:val="single" w:sz="12" w:space="0" w:color="auto"/>
            </w:tcBorders>
            <w:shd w:val="clear" w:color="auto" w:fill="D9D9D9"/>
            <w:vAlign w:val="center"/>
          </w:tcPr>
          <w:p w:rsidR="002A4577" w:rsidRPr="00F37D3F" w:rsidRDefault="00DF48FF">
            <w:pPr>
              <w:pStyle w:val="Zkladntext"/>
              <w:jc w:val="center"/>
              <w:rPr>
                <w:rFonts w:ascii="Arial" w:hAnsi="Arial" w:cs="Arial"/>
                <w:b/>
                <w:sz w:val="16"/>
                <w:szCs w:val="16"/>
              </w:rPr>
            </w:pPr>
            <w:r w:rsidRPr="00DF48FF">
              <w:rPr>
                <w:rFonts w:ascii="Arial" w:hAnsi="Arial" w:cs="Arial"/>
                <w:b/>
                <w:sz w:val="16"/>
                <w:szCs w:val="16"/>
              </w:rPr>
              <w:t>Celkem</w:t>
            </w:r>
          </w:p>
        </w:tc>
        <w:tc>
          <w:tcPr>
            <w:tcW w:w="960" w:type="dxa"/>
            <w:tcBorders>
              <w:bottom w:val="single" w:sz="12" w:space="0" w:color="auto"/>
            </w:tcBorders>
            <w:shd w:val="clear" w:color="auto" w:fill="D9D9D9"/>
            <w:vAlign w:val="center"/>
          </w:tcPr>
          <w:p w:rsidR="002A4577" w:rsidRPr="00F37D3F" w:rsidRDefault="00DF48FF">
            <w:pPr>
              <w:pStyle w:val="Zkladntext"/>
              <w:jc w:val="center"/>
              <w:rPr>
                <w:rFonts w:ascii="Arial" w:hAnsi="Arial" w:cs="Arial"/>
                <w:b/>
                <w:sz w:val="16"/>
                <w:szCs w:val="16"/>
              </w:rPr>
            </w:pPr>
            <w:r w:rsidRPr="00DF48FF">
              <w:rPr>
                <w:rFonts w:ascii="Arial" w:hAnsi="Arial" w:cs="Arial"/>
                <w:b/>
                <w:sz w:val="16"/>
                <w:szCs w:val="16"/>
              </w:rPr>
              <w:t>1. vlna</w:t>
            </w:r>
          </w:p>
        </w:tc>
        <w:tc>
          <w:tcPr>
            <w:tcW w:w="960" w:type="dxa"/>
            <w:tcBorders>
              <w:bottom w:val="single" w:sz="12" w:space="0" w:color="auto"/>
            </w:tcBorders>
            <w:shd w:val="clear" w:color="auto" w:fill="D9D9D9"/>
            <w:vAlign w:val="center"/>
          </w:tcPr>
          <w:p w:rsidR="002A4577" w:rsidRPr="00F37D3F" w:rsidRDefault="00DF48FF">
            <w:pPr>
              <w:pStyle w:val="Zkladntext"/>
              <w:jc w:val="center"/>
              <w:rPr>
                <w:rFonts w:ascii="Arial" w:hAnsi="Arial" w:cs="Arial"/>
                <w:b/>
                <w:sz w:val="16"/>
                <w:szCs w:val="16"/>
              </w:rPr>
            </w:pPr>
            <w:r w:rsidRPr="00DF48FF">
              <w:rPr>
                <w:rFonts w:ascii="Arial" w:hAnsi="Arial" w:cs="Arial"/>
                <w:b/>
                <w:sz w:val="16"/>
                <w:szCs w:val="16"/>
              </w:rPr>
              <w:t>2. až 4. vlna</w:t>
            </w:r>
          </w:p>
        </w:tc>
      </w:tr>
      <w:tr w:rsidR="00EE2E47" w:rsidRPr="00F83D7E" w:rsidTr="00503F44">
        <w:trPr>
          <w:trHeight w:val="340"/>
        </w:trPr>
        <w:tc>
          <w:tcPr>
            <w:tcW w:w="3290" w:type="dxa"/>
            <w:tcBorders>
              <w:top w:val="single" w:sz="12" w:space="0" w:color="auto"/>
              <w:bottom w:val="single" w:sz="4" w:space="0" w:color="auto"/>
            </w:tcBorders>
            <w:vAlign w:val="center"/>
          </w:tcPr>
          <w:p w:rsidR="00EE2E47" w:rsidRPr="00CF3C06" w:rsidRDefault="00EE2E47">
            <w:pPr>
              <w:pStyle w:val="Zkladntext"/>
              <w:jc w:val="left"/>
              <w:rPr>
                <w:rFonts w:ascii="Arial" w:hAnsi="Arial" w:cs="Arial"/>
                <w:b/>
                <w:bCs/>
                <w:sz w:val="16"/>
                <w:szCs w:val="16"/>
              </w:rPr>
            </w:pPr>
            <w:r w:rsidRPr="00DF48FF">
              <w:rPr>
                <w:rFonts w:ascii="Arial" w:hAnsi="Arial" w:cs="Arial"/>
                <w:b/>
                <w:bCs/>
                <w:sz w:val="16"/>
                <w:szCs w:val="16"/>
              </w:rPr>
              <w:t>Vyšetřených celkem</w:t>
            </w:r>
          </w:p>
        </w:tc>
        <w:tc>
          <w:tcPr>
            <w:tcW w:w="910" w:type="dxa"/>
            <w:tcBorders>
              <w:top w:val="single" w:sz="12" w:space="0" w:color="auto"/>
              <w:bottom w:val="single" w:sz="4" w:space="0" w:color="auto"/>
            </w:tcBorders>
            <w:vAlign w:val="bottom"/>
          </w:tcPr>
          <w:p w:rsidR="00EE2E47" w:rsidRPr="00CF3C06" w:rsidRDefault="00EC2D23">
            <w:pPr>
              <w:jc w:val="right"/>
              <w:rPr>
                <w:rFonts w:ascii="Arial" w:hAnsi="Arial" w:cs="Arial"/>
                <w:sz w:val="16"/>
                <w:szCs w:val="16"/>
              </w:rPr>
            </w:pPr>
            <w:r>
              <w:rPr>
                <w:rFonts w:ascii="Arial" w:hAnsi="Arial" w:cs="Arial"/>
                <w:color w:val="000000"/>
                <w:sz w:val="16"/>
                <w:szCs w:val="16"/>
              </w:rPr>
              <w:t>8 634</w:t>
            </w:r>
          </w:p>
        </w:tc>
        <w:tc>
          <w:tcPr>
            <w:tcW w:w="960" w:type="dxa"/>
            <w:tcBorders>
              <w:top w:val="single" w:sz="12" w:space="0" w:color="auto"/>
              <w:bottom w:val="single" w:sz="4" w:space="0" w:color="auto"/>
            </w:tcBorders>
            <w:vAlign w:val="bottom"/>
          </w:tcPr>
          <w:p w:rsidR="00EE2E47" w:rsidRPr="00CF3C06" w:rsidRDefault="00EC2D23" w:rsidP="00704966">
            <w:pPr>
              <w:jc w:val="right"/>
              <w:rPr>
                <w:rFonts w:ascii="Arial" w:hAnsi="Arial" w:cs="Arial"/>
                <w:sz w:val="16"/>
                <w:szCs w:val="16"/>
              </w:rPr>
            </w:pPr>
            <w:r>
              <w:rPr>
                <w:rFonts w:ascii="Arial" w:hAnsi="Arial" w:cs="Arial"/>
                <w:color w:val="000000"/>
                <w:sz w:val="16"/>
                <w:szCs w:val="16"/>
              </w:rPr>
              <w:t>2 338</w:t>
            </w:r>
          </w:p>
        </w:tc>
        <w:tc>
          <w:tcPr>
            <w:tcW w:w="960" w:type="dxa"/>
            <w:tcBorders>
              <w:top w:val="single" w:sz="12" w:space="0" w:color="auto"/>
              <w:bottom w:val="single" w:sz="4" w:space="0" w:color="auto"/>
              <w:right w:val="single" w:sz="12" w:space="0" w:color="auto"/>
            </w:tcBorders>
            <w:vAlign w:val="bottom"/>
          </w:tcPr>
          <w:p w:rsidR="00EE2E47" w:rsidRPr="00CF3C06" w:rsidRDefault="00EC2D23" w:rsidP="006836BD">
            <w:pPr>
              <w:jc w:val="right"/>
              <w:rPr>
                <w:rFonts w:ascii="Arial" w:hAnsi="Arial" w:cs="Arial"/>
                <w:sz w:val="16"/>
                <w:szCs w:val="16"/>
              </w:rPr>
            </w:pPr>
            <w:r>
              <w:rPr>
                <w:rFonts w:ascii="Arial" w:hAnsi="Arial" w:cs="Arial"/>
                <w:color w:val="000000"/>
                <w:sz w:val="16"/>
                <w:szCs w:val="16"/>
              </w:rPr>
              <w:t>6 296</w:t>
            </w:r>
          </w:p>
        </w:tc>
        <w:tc>
          <w:tcPr>
            <w:tcW w:w="960" w:type="dxa"/>
            <w:tcBorders>
              <w:top w:val="single" w:sz="12" w:space="0" w:color="auto"/>
              <w:bottom w:val="single" w:sz="4" w:space="0" w:color="auto"/>
            </w:tcBorders>
            <w:vAlign w:val="bottom"/>
          </w:tcPr>
          <w:p w:rsidR="00EE2E47" w:rsidRPr="00CF3C06" w:rsidRDefault="00EC2D23" w:rsidP="005B4818">
            <w:pPr>
              <w:jc w:val="right"/>
              <w:rPr>
                <w:rFonts w:ascii="Arial" w:hAnsi="Arial" w:cs="Arial"/>
                <w:sz w:val="16"/>
                <w:szCs w:val="16"/>
              </w:rPr>
            </w:pPr>
            <w:r>
              <w:rPr>
                <w:rFonts w:ascii="Arial" w:hAnsi="Arial" w:cs="Arial"/>
                <w:color w:val="000000"/>
                <w:sz w:val="16"/>
                <w:szCs w:val="16"/>
              </w:rPr>
              <w:t>78,9</w:t>
            </w:r>
          </w:p>
        </w:tc>
        <w:tc>
          <w:tcPr>
            <w:tcW w:w="960" w:type="dxa"/>
            <w:tcBorders>
              <w:top w:val="single" w:sz="12" w:space="0" w:color="auto"/>
              <w:bottom w:val="single" w:sz="4" w:space="0" w:color="auto"/>
            </w:tcBorders>
            <w:vAlign w:val="bottom"/>
          </w:tcPr>
          <w:p w:rsidR="00EE2E47" w:rsidRPr="00CF3C06" w:rsidRDefault="00EC2D23" w:rsidP="005B4818">
            <w:pPr>
              <w:jc w:val="right"/>
              <w:rPr>
                <w:rFonts w:ascii="Arial" w:hAnsi="Arial" w:cs="Arial"/>
                <w:sz w:val="16"/>
                <w:szCs w:val="16"/>
              </w:rPr>
            </w:pPr>
            <w:r>
              <w:rPr>
                <w:rFonts w:ascii="Arial" w:hAnsi="Arial" w:cs="Arial"/>
                <w:color w:val="000000"/>
                <w:sz w:val="16"/>
                <w:szCs w:val="16"/>
              </w:rPr>
              <w:t>54,7</w:t>
            </w:r>
          </w:p>
        </w:tc>
        <w:tc>
          <w:tcPr>
            <w:tcW w:w="960" w:type="dxa"/>
            <w:tcBorders>
              <w:top w:val="single" w:sz="12" w:space="0" w:color="auto"/>
              <w:bottom w:val="single" w:sz="4" w:space="0" w:color="auto"/>
            </w:tcBorders>
            <w:vAlign w:val="bottom"/>
          </w:tcPr>
          <w:p w:rsidR="00EE2E47" w:rsidRPr="00CF3C06" w:rsidRDefault="00EC2D23" w:rsidP="00F808EC">
            <w:pPr>
              <w:jc w:val="right"/>
              <w:rPr>
                <w:rFonts w:ascii="Arial" w:hAnsi="Arial" w:cs="Arial"/>
                <w:sz w:val="16"/>
                <w:szCs w:val="16"/>
              </w:rPr>
            </w:pPr>
            <w:r>
              <w:rPr>
                <w:rFonts w:ascii="Arial" w:hAnsi="Arial" w:cs="Arial"/>
                <w:color w:val="000000"/>
                <w:sz w:val="16"/>
                <w:szCs w:val="16"/>
              </w:rPr>
              <w:t>94,3</w:t>
            </w:r>
          </w:p>
        </w:tc>
      </w:tr>
      <w:tr w:rsidR="00EE2E47" w:rsidRPr="00F83D7E" w:rsidTr="00503F44">
        <w:trPr>
          <w:trHeight w:val="340"/>
        </w:trPr>
        <w:tc>
          <w:tcPr>
            <w:tcW w:w="3290" w:type="dxa"/>
            <w:tcBorders>
              <w:top w:val="single" w:sz="4" w:space="0" w:color="auto"/>
            </w:tcBorders>
            <w:vAlign w:val="center"/>
          </w:tcPr>
          <w:p w:rsidR="00EE2E47" w:rsidRPr="00CF3C06" w:rsidRDefault="00EE2E47">
            <w:pPr>
              <w:pStyle w:val="Zkladntext"/>
              <w:tabs>
                <w:tab w:val="center" w:pos="4536"/>
                <w:tab w:val="right" w:pos="9072"/>
              </w:tabs>
              <w:jc w:val="left"/>
              <w:rPr>
                <w:rFonts w:ascii="Arial" w:hAnsi="Arial" w:cs="Arial"/>
                <w:b/>
                <w:bCs/>
                <w:sz w:val="16"/>
                <w:szCs w:val="16"/>
              </w:rPr>
            </w:pPr>
            <w:r w:rsidRPr="00DF48FF">
              <w:rPr>
                <w:rFonts w:ascii="Arial" w:hAnsi="Arial" w:cs="Arial"/>
                <w:b/>
                <w:bCs/>
                <w:sz w:val="16"/>
                <w:szCs w:val="16"/>
              </w:rPr>
              <w:t>Nevyšetřených celkem</w:t>
            </w:r>
          </w:p>
        </w:tc>
        <w:tc>
          <w:tcPr>
            <w:tcW w:w="910" w:type="dxa"/>
            <w:tcBorders>
              <w:top w:val="single" w:sz="4" w:space="0" w:color="auto"/>
            </w:tcBorders>
            <w:vAlign w:val="bottom"/>
          </w:tcPr>
          <w:p w:rsidR="00EE2E47" w:rsidRPr="00CF3C06" w:rsidRDefault="00EC2D23" w:rsidP="00934D4B">
            <w:pPr>
              <w:jc w:val="right"/>
              <w:rPr>
                <w:rFonts w:ascii="Arial" w:hAnsi="Arial" w:cs="Arial"/>
                <w:sz w:val="16"/>
                <w:szCs w:val="16"/>
              </w:rPr>
            </w:pPr>
            <w:r>
              <w:rPr>
                <w:rFonts w:ascii="Arial" w:hAnsi="Arial" w:cs="Arial"/>
                <w:color w:val="000000"/>
                <w:sz w:val="16"/>
                <w:szCs w:val="16"/>
              </w:rPr>
              <w:t>2 314</w:t>
            </w:r>
          </w:p>
        </w:tc>
        <w:tc>
          <w:tcPr>
            <w:tcW w:w="960" w:type="dxa"/>
            <w:tcBorders>
              <w:top w:val="single" w:sz="4" w:space="0" w:color="auto"/>
              <w:bottom w:val="single" w:sz="4" w:space="0" w:color="auto"/>
            </w:tcBorders>
            <w:vAlign w:val="bottom"/>
          </w:tcPr>
          <w:p w:rsidR="00EE2E47" w:rsidRPr="00CF3C06" w:rsidRDefault="00EC2D23" w:rsidP="00934D4B">
            <w:pPr>
              <w:jc w:val="right"/>
              <w:rPr>
                <w:rFonts w:ascii="Arial" w:hAnsi="Arial" w:cs="Arial"/>
                <w:sz w:val="16"/>
                <w:szCs w:val="16"/>
              </w:rPr>
            </w:pPr>
            <w:r>
              <w:rPr>
                <w:rFonts w:ascii="Arial" w:hAnsi="Arial" w:cs="Arial"/>
                <w:color w:val="000000"/>
                <w:sz w:val="16"/>
                <w:szCs w:val="16"/>
              </w:rPr>
              <w:t>1 935</w:t>
            </w:r>
          </w:p>
        </w:tc>
        <w:tc>
          <w:tcPr>
            <w:tcW w:w="960" w:type="dxa"/>
            <w:tcBorders>
              <w:top w:val="single" w:sz="4" w:space="0" w:color="auto"/>
              <w:bottom w:val="single" w:sz="4" w:space="0" w:color="auto"/>
              <w:right w:val="single" w:sz="12" w:space="0" w:color="auto"/>
            </w:tcBorders>
            <w:vAlign w:val="bottom"/>
          </w:tcPr>
          <w:p w:rsidR="00EE2E47" w:rsidRPr="00CF3C06" w:rsidRDefault="00EC2D23" w:rsidP="00934D4B">
            <w:pPr>
              <w:jc w:val="right"/>
              <w:rPr>
                <w:rFonts w:ascii="Arial" w:hAnsi="Arial" w:cs="Arial"/>
                <w:sz w:val="16"/>
                <w:szCs w:val="16"/>
              </w:rPr>
            </w:pPr>
            <w:r>
              <w:rPr>
                <w:rFonts w:ascii="Arial" w:hAnsi="Arial" w:cs="Arial"/>
                <w:color w:val="000000"/>
                <w:sz w:val="16"/>
                <w:szCs w:val="16"/>
              </w:rPr>
              <w:t>379</w:t>
            </w:r>
          </w:p>
        </w:tc>
        <w:tc>
          <w:tcPr>
            <w:tcW w:w="960" w:type="dxa"/>
            <w:tcBorders>
              <w:top w:val="single" w:sz="4" w:space="0" w:color="auto"/>
            </w:tcBorders>
            <w:vAlign w:val="bottom"/>
          </w:tcPr>
          <w:p w:rsidR="00EE2E47" w:rsidRPr="00CF3C06" w:rsidRDefault="00EC2D23" w:rsidP="00F808EC">
            <w:pPr>
              <w:jc w:val="right"/>
              <w:rPr>
                <w:rFonts w:ascii="Arial" w:hAnsi="Arial" w:cs="Arial"/>
                <w:sz w:val="16"/>
                <w:szCs w:val="16"/>
              </w:rPr>
            </w:pPr>
            <w:r>
              <w:rPr>
                <w:rFonts w:ascii="Arial" w:hAnsi="Arial" w:cs="Arial"/>
                <w:color w:val="000000"/>
                <w:sz w:val="16"/>
                <w:szCs w:val="16"/>
              </w:rPr>
              <w:t>21,1</w:t>
            </w:r>
          </w:p>
        </w:tc>
        <w:tc>
          <w:tcPr>
            <w:tcW w:w="960" w:type="dxa"/>
            <w:tcBorders>
              <w:top w:val="single" w:sz="4" w:space="0" w:color="auto"/>
            </w:tcBorders>
            <w:vAlign w:val="bottom"/>
          </w:tcPr>
          <w:p w:rsidR="00EE2E47" w:rsidRPr="00CF3C06" w:rsidRDefault="00EC2D23" w:rsidP="005B4818">
            <w:pPr>
              <w:jc w:val="right"/>
              <w:rPr>
                <w:rFonts w:ascii="Arial" w:hAnsi="Arial" w:cs="Arial"/>
                <w:sz w:val="16"/>
                <w:szCs w:val="16"/>
              </w:rPr>
            </w:pPr>
            <w:r>
              <w:rPr>
                <w:rFonts w:ascii="Arial" w:hAnsi="Arial" w:cs="Arial"/>
                <w:color w:val="000000"/>
                <w:sz w:val="16"/>
                <w:szCs w:val="16"/>
              </w:rPr>
              <w:t>45,3</w:t>
            </w:r>
          </w:p>
        </w:tc>
        <w:tc>
          <w:tcPr>
            <w:tcW w:w="960" w:type="dxa"/>
            <w:tcBorders>
              <w:top w:val="single" w:sz="4" w:space="0" w:color="auto"/>
            </w:tcBorders>
            <w:vAlign w:val="bottom"/>
          </w:tcPr>
          <w:p w:rsidR="00EE2E47" w:rsidRPr="00CF3C06" w:rsidRDefault="00EC2D23" w:rsidP="00F808EC">
            <w:pPr>
              <w:jc w:val="right"/>
              <w:rPr>
                <w:rFonts w:ascii="Arial" w:hAnsi="Arial" w:cs="Arial"/>
                <w:sz w:val="16"/>
                <w:szCs w:val="16"/>
              </w:rPr>
            </w:pPr>
            <w:r>
              <w:rPr>
                <w:rFonts w:ascii="Arial" w:hAnsi="Arial" w:cs="Arial"/>
                <w:color w:val="000000"/>
                <w:sz w:val="16"/>
                <w:szCs w:val="16"/>
              </w:rPr>
              <w:t>5,7</w:t>
            </w:r>
          </w:p>
        </w:tc>
      </w:tr>
      <w:tr w:rsidR="00EE2E47" w:rsidRPr="00F83D7E" w:rsidTr="00503F44">
        <w:trPr>
          <w:trHeight w:val="397"/>
        </w:trPr>
        <w:tc>
          <w:tcPr>
            <w:tcW w:w="3290" w:type="dxa"/>
            <w:vAlign w:val="bottom"/>
          </w:tcPr>
          <w:p w:rsidR="00EE2E47" w:rsidRPr="00CF3C06" w:rsidRDefault="00EE2E47">
            <w:pPr>
              <w:pStyle w:val="Zkladntext"/>
              <w:ind w:left="112"/>
              <w:rPr>
                <w:rFonts w:ascii="Arial" w:hAnsi="Arial" w:cs="Arial"/>
                <w:sz w:val="16"/>
                <w:szCs w:val="16"/>
              </w:rPr>
            </w:pPr>
            <w:r w:rsidRPr="00DF48FF">
              <w:rPr>
                <w:rFonts w:ascii="Arial" w:hAnsi="Arial" w:cs="Arial"/>
                <w:sz w:val="16"/>
                <w:szCs w:val="16"/>
              </w:rPr>
              <w:t>odmítnutí šetření</w:t>
            </w:r>
          </w:p>
          <w:p w:rsidR="00EE2E47" w:rsidRPr="00CF3C06" w:rsidRDefault="00EE2E47">
            <w:pPr>
              <w:pStyle w:val="Zkladntext"/>
              <w:ind w:left="112"/>
              <w:rPr>
                <w:rFonts w:ascii="Arial" w:hAnsi="Arial" w:cs="Arial"/>
                <w:sz w:val="16"/>
                <w:szCs w:val="16"/>
              </w:rPr>
            </w:pPr>
            <w:r w:rsidRPr="00DF48FF">
              <w:rPr>
                <w:rFonts w:ascii="Arial" w:hAnsi="Arial" w:cs="Arial"/>
                <w:sz w:val="16"/>
                <w:szCs w:val="16"/>
              </w:rPr>
              <w:t>(neochota sdělovat informace)</w:t>
            </w:r>
          </w:p>
        </w:tc>
        <w:tc>
          <w:tcPr>
            <w:tcW w:w="910" w:type="dxa"/>
            <w:vAlign w:val="bottom"/>
          </w:tcPr>
          <w:p w:rsidR="00EE2E47" w:rsidRPr="00CF3C06" w:rsidRDefault="00EC2D23" w:rsidP="00934D4B">
            <w:pPr>
              <w:jc w:val="right"/>
              <w:rPr>
                <w:rFonts w:ascii="Arial" w:hAnsi="Arial" w:cs="Arial"/>
                <w:sz w:val="16"/>
                <w:szCs w:val="16"/>
              </w:rPr>
            </w:pPr>
            <w:r>
              <w:rPr>
                <w:rFonts w:ascii="Arial" w:hAnsi="Arial" w:cs="Arial"/>
                <w:color w:val="000000"/>
                <w:sz w:val="16"/>
                <w:szCs w:val="16"/>
              </w:rPr>
              <w:t>1 825</w:t>
            </w:r>
          </w:p>
        </w:tc>
        <w:tc>
          <w:tcPr>
            <w:tcW w:w="960" w:type="dxa"/>
            <w:tcBorders>
              <w:top w:val="single" w:sz="4" w:space="0" w:color="auto"/>
              <w:bottom w:val="single" w:sz="4" w:space="0" w:color="auto"/>
            </w:tcBorders>
            <w:vAlign w:val="bottom"/>
          </w:tcPr>
          <w:p w:rsidR="00EE2E47" w:rsidRPr="00CF3C06" w:rsidRDefault="00EC2D23" w:rsidP="00934D4B">
            <w:pPr>
              <w:jc w:val="right"/>
              <w:rPr>
                <w:rFonts w:ascii="Arial" w:hAnsi="Arial" w:cs="Arial"/>
                <w:sz w:val="16"/>
                <w:szCs w:val="16"/>
              </w:rPr>
            </w:pPr>
            <w:r>
              <w:rPr>
                <w:rFonts w:ascii="Arial" w:hAnsi="Arial" w:cs="Arial"/>
                <w:color w:val="000000"/>
                <w:sz w:val="16"/>
                <w:szCs w:val="16"/>
              </w:rPr>
              <w:t>1 537</w:t>
            </w:r>
          </w:p>
        </w:tc>
        <w:tc>
          <w:tcPr>
            <w:tcW w:w="960" w:type="dxa"/>
            <w:tcBorders>
              <w:top w:val="single" w:sz="4" w:space="0" w:color="auto"/>
              <w:bottom w:val="single" w:sz="4" w:space="0" w:color="auto"/>
              <w:right w:val="single" w:sz="12" w:space="0" w:color="auto"/>
            </w:tcBorders>
            <w:vAlign w:val="bottom"/>
          </w:tcPr>
          <w:p w:rsidR="00EE2E47" w:rsidRPr="00CF3C06" w:rsidRDefault="00EC2D23" w:rsidP="00934D4B">
            <w:pPr>
              <w:jc w:val="right"/>
              <w:rPr>
                <w:rFonts w:ascii="Arial" w:hAnsi="Arial" w:cs="Arial"/>
                <w:sz w:val="16"/>
                <w:szCs w:val="16"/>
              </w:rPr>
            </w:pPr>
            <w:r>
              <w:rPr>
                <w:rFonts w:ascii="Arial" w:hAnsi="Arial" w:cs="Arial"/>
                <w:color w:val="000000"/>
                <w:sz w:val="16"/>
                <w:szCs w:val="16"/>
              </w:rPr>
              <w:t>288</w:t>
            </w:r>
          </w:p>
        </w:tc>
        <w:tc>
          <w:tcPr>
            <w:tcW w:w="960" w:type="dxa"/>
            <w:vAlign w:val="bottom"/>
          </w:tcPr>
          <w:p w:rsidR="00EE2E47" w:rsidRPr="00CF3C06" w:rsidRDefault="00EC2D23" w:rsidP="00F808EC">
            <w:pPr>
              <w:jc w:val="right"/>
              <w:rPr>
                <w:rFonts w:ascii="Arial" w:hAnsi="Arial" w:cs="Arial"/>
                <w:sz w:val="16"/>
                <w:szCs w:val="16"/>
              </w:rPr>
            </w:pPr>
            <w:r>
              <w:rPr>
                <w:rFonts w:ascii="Arial" w:hAnsi="Arial" w:cs="Arial"/>
                <w:color w:val="000000"/>
                <w:sz w:val="16"/>
                <w:szCs w:val="16"/>
              </w:rPr>
              <w:t>78,9</w:t>
            </w:r>
          </w:p>
        </w:tc>
        <w:tc>
          <w:tcPr>
            <w:tcW w:w="960" w:type="dxa"/>
            <w:vAlign w:val="bottom"/>
          </w:tcPr>
          <w:p w:rsidR="00EE2E47" w:rsidRPr="00CF3C06" w:rsidRDefault="00EC2D23" w:rsidP="00F808EC">
            <w:pPr>
              <w:jc w:val="right"/>
              <w:rPr>
                <w:rFonts w:ascii="Arial" w:hAnsi="Arial" w:cs="Arial"/>
                <w:sz w:val="16"/>
                <w:szCs w:val="16"/>
              </w:rPr>
            </w:pPr>
            <w:r>
              <w:rPr>
                <w:rFonts w:ascii="Arial" w:hAnsi="Arial" w:cs="Arial"/>
                <w:color w:val="000000"/>
                <w:sz w:val="16"/>
                <w:szCs w:val="16"/>
              </w:rPr>
              <w:t>79,4</w:t>
            </w:r>
          </w:p>
        </w:tc>
        <w:tc>
          <w:tcPr>
            <w:tcW w:w="960" w:type="dxa"/>
            <w:vAlign w:val="bottom"/>
          </w:tcPr>
          <w:p w:rsidR="00EE2E47" w:rsidRPr="00CF3C06" w:rsidRDefault="00EC2D23" w:rsidP="00E37223">
            <w:pPr>
              <w:jc w:val="right"/>
              <w:rPr>
                <w:rFonts w:ascii="Arial" w:hAnsi="Arial" w:cs="Arial"/>
                <w:sz w:val="16"/>
                <w:szCs w:val="16"/>
              </w:rPr>
            </w:pPr>
            <w:r>
              <w:rPr>
                <w:rFonts w:ascii="Arial" w:hAnsi="Arial" w:cs="Arial"/>
                <w:color w:val="000000"/>
                <w:sz w:val="16"/>
                <w:szCs w:val="16"/>
              </w:rPr>
              <w:t>76,0</w:t>
            </w:r>
          </w:p>
        </w:tc>
      </w:tr>
      <w:tr w:rsidR="00EE2E47" w:rsidRPr="00F83D7E" w:rsidTr="00503F44">
        <w:trPr>
          <w:trHeight w:val="397"/>
        </w:trPr>
        <w:tc>
          <w:tcPr>
            <w:tcW w:w="3290" w:type="dxa"/>
            <w:vAlign w:val="bottom"/>
          </w:tcPr>
          <w:p w:rsidR="00EE2E47" w:rsidRPr="00CF3C06" w:rsidRDefault="00EE2E47">
            <w:pPr>
              <w:pStyle w:val="Zkladntext"/>
              <w:ind w:left="112"/>
              <w:rPr>
                <w:rFonts w:ascii="Arial" w:hAnsi="Arial" w:cs="Arial"/>
                <w:sz w:val="16"/>
                <w:szCs w:val="16"/>
              </w:rPr>
            </w:pPr>
            <w:r w:rsidRPr="00DF48FF">
              <w:rPr>
                <w:rFonts w:ascii="Arial" w:hAnsi="Arial" w:cs="Arial"/>
                <w:sz w:val="16"/>
                <w:szCs w:val="16"/>
              </w:rPr>
              <w:t>domácnost nezastižena,</w:t>
            </w:r>
          </w:p>
          <w:p w:rsidR="00EE2E47" w:rsidRPr="00CF3C06" w:rsidRDefault="00EE2E47">
            <w:pPr>
              <w:pStyle w:val="Zkladntext"/>
              <w:ind w:left="112"/>
              <w:rPr>
                <w:rFonts w:ascii="Arial" w:hAnsi="Arial" w:cs="Arial"/>
                <w:sz w:val="16"/>
                <w:szCs w:val="16"/>
              </w:rPr>
            </w:pPr>
            <w:r w:rsidRPr="00DF48FF">
              <w:rPr>
                <w:rFonts w:ascii="Arial" w:hAnsi="Arial" w:cs="Arial"/>
                <w:sz w:val="16"/>
                <w:szCs w:val="16"/>
              </w:rPr>
              <w:t>dočasně nepřítomná</w:t>
            </w:r>
          </w:p>
        </w:tc>
        <w:tc>
          <w:tcPr>
            <w:tcW w:w="910" w:type="dxa"/>
            <w:vAlign w:val="bottom"/>
          </w:tcPr>
          <w:p w:rsidR="00A731EA" w:rsidRDefault="00EC2D23">
            <w:pPr>
              <w:jc w:val="right"/>
              <w:rPr>
                <w:rFonts w:ascii="Arial" w:hAnsi="Arial" w:cs="Arial"/>
                <w:sz w:val="16"/>
                <w:szCs w:val="16"/>
              </w:rPr>
            </w:pPr>
            <w:r>
              <w:rPr>
                <w:rFonts w:ascii="Arial" w:hAnsi="Arial" w:cs="Arial"/>
                <w:color w:val="000000"/>
                <w:sz w:val="16"/>
                <w:szCs w:val="16"/>
              </w:rPr>
              <w:t>277</w:t>
            </w:r>
          </w:p>
        </w:tc>
        <w:tc>
          <w:tcPr>
            <w:tcW w:w="960" w:type="dxa"/>
            <w:tcBorders>
              <w:top w:val="single" w:sz="4" w:space="0" w:color="auto"/>
              <w:bottom w:val="single" w:sz="4" w:space="0" w:color="auto"/>
            </w:tcBorders>
            <w:vAlign w:val="bottom"/>
          </w:tcPr>
          <w:p w:rsidR="00A731EA" w:rsidRDefault="00EC2D23">
            <w:pPr>
              <w:jc w:val="right"/>
              <w:rPr>
                <w:rFonts w:ascii="Arial" w:hAnsi="Arial" w:cs="Arial"/>
                <w:sz w:val="16"/>
                <w:szCs w:val="16"/>
              </w:rPr>
            </w:pPr>
            <w:r>
              <w:rPr>
                <w:rFonts w:ascii="Arial" w:hAnsi="Arial" w:cs="Arial"/>
                <w:color w:val="000000"/>
                <w:sz w:val="16"/>
                <w:szCs w:val="16"/>
              </w:rPr>
              <w:t>237</w:t>
            </w:r>
          </w:p>
        </w:tc>
        <w:tc>
          <w:tcPr>
            <w:tcW w:w="960" w:type="dxa"/>
            <w:tcBorders>
              <w:top w:val="single" w:sz="4" w:space="0" w:color="auto"/>
              <w:bottom w:val="single" w:sz="4" w:space="0" w:color="auto"/>
              <w:right w:val="single" w:sz="12" w:space="0" w:color="auto"/>
            </w:tcBorders>
            <w:vAlign w:val="bottom"/>
          </w:tcPr>
          <w:p w:rsidR="00EE2E47" w:rsidRPr="00CF3C06" w:rsidRDefault="00EC2D23" w:rsidP="00934D4B">
            <w:pPr>
              <w:jc w:val="right"/>
              <w:rPr>
                <w:rFonts w:ascii="Arial" w:hAnsi="Arial" w:cs="Arial"/>
                <w:sz w:val="16"/>
                <w:szCs w:val="16"/>
              </w:rPr>
            </w:pPr>
            <w:r>
              <w:rPr>
                <w:rFonts w:ascii="Arial" w:hAnsi="Arial" w:cs="Arial"/>
                <w:color w:val="000000"/>
                <w:sz w:val="16"/>
                <w:szCs w:val="16"/>
              </w:rPr>
              <w:t>40</w:t>
            </w:r>
          </w:p>
        </w:tc>
        <w:tc>
          <w:tcPr>
            <w:tcW w:w="960" w:type="dxa"/>
            <w:vAlign w:val="bottom"/>
          </w:tcPr>
          <w:p w:rsidR="00EE2E47" w:rsidRPr="00CF3C06" w:rsidRDefault="00EC2D23" w:rsidP="00F808EC">
            <w:pPr>
              <w:jc w:val="right"/>
              <w:rPr>
                <w:rFonts w:ascii="Arial" w:hAnsi="Arial" w:cs="Arial"/>
                <w:sz w:val="16"/>
                <w:szCs w:val="16"/>
              </w:rPr>
            </w:pPr>
            <w:r>
              <w:rPr>
                <w:rFonts w:ascii="Arial" w:hAnsi="Arial" w:cs="Arial"/>
                <w:color w:val="000000"/>
                <w:sz w:val="16"/>
                <w:szCs w:val="16"/>
              </w:rPr>
              <w:t>12,0</w:t>
            </w:r>
          </w:p>
        </w:tc>
        <w:tc>
          <w:tcPr>
            <w:tcW w:w="960" w:type="dxa"/>
            <w:vAlign w:val="bottom"/>
          </w:tcPr>
          <w:p w:rsidR="00EE2E47" w:rsidRPr="00CF3C06" w:rsidRDefault="00EC2D23" w:rsidP="00F808EC">
            <w:pPr>
              <w:jc w:val="right"/>
              <w:rPr>
                <w:rFonts w:ascii="Arial" w:hAnsi="Arial" w:cs="Arial"/>
                <w:sz w:val="16"/>
                <w:szCs w:val="16"/>
              </w:rPr>
            </w:pPr>
            <w:r>
              <w:rPr>
                <w:rFonts w:ascii="Arial" w:hAnsi="Arial" w:cs="Arial"/>
                <w:color w:val="000000"/>
                <w:sz w:val="16"/>
                <w:szCs w:val="16"/>
              </w:rPr>
              <w:t>12,2</w:t>
            </w:r>
          </w:p>
        </w:tc>
        <w:tc>
          <w:tcPr>
            <w:tcW w:w="960" w:type="dxa"/>
            <w:vAlign w:val="bottom"/>
          </w:tcPr>
          <w:p w:rsidR="00EE2E47" w:rsidRPr="00CF3C06" w:rsidRDefault="00EC2D23" w:rsidP="00F808EC">
            <w:pPr>
              <w:jc w:val="right"/>
              <w:rPr>
                <w:rFonts w:ascii="Arial" w:hAnsi="Arial" w:cs="Arial"/>
                <w:sz w:val="16"/>
                <w:szCs w:val="16"/>
              </w:rPr>
            </w:pPr>
            <w:r>
              <w:rPr>
                <w:rFonts w:ascii="Arial" w:hAnsi="Arial" w:cs="Arial"/>
                <w:color w:val="000000"/>
                <w:sz w:val="16"/>
                <w:szCs w:val="16"/>
              </w:rPr>
              <w:t>10,6</w:t>
            </w:r>
          </w:p>
        </w:tc>
      </w:tr>
      <w:tr w:rsidR="00EE2E47" w:rsidRPr="00F83D7E" w:rsidTr="00503F44">
        <w:trPr>
          <w:trHeight w:val="397"/>
        </w:trPr>
        <w:tc>
          <w:tcPr>
            <w:tcW w:w="3290" w:type="dxa"/>
            <w:tcBorders>
              <w:bottom w:val="single" w:sz="4" w:space="0" w:color="auto"/>
            </w:tcBorders>
            <w:vAlign w:val="bottom"/>
          </w:tcPr>
          <w:p w:rsidR="00EE2E47" w:rsidRPr="00CF3C06" w:rsidRDefault="00EE2E47">
            <w:pPr>
              <w:pStyle w:val="Zkladntext"/>
              <w:ind w:left="112"/>
              <w:rPr>
                <w:rFonts w:ascii="Arial" w:hAnsi="Arial" w:cs="Arial"/>
                <w:sz w:val="16"/>
                <w:szCs w:val="16"/>
              </w:rPr>
            </w:pPr>
            <w:r w:rsidRPr="00DF48FF">
              <w:rPr>
                <w:rFonts w:ascii="Arial" w:hAnsi="Arial" w:cs="Arial"/>
                <w:sz w:val="16"/>
                <w:szCs w:val="16"/>
              </w:rPr>
              <w:t xml:space="preserve">domácnost neschopna účasti </w:t>
            </w:r>
          </w:p>
          <w:p w:rsidR="00EE2E47" w:rsidRPr="00CF3C06" w:rsidRDefault="00EE2E47">
            <w:pPr>
              <w:pStyle w:val="Zkladntext"/>
              <w:ind w:left="112"/>
              <w:rPr>
                <w:rFonts w:ascii="Arial" w:hAnsi="Arial" w:cs="Arial"/>
                <w:sz w:val="16"/>
                <w:szCs w:val="16"/>
              </w:rPr>
            </w:pPr>
            <w:r w:rsidRPr="00DF48FF">
              <w:rPr>
                <w:rFonts w:ascii="Arial" w:hAnsi="Arial" w:cs="Arial"/>
                <w:sz w:val="16"/>
                <w:szCs w:val="16"/>
              </w:rPr>
              <w:t>(zdravotní důvody apod.)</w:t>
            </w:r>
          </w:p>
        </w:tc>
        <w:tc>
          <w:tcPr>
            <w:tcW w:w="910" w:type="dxa"/>
            <w:tcBorders>
              <w:bottom w:val="single" w:sz="4" w:space="0" w:color="auto"/>
            </w:tcBorders>
            <w:vAlign w:val="bottom"/>
          </w:tcPr>
          <w:p w:rsidR="00A731EA" w:rsidRDefault="00EC2D23">
            <w:pPr>
              <w:jc w:val="right"/>
              <w:rPr>
                <w:rFonts w:ascii="Arial" w:hAnsi="Arial" w:cs="Arial"/>
                <w:sz w:val="16"/>
                <w:szCs w:val="16"/>
              </w:rPr>
            </w:pPr>
            <w:r>
              <w:rPr>
                <w:rFonts w:ascii="Arial" w:hAnsi="Arial" w:cs="Arial"/>
                <w:color w:val="000000"/>
                <w:sz w:val="16"/>
                <w:szCs w:val="16"/>
              </w:rPr>
              <w:t>129</w:t>
            </w:r>
          </w:p>
        </w:tc>
        <w:tc>
          <w:tcPr>
            <w:tcW w:w="960" w:type="dxa"/>
            <w:tcBorders>
              <w:top w:val="single" w:sz="4" w:space="0" w:color="auto"/>
              <w:bottom w:val="single" w:sz="4" w:space="0" w:color="auto"/>
            </w:tcBorders>
            <w:vAlign w:val="bottom"/>
          </w:tcPr>
          <w:p w:rsidR="00315362" w:rsidRDefault="00EC2D23">
            <w:pPr>
              <w:jc w:val="right"/>
              <w:rPr>
                <w:rFonts w:ascii="Arial" w:hAnsi="Arial" w:cs="Arial"/>
                <w:sz w:val="16"/>
                <w:szCs w:val="16"/>
              </w:rPr>
            </w:pPr>
            <w:r>
              <w:rPr>
                <w:rFonts w:ascii="Arial" w:hAnsi="Arial" w:cs="Arial"/>
                <w:color w:val="000000"/>
                <w:sz w:val="16"/>
                <w:szCs w:val="16"/>
              </w:rPr>
              <w:t>103</w:t>
            </w:r>
          </w:p>
        </w:tc>
        <w:tc>
          <w:tcPr>
            <w:tcW w:w="960" w:type="dxa"/>
            <w:tcBorders>
              <w:top w:val="single" w:sz="4" w:space="0" w:color="auto"/>
              <w:bottom w:val="single" w:sz="4" w:space="0" w:color="auto"/>
              <w:right w:val="single" w:sz="12" w:space="0" w:color="auto"/>
            </w:tcBorders>
            <w:vAlign w:val="bottom"/>
          </w:tcPr>
          <w:p w:rsidR="00EE2E47" w:rsidRPr="00CF3C06" w:rsidRDefault="00EC2D23" w:rsidP="00934D4B">
            <w:pPr>
              <w:jc w:val="right"/>
              <w:rPr>
                <w:rFonts w:ascii="Arial" w:hAnsi="Arial" w:cs="Arial"/>
                <w:sz w:val="16"/>
                <w:szCs w:val="16"/>
              </w:rPr>
            </w:pPr>
            <w:r>
              <w:rPr>
                <w:rFonts w:ascii="Arial" w:hAnsi="Arial" w:cs="Arial"/>
                <w:color w:val="000000"/>
                <w:sz w:val="16"/>
                <w:szCs w:val="16"/>
              </w:rPr>
              <w:t>26</w:t>
            </w:r>
          </w:p>
        </w:tc>
        <w:tc>
          <w:tcPr>
            <w:tcW w:w="960" w:type="dxa"/>
            <w:tcBorders>
              <w:bottom w:val="single" w:sz="4" w:space="0" w:color="auto"/>
            </w:tcBorders>
            <w:vAlign w:val="bottom"/>
          </w:tcPr>
          <w:p w:rsidR="00EE2E47" w:rsidRPr="00CF3C06" w:rsidRDefault="00EC2D23" w:rsidP="00F808EC">
            <w:pPr>
              <w:jc w:val="right"/>
              <w:rPr>
                <w:rFonts w:ascii="Arial" w:hAnsi="Arial" w:cs="Arial"/>
                <w:sz w:val="16"/>
                <w:szCs w:val="16"/>
              </w:rPr>
            </w:pPr>
            <w:r>
              <w:rPr>
                <w:rFonts w:ascii="Arial" w:hAnsi="Arial" w:cs="Arial"/>
                <w:color w:val="000000"/>
                <w:sz w:val="16"/>
                <w:szCs w:val="16"/>
              </w:rPr>
              <w:t>5,6</w:t>
            </w:r>
          </w:p>
        </w:tc>
        <w:tc>
          <w:tcPr>
            <w:tcW w:w="960" w:type="dxa"/>
            <w:tcBorders>
              <w:bottom w:val="single" w:sz="4" w:space="0" w:color="auto"/>
            </w:tcBorders>
            <w:vAlign w:val="bottom"/>
          </w:tcPr>
          <w:p w:rsidR="00315362" w:rsidRDefault="00EC2D23">
            <w:pPr>
              <w:jc w:val="right"/>
              <w:rPr>
                <w:rFonts w:ascii="Arial" w:hAnsi="Arial" w:cs="Arial"/>
                <w:sz w:val="16"/>
                <w:szCs w:val="16"/>
              </w:rPr>
            </w:pPr>
            <w:r>
              <w:rPr>
                <w:rFonts w:ascii="Arial" w:hAnsi="Arial" w:cs="Arial"/>
                <w:color w:val="000000"/>
                <w:sz w:val="16"/>
                <w:szCs w:val="16"/>
              </w:rPr>
              <w:t>5,3</w:t>
            </w:r>
          </w:p>
        </w:tc>
        <w:tc>
          <w:tcPr>
            <w:tcW w:w="960" w:type="dxa"/>
            <w:tcBorders>
              <w:bottom w:val="single" w:sz="4" w:space="0" w:color="auto"/>
            </w:tcBorders>
            <w:vAlign w:val="bottom"/>
          </w:tcPr>
          <w:p w:rsidR="00EE2E47" w:rsidRPr="00CF3C06" w:rsidRDefault="00EC2D23" w:rsidP="00F808EC">
            <w:pPr>
              <w:jc w:val="right"/>
              <w:rPr>
                <w:rFonts w:ascii="Arial" w:hAnsi="Arial" w:cs="Arial"/>
                <w:sz w:val="16"/>
                <w:szCs w:val="16"/>
              </w:rPr>
            </w:pPr>
            <w:r>
              <w:rPr>
                <w:rFonts w:ascii="Arial" w:hAnsi="Arial" w:cs="Arial"/>
                <w:color w:val="000000"/>
                <w:sz w:val="16"/>
                <w:szCs w:val="16"/>
              </w:rPr>
              <w:t>6,9</w:t>
            </w:r>
          </w:p>
        </w:tc>
      </w:tr>
      <w:tr w:rsidR="00EE2E47" w:rsidRPr="00F83D7E" w:rsidTr="00503F44">
        <w:trPr>
          <w:trHeight w:val="284"/>
        </w:trPr>
        <w:tc>
          <w:tcPr>
            <w:tcW w:w="3290" w:type="dxa"/>
            <w:tcBorders>
              <w:top w:val="single" w:sz="4" w:space="0" w:color="auto"/>
              <w:bottom w:val="single" w:sz="12" w:space="0" w:color="auto"/>
            </w:tcBorders>
            <w:vAlign w:val="bottom"/>
          </w:tcPr>
          <w:p w:rsidR="00EE2E47" w:rsidRPr="00CF3C06" w:rsidRDefault="00EE2E47">
            <w:pPr>
              <w:pStyle w:val="Zkladntext"/>
              <w:ind w:left="98"/>
              <w:rPr>
                <w:rFonts w:ascii="Arial" w:hAnsi="Arial" w:cs="Arial"/>
                <w:sz w:val="16"/>
                <w:szCs w:val="16"/>
              </w:rPr>
            </w:pPr>
            <w:r w:rsidRPr="00DF48FF">
              <w:rPr>
                <w:rFonts w:ascii="Arial" w:hAnsi="Arial" w:cs="Arial"/>
                <w:sz w:val="16"/>
                <w:szCs w:val="16"/>
              </w:rPr>
              <w:t>jiné důvody (jazyková bariéra aj.)</w:t>
            </w:r>
          </w:p>
        </w:tc>
        <w:tc>
          <w:tcPr>
            <w:tcW w:w="910" w:type="dxa"/>
            <w:tcBorders>
              <w:top w:val="single" w:sz="4" w:space="0" w:color="auto"/>
              <w:bottom w:val="single" w:sz="12" w:space="0" w:color="auto"/>
            </w:tcBorders>
            <w:vAlign w:val="bottom"/>
          </w:tcPr>
          <w:p w:rsidR="00315362" w:rsidRDefault="00EC2D23">
            <w:pPr>
              <w:jc w:val="right"/>
              <w:rPr>
                <w:rFonts w:ascii="Arial" w:hAnsi="Arial" w:cs="Arial"/>
                <w:sz w:val="16"/>
                <w:szCs w:val="16"/>
              </w:rPr>
            </w:pPr>
            <w:r>
              <w:rPr>
                <w:rFonts w:ascii="Arial" w:hAnsi="Arial" w:cs="Arial"/>
                <w:color w:val="000000"/>
                <w:sz w:val="16"/>
                <w:szCs w:val="16"/>
              </w:rPr>
              <w:t>83</w:t>
            </w:r>
          </w:p>
        </w:tc>
        <w:tc>
          <w:tcPr>
            <w:tcW w:w="960" w:type="dxa"/>
            <w:tcBorders>
              <w:top w:val="single" w:sz="4" w:space="0" w:color="auto"/>
              <w:bottom w:val="single" w:sz="12" w:space="0" w:color="auto"/>
            </w:tcBorders>
            <w:vAlign w:val="bottom"/>
          </w:tcPr>
          <w:p w:rsidR="00315362" w:rsidRDefault="00EC2D23">
            <w:pPr>
              <w:jc w:val="right"/>
              <w:rPr>
                <w:rFonts w:ascii="Arial" w:hAnsi="Arial" w:cs="Arial"/>
                <w:sz w:val="16"/>
                <w:szCs w:val="16"/>
              </w:rPr>
            </w:pPr>
            <w:r>
              <w:rPr>
                <w:rFonts w:ascii="Arial" w:hAnsi="Arial" w:cs="Arial"/>
                <w:color w:val="000000"/>
                <w:sz w:val="16"/>
                <w:szCs w:val="16"/>
              </w:rPr>
              <w:t>58</w:t>
            </w:r>
          </w:p>
        </w:tc>
        <w:tc>
          <w:tcPr>
            <w:tcW w:w="960" w:type="dxa"/>
            <w:tcBorders>
              <w:top w:val="single" w:sz="4" w:space="0" w:color="auto"/>
              <w:bottom w:val="single" w:sz="12" w:space="0" w:color="auto"/>
              <w:right w:val="single" w:sz="12" w:space="0" w:color="auto"/>
            </w:tcBorders>
            <w:vAlign w:val="bottom"/>
          </w:tcPr>
          <w:p w:rsidR="00EE2E47" w:rsidRPr="00CF3C06" w:rsidRDefault="00EC2D23" w:rsidP="00934D4B">
            <w:pPr>
              <w:jc w:val="right"/>
              <w:rPr>
                <w:rFonts w:ascii="Arial" w:hAnsi="Arial" w:cs="Arial"/>
                <w:sz w:val="16"/>
                <w:szCs w:val="16"/>
              </w:rPr>
            </w:pPr>
            <w:r>
              <w:rPr>
                <w:rFonts w:ascii="Arial" w:hAnsi="Arial" w:cs="Arial"/>
                <w:color w:val="000000"/>
                <w:sz w:val="16"/>
                <w:szCs w:val="16"/>
              </w:rPr>
              <w:t>25</w:t>
            </w:r>
          </w:p>
        </w:tc>
        <w:tc>
          <w:tcPr>
            <w:tcW w:w="960" w:type="dxa"/>
            <w:tcBorders>
              <w:top w:val="single" w:sz="4" w:space="0" w:color="auto"/>
              <w:bottom w:val="single" w:sz="12" w:space="0" w:color="auto"/>
            </w:tcBorders>
            <w:vAlign w:val="bottom"/>
          </w:tcPr>
          <w:p w:rsidR="00EE2E47" w:rsidRPr="00CF3C06" w:rsidRDefault="00EC2D23" w:rsidP="00F808EC">
            <w:pPr>
              <w:jc w:val="right"/>
              <w:rPr>
                <w:rFonts w:ascii="Arial" w:hAnsi="Arial" w:cs="Arial"/>
                <w:sz w:val="16"/>
                <w:szCs w:val="16"/>
              </w:rPr>
            </w:pPr>
            <w:r>
              <w:rPr>
                <w:rFonts w:ascii="Arial" w:hAnsi="Arial" w:cs="Arial"/>
                <w:color w:val="000000"/>
                <w:sz w:val="16"/>
                <w:szCs w:val="16"/>
              </w:rPr>
              <w:t>3,6</w:t>
            </w:r>
          </w:p>
        </w:tc>
        <w:tc>
          <w:tcPr>
            <w:tcW w:w="960" w:type="dxa"/>
            <w:tcBorders>
              <w:top w:val="single" w:sz="4" w:space="0" w:color="auto"/>
              <w:bottom w:val="single" w:sz="12" w:space="0" w:color="auto"/>
            </w:tcBorders>
            <w:vAlign w:val="bottom"/>
          </w:tcPr>
          <w:p w:rsidR="00EE2E47" w:rsidRPr="00CF3C06" w:rsidRDefault="00EC2D23" w:rsidP="00F808EC">
            <w:pPr>
              <w:jc w:val="right"/>
              <w:rPr>
                <w:rFonts w:ascii="Arial" w:hAnsi="Arial" w:cs="Arial"/>
                <w:sz w:val="16"/>
                <w:szCs w:val="16"/>
              </w:rPr>
            </w:pPr>
            <w:r>
              <w:rPr>
                <w:rFonts w:ascii="Arial" w:hAnsi="Arial" w:cs="Arial"/>
                <w:color w:val="000000"/>
                <w:sz w:val="16"/>
                <w:szCs w:val="16"/>
              </w:rPr>
              <w:t>3,0</w:t>
            </w:r>
          </w:p>
        </w:tc>
        <w:tc>
          <w:tcPr>
            <w:tcW w:w="960" w:type="dxa"/>
            <w:tcBorders>
              <w:top w:val="single" w:sz="4" w:space="0" w:color="auto"/>
              <w:bottom w:val="single" w:sz="12" w:space="0" w:color="auto"/>
            </w:tcBorders>
            <w:vAlign w:val="bottom"/>
          </w:tcPr>
          <w:p w:rsidR="00EE2E47" w:rsidRPr="00CF3C06" w:rsidRDefault="00EC2D23" w:rsidP="00F808EC">
            <w:pPr>
              <w:jc w:val="right"/>
              <w:rPr>
                <w:rFonts w:ascii="Arial" w:hAnsi="Arial" w:cs="Arial"/>
                <w:sz w:val="16"/>
                <w:szCs w:val="16"/>
              </w:rPr>
            </w:pPr>
            <w:r>
              <w:rPr>
                <w:rFonts w:ascii="Arial" w:hAnsi="Arial" w:cs="Arial"/>
                <w:color w:val="000000"/>
                <w:sz w:val="16"/>
                <w:szCs w:val="16"/>
              </w:rPr>
              <w:t>6,6</w:t>
            </w:r>
          </w:p>
        </w:tc>
      </w:tr>
    </w:tbl>
    <w:p w:rsidR="0070588E" w:rsidRDefault="00DF48FF">
      <w:pPr>
        <w:pStyle w:val="Zkladntext"/>
        <w:tabs>
          <w:tab w:val="left" w:pos="720"/>
          <w:tab w:val="left" w:pos="1080"/>
          <w:tab w:val="left" w:pos="1800"/>
          <w:tab w:val="right" w:pos="7080"/>
          <w:tab w:val="right" w:pos="8760"/>
        </w:tabs>
        <w:spacing w:after="120"/>
        <w:rPr>
          <w:rFonts w:ascii="Arial" w:hAnsi="Arial" w:cs="Arial"/>
          <w:sz w:val="14"/>
          <w:szCs w:val="14"/>
        </w:rPr>
      </w:pPr>
      <w:r w:rsidRPr="00DF48FF">
        <w:rPr>
          <w:rFonts w:ascii="Arial" w:hAnsi="Arial" w:cs="Arial"/>
          <w:sz w:val="14"/>
          <w:szCs w:val="14"/>
        </w:rPr>
        <w:t>Zdroj</w:t>
      </w:r>
      <w:r w:rsidR="003868D5">
        <w:rPr>
          <w:rFonts w:ascii="Arial" w:hAnsi="Arial" w:cs="Arial"/>
          <w:sz w:val="14"/>
          <w:szCs w:val="14"/>
        </w:rPr>
        <w:t xml:space="preserve">: </w:t>
      </w:r>
      <w:r w:rsidR="00B236D4">
        <w:rPr>
          <w:rFonts w:ascii="Arial" w:hAnsi="Arial" w:cs="Arial"/>
          <w:sz w:val="14"/>
          <w:szCs w:val="14"/>
        </w:rPr>
        <w:t>ČSÚ</w:t>
      </w:r>
      <w:r w:rsidRPr="00DF48FF">
        <w:rPr>
          <w:rFonts w:ascii="Arial" w:hAnsi="Arial" w:cs="Arial"/>
          <w:sz w:val="14"/>
          <w:szCs w:val="14"/>
        </w:rPr>
        <w:tab/>
      </w:r>
    </w:p>
    <w:p w:rsidR="002A4577" w:rsidRPr="00F83D7E" w:rsidRDefault="004262EB">
      <w:pPr>
        <w:pStyle w:val="Zkladntext"/>
        <w:tabs>
          <w:tab w:val="left" w:pos="720"/>
          <w:tab w:val="left" w:pos="1080"/>
          <w:tab w:val="left" w:pos="1800"/>
          <w:tab w:val="right" w:pos="7080"/>
          <w:tab w:val="right" w:pos="8760"/>
        </w:tabs>
        <w:spacing w:after="120"/>
        <w:rPr>
          <w:rFonts w:ascii="Arial" w:hAnsi="Arial" w:cs="Arial"/>
          <w:sz w:val="20"/>
          <w:szCs w:val="20"/>
        </w:rPr>
      </w:pPr>
      <w:r>
        <w:rPr>
          <w:rFonts w:ascii="Arial" w:hAnsi="Arial" w:cs="Arial"/>
          <w:sz w:val="20"/>
          <w:szCs w:val="20"/>
        </w:rPr>
        <w:tab/>
      </w:r>
      <w:r w:rsidR="00DF48FF" w:rsidRPr="00DF48FF">
        <w:rPr>
          <w:rFonts w:ascii="Arial" w:hAnsi="Arial" w:cs="Arial"/>
          <w:sz w:val="20"/>
          <w:szCs w:val="20"/>
        </w:rPr>
        <w:t xml:space="preserve">Mezi „odmítnutí šetření“ jsou započítány i případy, kdy hospodařící domácnost neodmítne šetření jako celek, ale není ochotna uvést své příjmy v takové míře, aby získané údaje vyhověly podmínkám definice </w:t>
      </w:r>
      <w:proofErr w:type="spellStart"/>
      <w:r w:rsidR="00DF48FF" w:rsidRPr="00DF48FF">
        <w:rPr>
          <w:rFonts w:ascii="Arial" w:hAnsi="Arial" w:cs="Arial"/>
          <w:sz w:val="20"/>
          <w:szCs w:val="20"/>
        </w:rPr>
        <w:t>vyšetřenosti</w:t>
      </w:r>
      <w:proofErr w:type="spellEnd"/>
      <w:r w:rsidR="00DF48FF" w:rsidRPr="00DF48FF">
        <w:rPr>
          <w:rFonts w:ascii="Arial" w:hAnsi="Arial" w:cs="Arial"/>
          <w:sz w:val="20"/>
          <w:szCs w:val="20"/>
        </w:rPr>
        <w:t xml:space="preserve"> v duchu pokynů pro šetření. Předepsaná metodika akceptuje nevyplnění otázek o</w:t>
      </w:r>
      <w:r>
        <w:rPr>
          <w:rFonts w:ascii="Arial" w:hAnsi="Arial" w:cs="Arial"/>
          <w:sz w:val="20"/>
          <w:szCs w:val="20"/>
        </w:rPr>
        <w:t> </w:t>
      </w:r>
      <w:r w:rsidR="00DF48FF" w:rsidRPr="00DF48FF">
        <w:rPr>
          <w:rFonts w:ascii="Arial" w:hAnsi="Arial" w:cs="Arial"/>
          <w:sz w:val="20"/>
          <w:szCs w:val="20"/>
        </w:rPr>
        <w:t xml:space="preserve">příjmech nejvýše u jedné osoby, přičemž nesmí jít o osobu v čele domácnosti. </w:t>
      </w:r>
    </w:p>
    <w:p w:rsidR="002A4577" w:rsidRPr="00F83D7E" w:rsidRDefault="00DF48FF">
      <w:pPr>
        <w:pStyle w:val="Zkladntext"/>
        <w:tabs>
          <w:tab w:val="left" w:pos="720"/>
          <w:tab w:val="left" w:pos="1080"/>
          <w:tab w:val="left" w:pos="1800"/>
          <w:tab w:val="right" w:pos="7080"/>
          <w:tab w:val="right" w:pos="8760"/>
        </w:tabs>
        <w:spacing w:after="120"/>
        <w:rPr>
          <w:rFonts w:ascii="Arial" w:hAnsi="Arial" w:cs="Arial"/>
          <w:sz w:val="20"/>
          <w:szCs w:val="20"/>
        </w:rPr>
      </w:pPr>
      <w:r w:rsidRPr="00DF48FF">
        <w:rPr>
          <w:rFonts w:ascii="Arial" w:hAnsi="Arial" w:cs="Arial"/>
          <w:sz w:val="20"/>
          <w:szCs w:val="20"/>
        </w:rPr>
        <w:tab/>
        <w:t>„Domácnost nezastižena, dočasně nepřítomná“ znamená, že tazatel i přes předepsaný počet opakovaných návštěv danou domácnost v průběhu období šetření nezastihl.</w:t>
      </w:r>
    </w:p>
    <w:p w:rsidR="00786FD5" w:rsidRDefault="00DF48FF" w:rsidP="00786FD5">
      <w:pPr>
        <w:pStyle w:val="Zkladntext"/>
        <w:spacing w:after="120"/>
        <w:rPr>
          <w:rFonts w:ascii="Arial" w:hAnsi="Arial" w:cs="Arial"/>
          <w:sz w:val="20"/>
          <w:szCs w:val="20"/>
        </w:rPr>
      </w:pPr>
      <w:r w:rsidRPr="00DF48FF">
        <w:rPr>
          <w:rFonts w:ascii="Arial" w:hAnsi="Arial" w:cs="Arial"/>
          <w:sz w:val="20"/>
          <w:szCs w:val="20"/>
        </w:rPr>
        <w:tab/>
      </w:r>
      <w:proofErr w:type="spellStart"/>
      <w:r w:rsidRPr="00DF48FF">
        <w:rPr>
          <w:rFonts w:ascii="Arial" w:hAnsi="Arial" w:cs="Arial"/>
          <w:sz w:val="20"/>
          <w:szCs w:val="20"/>
        </w:rPr>
        <w:t>Vyšetřenost</w:t>
      </w:r>
      <w:proofErr w:type="spellEnd"/>
      <w:r w:rsidRPr="00DF48FF">
        <w:rPr>
          <w:rFonts w:ascii="Arial" w:hAnsi="Arial" w:cs="Arial"/>
          <w:sz w:val="20"/>
          <w:szCs w:val="20"/>
        </w:rPr>
        <w:t xml:space="preserve"> domácností v jednotlivých krajích a za ČR celkem a v rozdělení na 1. a 2. až 4. vlnu udává následující tabulka:</w:t>
      </w:r>
    </w:p>
    <w:p w:rsidR="002A4577" w:rsidRPr="00213A5B" w:rsidRDefault="00DF48FF">
      <w:pPr>
        <w:pStyle w:val="Zkladntext"/>
        <w:rPr>
          <w:rFonts w:ascii="Arial" w:hAnsi="Arial" w:cs="Arial"/>
          <w:b/>
          <w:sz w:val="20"/>
          <w:szCs w:val="20"/>
        </w:rPr>
      </w:pPr>
      <w:r w:rsidRPr="00DF48FF">
        <w:rPr>
          <w:rFonts w:ascii="Arial" w:hAnsi="Arial" w:cs="Arial"/>
          <w:b/>
          <w:sz w:val="20"/>
          <w:szCs w:val="20"/>
        </w:rPr>
        <w:t xml:space="preserve">Tab. 2 </w:t>
      </w:r>
      <w:proofErr w:type="spellStart"/>
      <w:r w:rsidRPr="00DF48FF">
        <w:rPr>
          <w:rFonts w:ascii="Arial" w:hAnsi="Arial" w:cs="Arial"/>
          <w:b/>
          <w:sz w:val="20"/>
          <w:szCs w:val="20"/>
        </w:rPr>
        <w:t>Vyšetřenost</w:t>
      </w:r>
      <w:proofErr w:type="spellEnd"/>
      <w:r w:rsidRPr="00DF48FF">
        <w:rPr>
          <w:rFonts w:ascii="Arial" w:hAnsi="Arial" w:cs="Arial"/>
          <w:b/>
          <w:sz w:val="20"/>
          <w:szCs w:val="20"/>
        </w:rPr>
        <w:t xml:space="preserve"> domácností v krajích</w:t>
      </w:r>
    </w:p>
    <w:tbl>
      <w:tblPr>
        <w:tblW w:w="9000"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113" w:type="dxa"/>
        </w:tblCellMar>
        <w:tblLook w:val="0000" w:firstRow="0" w:lastRow="0" w:firstColumn="0" w:lastColumn="0" w:noHBand="0" w:noVBand="0"/>
      </w:tblPr>
      <w:tblGrid>
        <w:gridCol w:w="1800"/>
        <w:gridCol w:w="840"/>
        <w:gridCol w:w="840"/>
        <w:gridCol w:w="720"/>
        <w:gridCol w:w="840"/>
        <w:gridCol w:w="840"/>
        <w:gridCol w:w="720"/>
        <w:gridCol w:w="840"/>
        <w:gridCol w:w="840"/>
        <w:gridCol w:w="720"/>
      </w:tblGrid>
      <w:tr w:rsidR="002A4577" w:rsidRPr="00F83D7E" w:rsidTr="00DB41B7">
        <w:trPr>
          <w:cantSplit/>
          <w:trHeight w:val="267"/>
        </w:trPr>
        <w:tc>
          <w:tcPr>
            <w:tcW w:w="1800" w:type="dxa"/>
            <w:vMerge w:val="restart"/>
            <w:tcBorders>
              <w:top w:val="single" w:sz="12" w:space="0" w:color="auto"/>
              <w:right w:val="single" w:sz="12" w:space="0" w:color="auto"/>
            </w:tcBorders>
            <w:shd w:val="clear" w:color="auto" w:fill="D9D9D9"/>
            <w:vAlign w:val="center"/>
          </w:tcPr>
          <w:p w:rsidR="002A4577" w:rsidRPr="00CF3C06" w:rsidRDefault="00DF48FF">
            <w:pPr>
              <w:pStyle w:val="Zkladntext"/>
              <w:jc w:val="center"/>
              <w:rPr>
                <w:rFonts w:ascii="Arial" w:hAnsi="Arial" w:cs="Arial"/>
                <w:b/>
                <w:bCs/>
                <w:sz w:val="16"/>
                <w:szCs w:val="16"/>
              </w:rPr>
            </w:pPr>
            <w:r w:rsidRPr="00DF48FF">
              <w:rPr>
                <w:rFonts w:ascii="Arial" w:hAnsi="Arial" w:cs="Arial"/>
                <w:b/>
                <w:bCs/>
                <w:sz w:val="16"/>
                <w:szCs w:val="16"/>
              </w:rPr>
              <w:t>Kraj</w:t>
            </w:r>
          </w:p>
        </w:tc>
        <w:tc>
          <w:tcPr>
            <w:tcW w:w="2400" w:type="dxa"/>
            <w:gridSpan w:val="3"/>
            <w:tcBorders>
              <w:left w:val="single" w:sz="12" w:space="0" w:color="auto"/>
              <w:right w:val="single" w:sz="12" w:space="0" w:color="auto"/>
            </w:tcBorders>
            <w:shd w:val="clear" w:color="auto" w:fill="D9D9D9"/>
            <w:vAlign w:val="center"/>
          </w:tcPr>
          <w:p w:rsidR="002A4577" w:rsidRPr="00F37D3F" w:rsidRDefault="00DF48FF">
            <w:pPr>
              <w:pStyle w:val="Zkladntext"/>
              <w:jc w:val="center"/>
              <w:rPr>
                <w:rFonts w:ascii="Arial" w:hAnsi="Arial" w:cs="Arial"/>
                <w:b/>
                <w:sz w:val="16"/>
                <w:szCs w:val="16"/>
              </w:rPr>
            </w:pPr>
            <w:r w:rsidRPr="00DF48FF">
              <w:rPr>
                <w:rFonts w:ascii="Arial" w:hAnsi="Arial" w:cs="Arial"/>
                <w:b/>
                <w:sz w:val="16"/>
                <w:szCs w:val="16"/>
              </w:rPr>
              <w:t>Celkem</w:t>
            </w:r>
          </w:p>
        </w:tc>
        <w:tc>
          <w:tcPr>
            <w:tcW w:w="2400" w:type="dxa"/>
            <w:gridSpan w:val="3"/>
            <w:tcBorders>
              <w:top w:val="single" w:sz="12" w:space="0" w:color="auto"/>
              <w:left w:val="single" w:sz="12" w:space="0" w:color="auto"/>
              <w:bottom w:val="single" w:sz="4" w:space="0" w:color="auto"/>
              <w:right w:val="single" w:sz="12" w:space="0" w:color="auto"/>
            </w:tcBorders>
            <w:shd w:val="clear" w:color="auto" w:fill="D9D9D9"/>
            <w:vAlign w:val="center"/>
          </w:tcPr>
          <w:p w:rsidR="002A4577" w:rsidRPr="00F37D3F" w:rsidRDefault="00DF48FF">
            <w:pPr>
              <w:pStyle w:val="Zkladntext"/>
              <w:jc w:val="center"/>
              <w:rPr>
                <w:rFonts w:ascii="Arial" w:hAnsi="Arial" w:cs="Arial"/>
                <w:b/>
                <w:sz w:val="16"/>
                <w:szCs w:val="16"/>
              </w:rPr>
            </w:pPr>
            <w:r w:rsidRPr="00DF48FF">
              <w:rPr>
                <w:rFonts w:ascii="Arial" w:hAnsi="Arial" w:cs="Arial"/>
                <w:b/>
                <w:sz w:val="16"/>
                <w:szCs w:val="16"/>
              </w:rPr>
              <w:t>1. vlna</w:t>
            </w:r>
          </w:p>
        </w:tc>
        <w:tc>
          <w:tcPr>
            <w:tcW w:w="2400" w:type="dxa"/>
            <w:gridSpan w:val="3"/>
            <w:tcBorders>
              <w:top w:val="single" w:sz="12" w:space="0" w:color="auto"/>
              <w:left w:val="single" w:sz="12" w:space="0" w:color="auto"/>
              <w:bottom w:val="single" w:sz="4" w:space="0" w:color="auto"/>
            </w:tcBorders>
            <w:shd w:val="clear" w:color="auto" w:fill="D9D9D9"/>
            <w:vAlign w:val="center"/>
          </w:tcPr>
          <w:p w:rsidR="002A4577" w:rsidRPr="00F37D3F" w:rsidRDefault="00DF48FF">
            <w:pPr>
              <w:pStyle w:val="Zkladntext"/>
              <w:jc w:val="center"/>
              <w:rPr>
                <w:rFonts w:ascii="Arial" w:hAnsi="Arial" w:cs="Arial"/>
                <w:b/>
                <w:sz w:val="16"/>
                <w:szCs w:val="16"/>
              </w:rPr>
            </w:pPr>
            <w:r w:rsidRPr="00DF48FF">
              <w:rPr>
                <w:rFonts w:ascii="Arial" w:hAnsi="Arial" w:cs="Arial"/>
                <w:b/>
                <w:sz w:val="16"/>
                <w:szCs w:val="16"/>
              </w:rPr>
              <w:t>2. až 4. vlna</w:t>
            </w:r>
          </w:p>
        </w:tc>
      </w:tr>
      <w:tr w:rsidR="00DB41B7" w:rsidRPr="00F83D7E" w:rsidTr="00DB41B7">
        <w:trPr>
          <w:cantSplit/>
          <w:trHeight w:val="339"/>
        </w:trPr>
        <w:tc>
          <w:tcPr>
            <w:tcW w:w="1800" w:type="dxa"/>
            <w:vMerge/>
            <w:tcBorders>
              <w:right w:val="single" w:sz="12" w:space="0" w:color="auto"/>
            </w:tcBorders>
            <w:shd w:val="clear" w:color="auto" w:fill="D9D9D9"/>
            <w:vAlign w:val="center"/>
          </w:tcPr>
          <w:p w:rsidR="002A4577" w:rsidRPr="00CF3C06" w:rsidRDefault="002A4577">
            <w:pPr>
              <w:pStyle w:val="Zkladntext"/>
              <w:jc w:val="center"/>
              <w:rPr>
                <w:rFonts w:ascii="Arial" w:hAnsi="Arial" w:cs="Arial"/>
                <w:sz w:val="16"/>
                <w:szCs w:val="16"/>
              </w:rPr>
            </w:pPr>
          </w:p>
        </w:tc>
        <w:tc>
          <w:tcPr>
            <w:tcW w:w="840" w:type="dxa"/>
            <w:vMerge w:val="restart"/>
            <w:tcBorders>
              <w:left w:val="single" w:sz="12" w:space="0" w:color="auto"/>
            </w:tcBorders>
            <w:shd w:val="clear" w:color="auto" w:fill="D9D9D9"/>
            <w:vAlign w:val="center"/>
          </w:tcPr>
          <w:p w:rsidR="002A4577" w:rsidRPr="00F37D3F" w:rsidRDefault="00DF48FF">
            <w:pPr>
              <w:pStyle w:val="Zkladntext"/>
              <w:jc w:val="center"/>
              <w:rPr>
                <w:rFonts w:ascii="Arial" w:hAnsi="Arial" w:cs="Arial"/>
                <w:b/>
                <w:sz w:val="16"/>
                <w:szCs w:val="16"/>
              </w:rPr>
            </w:pPr>
            <w:r w:rsidRPr="00DF48FF">
              <w:rPr>
                <w:rFonts w:ascii="Arial" w:hAnsi="Arial" w:cs="Arial"/>
                <w:b/>
                <w:sz w:val="16"/>
                <w:szCs w:val="16"/>
              </w:rPr>
              <w:t>HD</w:t>
            </w:r>
          </w:p>
          <w:p w:rsidR="002A4577" w:rsidRPr="00F37D3F" w:rsidRDefault="00DF48FF">
            <w:pPr>
              <w:pStyle w:val="Zkladntext"/>
              <w:jc w:val="center"/>
              <w:rPr>
                <w:rFonts w:ascii="Arial" w:hAnsi="Arial" w:cs="Arial"/>
                <w:b/>
                <w:sz w:val="16"/>
                <w:szCs w:val="16"/>
              </w:rPr>
            </w:pPr>
            <w:r w:rsidRPr="00DF48FF">
              <w:rPr>
                <w:rFonts w:ascii="Arial" w:hAnsi="Arial" w:cs="Arial"/>
                <w:b/>
                <w:sz w:val="16"/>
                <w:szCs w:val="16"/>
              </w:rPr>
              <w:t>v šetření</w:t>
            </w:r>
          </w:p>
        </w:tc>
        <w:tc>
          <w:tcPr>
            <w:tcW w:w="1560" w:type="dxa"/>
            <w:gridSpan w:val="2"/>
            <w:tcBorders>
              <w:top w:val="nil"/>
              <w:bottom w:val="single" w:sz="4" w:space="0" w:color="auto"/>
              <w:right w:val="single" w:sz="12" w:space="0" w:color="auto"/>
            </w:tcBorders>
            <w:shd w:val="clear" w:color="auto" w:fill="D9D9D9"/>
            <w:vAlign w:val="bottom"/>
          </w:tcPr>
          <w:p w:rsidR="002A4577" w:rsidRPr="00F37D3F" w:rsidRDefault="00DF48FF">
            <w:pPr>
              <w:pStyle w:val="Zkladntext"/>
              <w:jc w:val="center"/>
              <w:rPr>
                <w:rFonts w:ascii="Arial" w:hAnsi="Arial" w:cs="Arial"/>
                <w:b/>
                <w:sz w:val="16"/>
                <w:szCs w:val="16"/>
              </w:rPr>
            </w:pPr>
            <w:r w:rsidRPr="00DF48FF">
              <w:rPr>
                <w:rFonts w:ascii="Arial" w:hAnsi="Arial" w:cs="Arial"/>
                <w:b/>
                <w:sz w:val="16"/>
                <w:szCs w:val="16"/>
              </w:rPr>
              <w:t>z toho vyšetřeno</w:t>
            </w:r>
          </w:p>
        </w:tc>
        <w:tc>
          <w:tcPr>
            <w:tcW w:w="840" w:type="dxa"/>
            <w:vMerge w:val="restart"/>
            <w:tcBorders>
              <w:top w:val="single" w:sz="4" w:space="0" w:color="auto"/>
              <w:left w:val="single" w:sz="12" w:space="0" w:color="auto"/>
            </w:tcBorders>
            <w:shd w:val="clear" w:color="auto" w:fill="D9D9D9"/>
            <w:vAlign w:val="center"/>
          </w:tcPr>
          <w:p w:rsidR="002A4577" w:rsidRPr="00F37D3F" w:rsidRDefault="00DF48FF">
            <w:pPr>
              <w:pStyle w:val="Zkladntext"/>
              <w:jc w:val="center"/>
              <w:rPr>
                <w:rFonts w:ascii="Arial" w:hAnsi="Arial" w:cs="Arial"/>
                <w:b/>
                <w:sz w:val="16"/>
                <w:szCs w:val="16"/>
              </w:rPr>
            </w:pPr>
            <w:r w:rsidRPr="00DF48FF">
              <w:rPr>
                <w:rFonts w:ascii="Arial" w:hAnsi="Arial" w:cs="Arial"/>
                <w:b/>
                <w:sz w:val="16"/>
                <w:szCs w:val="16"/>
              </w:rPr>
              <w:t>HD</w:t>
            </w:r>
          </w:p>
          <w:p w:rsidR="002A4577" w:rsidRPr="00F37D3F" w:rsidRDefault="00DF48FF">
            <w:pPr>
              <w:pStyle w:val="Zkladntext"/>
              <w:jc w:val="center"/>
              <w:rPr>
                <w:rFonts w:ascii="Arial" w:hAnsi="Arial" w:cs="Arial"/>
                <w:b/>
                <w:sz w:val="16"/>
                <w:szCs w:val="16"/>
              </w:rPr>
            </w:pPr>
            <w:r w:rsidRPr="00DF48FF">
              <w:rPr>
                <w:rFonts w:ascii="Arial" w:hAnsi="Arial" w:cs="Arial"/>
                <w:b/>
                <w:sz w:val="16"/>
                <w:szCs w:val="16"/>
              </w:rPr>
              <w:t>v šetření</w:t>
            </w:r>
          </w:p>
        </w:tc>
        <w:tc>
          <w:tcPr>
            <w:tcW w:w="1560" w:type="dxa"/>
            <w:gridSpan w:val="2"/>
            <w:tcBorders>
              <w:top w:val="single" w:sz="4" w:space="0" w:color="auto"/>
              <w:bottom w:val="single" w:sz="4" w:space="0" w:color="auto"/>
              <w:right w:val="single" w:sz="12" w:space="0" w:color="auto"/>
            </w:tcBorders>
            <w:shd w:val="clear" w:color="auto" w:fill="D9D9D9"/>
            <w:vAlign w:val="bottom"/>
          </w:tcPr>
          <w:p w:rsidR="002A4577" w:rsidRPr="00F37D3F" w:rsidRDefault="00DF48FF">
            <w:pPr>
              <w:pStyle w:val="Zkladntext"/>
              <w:jc w:val="center"/>
              <w:rPr>
                <w:rFonts w:ascii="Arial" w:hAnsi="Arial" w:cs="Arial"/>
                <w:b/>
                <w:sz w:val="16"/>
                <w:szCs w:val="16"/>
              </w:rPr>
            </w:pPr>
            <w:r w:rsidRPr="00DF48FF">
              <w:rPr>
                <w:rFonts w:ascii="Arial" w:hAnsi="Arial" w:cs="Arial"/>
                <w:b/>
                <w:sz w:val="16"/>
                <w:szCs w:val="16"/>
              </w:rPr>
              <w:t>z toho vyšetřeno</w:t>
            </w:r>
          </w:p>
        </w:tc>
        <w:tc>
          <w:tcPr>
            <w:tcW w:w="840" w:type="dxa"/>
            <w:vMerge w:val="restart"/>
            <w:tcBorders>
              <w:top w:val="single" w:sz="4" w:space="0" w:color="auto"/>
              <w:left w:val="single" w:sz="12" w:space="0" w:color="auto"/>
            </w:tcBorders>
            <w:shd w:val="clear" w:color="auto" w:fill="D9D9D9"/>
            <w:vAlign w:val="center"/>
          </w:tcPr>
          <w:p w:rsidR="002A4577" w:rsidRPr="00F37D3F" w:rsidRDefault="00DF48FF">
            <w:pPr>
              <w:pStyle w:val="Zkladntext"/>
              <w:jc w:val="center"/>
              <w:rPr>
                <w:rFonts w:ascii="Arial" w:hAnsi="Arial" w:cs="Arial"/>
                <w:b/>
                <w:sz w:val="16"/>
                <w:szCs w:val="16"/>
              </w:rPr>
            </w:pPr>
            <w:r w:rsidRPr="00DF48FF">
              <w:rPr>
                <w:rFonts w:ascii="Arial" w:hAnsi="Arial" w:cs="Arial"/>
                <w:b/>
                <w:sz w:val="16"/>
                <w:szCs w:val="16"/>
              </w:rPr>
              <w:t>HD</w:t>
            </w:r>
          </w:p>
          <w:p w:rsidR="002A4577" w:rsidRPr="00F37D3F" w:rsidRDefault="00DF48FF">
            <w:pPr>
              <w:pStyle w:val="Zkladntext"/>
              <w:jc w:val="center"/>
              <w:rPr>
                <w:rFonts w:ascii="Arial" w:hAnsi="Arial" w:cs="Arial"/>
                <w:b/>
                <w:sz w:val="16"/>
                <w:szCs w:val="16"/>
              </w:rPr>
            </w:pPr>
            <w:r w:rsidRPr="00DF48FF">
              <w:rPr>
                <w:rFonts w:ascii="Arial" w:hAnsi="Arial" w:cs="Arial"/>
                <w:b/>
                <w:sz w:val="16"/>
                <w:szCs w:val="16"/>
              </w:rPr>
              <w:t>v šetření</w:t>
            </w:r>
          </w:p>
        </w:tc>
        <w:tc>
          <w:tcPr>
            <w:tcW w:w="1560" w:type="dxa"/>
            <w:gridSpan w:val="2"/>
            <w:tcBorders>
              <w:top w:val="single" w:sz="4" w:space="0" w:color="auto"/>
              <w:bottom w:val="single" w:sz="4" w:space="0" w:color="auto"/>
            </w:tcBorders>
            <w:shd w:val="clear" w:color="auto" w:fill="D9D9D9"/>
            <w:vAlign w:val="bottom"/>
          </w:tcPr>
          <w:p w:rsidR="002A4577" w:rsidRPr="00F37D3F" w:rsidRDefault="00DF48FF">
            <w:pPr>
              <w:pStyle w:val="Zkladntext"/>
              <w:jc w:val="center"/>
              <w:rPr>
                <w:rFonts w:ascii="Arial" w:hAnsi="Arial" w:cs="Arial"/>
                <w:b/>
                <w:sz w:val="16"/>
                <w:szCs w:val="16"/>
              </w:rPr>
            </w:pPr>
            <w:r w:rsidRPr="00DF48FF">
              <w:rPr>
                <w:rFonts w:ascii="Arial" w:hAnsi="Arial" w:cs="Arial"/>
                <w:b/>
                <w:sz w:val="16"/>
                <w:szCs w:val="16"/>
              </w:rPr>
              <w:t>z toho vyšetřeno</w:t>
            </w:r>
          </w:p>
        </w:tc>
      </w:tr>
      <w:tr w:rsidR="00DB41B7" w:rsidRPr="00F83D7E" w:rsidTr="00DB41B7">
        <w:trPr>
          <w:cantSplit/>
          <w:trHeight w:val="195"/>
        </w:trPr>
        <w:tc>
          <w:tcPr>
            <w:tcW w:w="1800" w:type="dxa"/>
            <w:vMerge/>
            <w:tcBorders>
              <w:bottom w:val="single" w:sz="12" w:space="0" w:color="auto"/>
              <w:right w:val="single" w:sz="12" w:space="0" w:color="auto"/>
            </w:tcBorders>
            <w:shd w:val="clear" w:color="auto" w:fill="D9D9D9"/>
            <w:vAlign w:val="bottom"/>
          </w:tcPr>
          <w:p w:rsidR="002A4577" w:rsidRPr="00CF3C06" w:rsidRDefault="002A4577">
            <w:pPr>
              <w:pStyle w:val="Zkladntext"/>
              <w:rPr>
                <w:rFonts w:ascii="Arial" w:hAnsi="Arial" w:cs="Arial"/>
                <w:sz w:val="16"/>
                <w:szCs w:val="16"/>
              </w:rPr>
            </w:pPr>
          </w:p>
        </w:tc>
        <w:tc>
          <w:tcPr>
            <w:tcW w:w="840" w:type="dxa"/>
            <w:vMerge/>
            <w:tcBorders>
              <w:left w:val="single" w:sz="12" w:space="0" w:color="auto"/>
              <w:bottom w:val="single" w:sz="12" w:space="0" w:color="auto"/>
            </w:tcBorders>
            <w:shd w:val="clear" w:color="auto" w:fill="D9D9D9"/>
            <w:vAlign w:val="bottom"/>
          </w:tcPr>
          <w:p w:rsidR="002A4577" w:rsidRPr="00F37D3F" w:rsidRDefault="002A4577">
            <w:pPr>
              <w:pStyle w:val="Zkladntext"/>
              <w:jc w:val="center"/>
              <w:rPr>
                <w:rFonts w:ascii="Arial" w:hAnsi="Arial" w:cs="Arial"/>
                <w:b/>
                <w:sz w:val="16"/>
                <w:szCs w:val="16"/>
              </w:rPr>
            </w:pPr>
          </w:p>
        </w:tc>
        <w:tc>
          <w:tcPr>
            <w:tcW w:w="840" w:type="dxa"/>
            <w:tcBorders>
              <w:top w:val="single" w:sz="4" w:space="0" w:color="auto"/>
              <w:bottom w:val="single" w:sz="12" w:space="0" w:color="auto"/>
            </w:tcBorders>
            <w:shd w:val="clear" w:color="auto" w:fill="D9D9D9"/>
            <w:vAlign w:val="bottom"/>
          </w:tcPr>
          <w:p w:rsidR="002A4577" w:rsidRPr="00F37D3F" w:rsidRDefault="00DF48FF">
            <w:pPr>
              <w:pStyle w:val="Zkladntext"/>
              <w:jc w:val="center"/>
              <w:rPr>
                <w:rFonts w:ascii="Arial" w:hAnsi="Arial" w:cs="Arial"/>
                <w:b/>
                <w:sz w:val="16"/>
                <w:szCs w:val="16"/>
              </w:rPr>
            </w:pPr>
            <w:r w:rsidRPr="00DF48FF">
              <w:rPr>
                <w:rFonts w:ascii="Arial" w:hAnsi="Arial" w:cs="Arial"/>
                <w:b/>
                <w:sz w:val="16"/>
                <w:szCs w:val="16"/>
              </w:rPr>
              <w:t>počet</w:t>
            </w:r>
          </w:p>
        </w:tc>
        <w:tc>
          <w:tcPr>
            <w:tcW w:w="720" w:type="dxa"/>
            <w:tcBorders>
              <w:top w:val="single" w:sz="4" w:space="0" w:color="auto"/>
              <w:bottom w:val="single" w:sz="12" w:space="0" w:color="auto"/>
              <w:right w:val="single" w:sz="12" w:space="0" w:color="auto"/>
            </w:tcBorders>
            <w:shd w:val="clear" w:color="auto" w:fill="D9D9D9"/>
            <w:vAlign w:val="bottom"/>
          </w:tcPr>
          <w:p w:rsidR="002A4577" w:rsidRPr="00F37D3F" w:rsidRDefault="00DF48FF">
            <w:pPr>
              <w:pStyle w:val="Zkladntext"/>
              <w:jc w:val="center"/>
              <w:rPr>
                <w:rFonts w:ascii="Arial" w:hAnsi="Arial" w:cs="Arial"/>
                <w:b/>
                <w:sz w:val="16"/>
                <w:szCs w:val="16"/>
              </w:rPr>
            </w:pPr>
            <w:r w:rsidRPr="00DF48FF">
              <w:rPr>
                <w:rFonts w:ascii="Arial" w:hAnsi="Arial" w:cs="Arial"/>
                <w:b/>
                <w:sz w:val="16"/>
                <w:szCs w:val="16"/>
              </w:rPr>
              <w:t>%</w:t>
            </w:r>
          </w:p>
        </w:tc>
        <w:tc>
          <w:tcPr>
            <w:tcW w:w="840" w:type="dxa"/>
            <w:vMerge/>
            <w:tcBorders>
              <w:left w:val="single" w:sz="12" w:space="0" w:color="auto"/>
              <w:bottom w:val="single" w:sz="12" w:space="0" w:color="auto"/>
            </w:tcBorders>
            <w:shd w:val="clear" w:color="auto" w:fill="D9D9D9"/>
            <w:vAlign w:val="center"/>
          </w:tcPr>
          <w:p w:rsidR="002A4577" w:rsidRPr="00F37D3F" w:rsidRDefault="002A4577">
            <w:pPr>
              <w:pStyle w:val="Zkladntext"/>
              <w:jc w:val="center"/>
              <w:rPr>
                <w:rFonts w:ascii="Arial" w:hAnsi="Arial" w:cs="Arial"/>
                <w:b/>
                <w:sz w:val="16"/>
                <w:szCs w:val="16"/>
              </w:rPr>
            </w:pPr>
          </w:p>
        </w:tc>
        <w:tc>
          <w:tcPr>
            <w:tcW w:w="840" w:type="dxa"/>
            <w:tcBorders>
              <w:top w:val="single" w:sz="4" w:space="0" w:color="auto"/>
              <w:bottom w:val="single" w:sz="12" w:space="0" w:color="auto"/>
              <w:right w:val="single" w:sz="4" w:space="0" w:color="auto"/>
            </w:tcBorders>
            <w:shd w:val="clear" w:color="auto" w:fill="D9D9D9"/>
            <w:vAlign w:val="bottom"/>
          </w:tcPr>
          <w:p w:rsidR="002A4577" w:rsidRPr="00F37D3F" w:rsidRDefault="00DF48FF">
            <w:pPr>
              <w:pStyle w:val="Zkladntext"/>
              <w:jc w:val="center"/>
              <w:rPr>
                <w:rFonts w:ascii="Arial" w:hAnsi="Arial" w:cs="Arial"/>
                <w:b/>
                <w:sz w:val="16"/>
                <w:szCs w:val="16"/>
              </w:rPr>
            </w:pPr>
            <w:r w:rsidRPr="00DF48FF">
              <w:rPr>
                <w:rFonts w:ascii="Arial" w:hAnsi="Arial" w:cs="Arial"/>
                <w:b/>
                <w:sz w:val="16"/>
                <w:szCs w:val="16"/>
              </w:rPr>
              <w:t>počet</w:t>
            </w:r>
          </w:p>
        </w:tc>
        <w:tc>
          <w:tcPr>
            <w:tcW w:w="720" w:type="dxa"/>
            <w:tcBorders>
              <w:top w:val="single" w:sz="4" w:space="0" w:color="auto"/>
              <w:left w:val="single" w:sz="4" w:space="0" w:color="auto"/>
              <w:bottom w:val="single" w:sz="12" w:space="0" w:color="auto"/>
              <w:right w:val="single" w:sz="12" w:space="0" w:color="auto"/>
            </w:tcBorders>
            <w:shd w:val="clear" w:color="auto" w:fill="D9D9D9"/>
            <w:vAlign w:val="bottom"/>
          </w:tcPr>
          <w:p w:rsidR="002A4577" w:rsidRPr="00F37D3F" w:rsidRDefault="00DF48FF">
            <w:pPr>
              <w:pStyle w:val="Zkladntext"/>
              <w:jc w:val="center"/>
              <w:rPr>
                <w:rFonts w:ascii="Arial" w:hAnsi="Arial" w:cs="Arial"/>
                <w:b/>
                <w:sz w:val="16"/>
                <w:szCs w:val="16"/>
              </w:rPr>
            </w:pPr>
            <w:r w:rsidRPr="00DF48FF">
              <w:rPr>
                <w:rFonts w:ascii="Arial" w:hAnsi="Arial" w:cs="Arial"/>
                <w:b/>
                <w:sz w:val="16"/>
                <w:szCs w:val="16"/>
              </w:rPr>
              <w:t>%</w:t>
            </w:r>
          </w:p>
        </w:tc>
        <w:tc>
          <w:tcPr>
            <w:tcW w:w="840" w:type="dxa"/>
            <w:vMerge/>
            <w:tcBorders>
              <w:left w:val="single" w:sz="12" w:space="0" w:color="auto"/>
              <w:bottom w:val="single" w:sz="12" w:space="0" w:color="auto"/>
            </w:tcBorders>
            <w:shd w:val="clear" w:color="auto" w:fill="D9D9D9"/>
            <w:vAlign w:val="bottom"/>
          </w:tcPr>
          <w:p w:rsidR="002A4577" w:rsidRPr="00F37D3F" w:rsidRDefault="002A4577">
            <w:pPr>
              <w:pStyle w:val="Zkladntext"/>
              <w:rPr>
                <w:rFonts w:ascii="Arial" w:hAnsi="Arial" w:cs="Arial"/>
                <w:b/>
                <w:sz w:val="16"/>
                <w:szCs w:val="16"/>
              </w:rPr>
            </w:pPr>
          </w:p>
        </w:tc>
        <w:tc>
          <w:tcPr>
            <w:tcW w:w="840" w:type="dxa"/>
            <w:tcBorders>
              <w:top w:val="single" w:sz="4" w:space="0" w:color="auto"/>
              <w:bottom w:val="single" w:sz="12" w:space="0" w:color="auto"/>
            </w:tcBorders>
            <w:shd w:val="clear" w:color="auto" w:fill="D9D9D9"/>
            <w:vAlign w:val="bottom"/>
          </w:tcPr>
          <w:p w:rsidR="002A4577" w:rsidRPr="00F37D3F" w:rsidRDefault="00DF48FF">
            <w:pPr>
              <w:pStyle w:val="Zkladntext"/>
              <w:jc w:val="center"/>
              <w:rPr>
                <w:rFonts w:ascii="Arial" w:hAnsi="Arial" w:cs="Arial"/>
                <w:b/>
                <w:sz w:val="16"/>
                <w:szCs w:val="16"/>
              </w:rPr>
            </w:pPr>
            <w:r w:rsidRPr="00DF48FF">
              <w:rPr>
                <w:rFonts w:ascii="Arial" w:hAnsi="Arial" w:cs="Arial"/>
                <w:b/>
                <w:sz w:val="16"/>
                <w:szCs w:val="16"/>
              </w:rPr>
              <w:t>počet</w:t>
            </w:r>
          </w:p>
        </w:tc>
        <w:tc>
          <w:tcPr>
            <w:tcW w:w="720" w:type="dxa"/>
            <w:tcBorders>
              <w:top w:val="single" w:sz="4" w:space="0" w:color="auto"/>
              <w:bottom w:val="single" w:sz="12" w:space="0" w:color="auto"/>
            </w:tcBorders>
            <w:shd w:val="clear" w:color="auto" w:fill="D9D9D9"/>
            <w:vAlign w:val="bottom"/>
          </w:tcPr>
          <w:p w:rsidR="002A4577" w:rsidRPr="00F37D3F" w:rsidRDefault="00DF48FF">
            <w:pPr>
              <w:pStyle w:val="Zkladntext"/>
              <w:jc w:val="center"/>
              <w:rPr>
                <w:rFonts w:ascii="Arial" w:hAnsi="Arial" w:cs="Arial"/>
                <w:b/>
                <w:sz w:val="16"/>
                <w:szCs w:val="16"/>
              </w:rPr>
            </w:pPr>
            <w:r w:rsidRPr="00DF48FF">
              <w:rPr>
                <w:rFonts w:ascii="Arial" w:hAnsi="Arial" w:cs="Arial"/>
                <w:b/>
                <w:sz w:val="16"/>
                <w:szCs w:val="16"/>
              </w:rPr>
              <w:t>%</w:t>
            </w:r>
          </w:p>
        </w:tc>
      </w:tr>
      <w:tr w:rsidR="002830EE" w:rsidRPr="00F83D7E">
        <w:trPr>
          <w:trHeight w:val="329"/>
        </w:trPr>
        <w:tc>
          <w:tcPr>
            <w:tcW w:w="1800" w:type="dxa"/>
            <w:tcBorders>
              <w:top w:val="single" w:sz="12" w:space="0" w:color="auto"/>
              <w:bottom w:val="single" w:sz="4" w:space="0" w:color="auto"/>
              <w:right w:val="single" w:sz="12" w:space="0" w:color="auto"/>
            </w:tcBorders>
            <w:vAlign w:val="bottom"/>
          </w:tcPr>
          <w:p w:rsidR="002830EE" w:rsidRPr="00CF3C06" w:rsidRDefault="002830EE">
            <w:pPr>
              <w:pStyle w:val="Zkladntext"/>
              <w:rPr>
                <w:rFonts w:ascii="Arial" w:hAnsi="Arial" w:cs="Arial"/>
                <w:sz w:val="16"/>
                <w:szCs w:val="16"/>
              </w:rPr>
            </w:pPr>
            <w:r w:rsidRPr="00DF48FF">
              <w:rPr>
                <w:rFonts w:ascii="Arial" w:hAnsi="Arial" w:cs="Arial"/>
                <w:sz w:val="16"/>
                <w:szCs w:val="16"/>
              </w:rPr>
              <w:t>Hl. m. Praha</w:t>
            </w:r>
          </w:p>
        </w:tc>
        <w:tc>
          <w:tcPr>
            <w:tcW w:w="840" w:type="dxa"/>
            <w:tcBorders>
              <w:top w:val="single" w:sz="12" w:space="0" w:color="auto"/>
              <w:left w:val="single" w:sz="12" w:space="0" w:color="auto"/>
              <w:bottom w:val="single" w:sz="4" w:space="0" w:color="auto"/>
            </w:tcBorders>
            <w:vAlign w:val="bottom"/>
          </w:tcPr>
          <w:p w:rsidR="002830EE" w:rsidRPr="002C3B74" w:rsidRDefault="00800B13" w:rsidP="00707F16">
            <w:pPr>
              <w:tabs>
                <w:tab w:val="center" w:pos="4536"/>
                <w:tab w:val="right" w:pos="9072"/>
              </w:tabs>
              <w:jc w:val="right"/>
              <w:rPr>
                <w:rFonts w:ascii="Arial" w:hAnsi="Arial" w:cs="Arial"/>
                <w:sz w:val="16"/>
                <w:szCs w:val="16"/>
              </w:rPr>
            </w:pPr>
            <w:r>
              <w:rPr>
                <w:rFonts w:ascii="Arial" w:hAnsi="Arial" w:cs="Arial"/>
                <w:color w:val="000000"/>
                <w:sz w:val="16"/>
                <w:szCs w:val="16"/>
              </w:rPr>
              <w:t>1 437</w:t>
            </w:r>
          </w:p>
        </w:tc>
        <w:tc>
          <w:tcPr>
            <w:tcW w:w="840" w:type="dxa"/>
            <w:tcBorders>
              <w:top w:val="single" w:sz="12" w:space="0" w:color="auto"/>
              <w:bottom w:val="single" w:sz="4" w:space="0" w:color="auto"/>
            </w:tcBorders>
            <w:vAlign w:val="bottom"/>
          </w:tcPr>
          <w:p w:rsidR="002830EE" w:rsidRPr="002C3B74" w:rsidRDefault="00800B13" w:rsidP="00655A9C">
            <w:pPr>
              <w:tabs>
                <w:tab w:val="center" w:pos="4536"/>
                <w:tab w:val="right" w:pos="9072"/>
              </w:tabs>
              <w:jc w:val="right"/>
              <w:rPr>
                <w:rFonts w:ascii="Arial" w:hAnsi="Arial" w:cs="Arial"/>
                <w:sz w:val="16"/>
                <w:szCs w:val="16"/>
              </w:rPr>
            </w:pPr>
            <w:r>
              <w:rPr>
                <w:rFonts w:ascii="Arial" w:hAnsi="Arial" w:cs="Arial"/>
                <w:color w:val="000000"/>
                <w:sz w:val="16"/>
                <w:szCs w:val="16"/>
              </w:rPr>
              <w:t>1 003</w:t>
            </w:r>
          </w:p>
        </w:tc>
        <w:tc>
          <w:tcPr>
            <w:tcW w:w="720" w:type="dxa"/>
            <w:tcBorders>
              <w:top w:val="single" w:sz="12" w:space="0" w:color="auto"/>
              <w:bottom w:val="single" w:sz="4" w:space="0" w:color="auto"/>
              <w:right w:val="single" w:sz="12" w:space="0" w:color="auto"/>
            </w:tcBorders>
            <w:vAlign w:val="bottom"/>
          </w:tcPr>
          <w:p w:rsidR="002830EE" w:rsidRPr="002C3B74" w:rsidRDefault="00800B13" w:rsidP="00655A9C">
            <w:pPr>
              <w:tabs>
                <w:tab w:val="center" w:pos="4536"/>
                <w:tab w:val="right" w:pos="9072"/>
              </w:tabs>
              <w:jc w:val="right"/>
              <w:rPr>
                <w:rFonts w:ascii="Arial" w:hAnsi="Arial" w:cs="Arial"/>
                <w:sz w:val="16"/>
                <w:szCs w:val="16"/>
              </w:rPr>
            </w:pPr>
            <w:r>
              <w:rPr>
                <w:rFonts w:ascii="Arial" w:hAnsi="Arial" w:cs="Arial"/>
                <w:color w:val="000000"/>
                <w:sz w:val="16"/>
                <w:szCs w:val="16"/>
              </w:rPr>
              <w:t>69,8</w:t>
            </w:r>
          </w:p>
        </w:tc>
        <w:tc>
          <w:tcPr>
            <w:tcW w:w="840" w:type="dxa"/>
            <w:tcBorders>
              <w:top w:val="single" w:sz="12" w:space="0" w:color="auto"/>
              <w:left w:val="single" w:sz="12" w:space="0" w:color="auto"/>
              <w:bottom w:val="single" w:sz="4" w:space="0" w:color="auto"/>
            </w:tcBorders>
            <w:vAlign w:val="bottom"/>
          </w:tcPr>
          <w:p w:rsidR="002830EE" w:rsidRPr="002C3B74" w:rsidRDefault="00800B13" w:rsidP="00655A9C">
            <w:pPr>
              <w:tabs>
                <w:tab w:val="center" w:pos="4536"/>
                <w:tab w:val="right" w:pos="9072"/>
              </w:tabs>
              <w:jc w:val="right"/>
              <w:rPr>
                <w:rFonts w:ascii="Arial" w:hAnsi="Arial" w:cs="Arial"/>
                <w:sz w:val="16"/>
                <w:szCs w:val="16"/>
              </w:rPr>
            </w:pPr>
            <w:r>
              <w:rPr>
                <w:rFonts w:ascii="Arial" w:hAnsi="Arial" w:cs="Arial"/>
                <w:color w:val="000000"/>
                <w:sz w:val="16"/>
                <w:szCs w:val="16"/>
              </w:rPr>
              <w:t>626</w:t>
            </w:r>
          </w:p>
        </w:tc>
        <w:tc>
          <w:tcPr>
            <w:tcW w:w="840" w:type="dxa"/>
            <w:tcBorders>
              <w:top w:val="single" w:sz="12" w:space="0" w:color="auto"/>
              <w:bottom w:val="single" w:sz="4" w:space="0" w:color="auto"/>
              <w:right w:val="single" w:sz="4" w:space="0" w:color="auto"/>
            </w:tcBorders>
            <w:vAlign w:val="bottom"/>
          </w:tcPr>
          <w:p w:rsidR="002830EE" w:rsidRPr="002C3B74" w:rsidRDefault="00800B13" w:rsidP="00655A9C">
            <w:pPr>
              <w:tabs>
                <w:tab w:val="center" w:pos="4536"/>
                <w:tab w:val="right" w:pos="9072"/>
              </w:tabs>
              <w:jc w:val="right"/>
              <w:rPr>
                <w:rFonts w:ascii="Arial" w:hAnsi="Arial" w:cs="Arial"/>
                <w:sz w:val="16"/>
                <w:szCs w:val="16"/>
              </w:rPr>
            </w:pPr>
            <w:r>
              <w:rPr>
                <w:rFonts w:ascii="Arial" w:hAnsi="Arial" w:cs="Arial"/>
                <w:color w:val="000000"/>
                <w:sz w:val="16"/>
                <w:szCs w:val="16"/>
              </w:rPr>
              <w:t>265</w:t>
            </w:r>
          </w:p>
        </w:tc>
        <w:tc>
          <w:tcPr>
            <w:tcW w:w="720" w:type="dxa"/>
            <w:tcBorders>
              <w:top w:val="single" w:sz="12" w:space="0" w:color="auto"/>
              <w:left w:val="single" w:sz="4" w:space="0" w:color="auto"/>
              <w:bottom w:val="single" w:sz="4" w:space="0" w:color="auto"/>
              <w:right w:val="single" w:sz="12" w:space="0" w:color="auto"/>
            </w:tcBorders>
            <w:vAlign w:val="bottom"/>
          </w:tcPr>
          <w:p w:rsidR="002830EE" w:rsidRPr="002C3B74" w:rsidRDefault="00800B13" w:rsidP="00655A9C">
            <w:pPr>
              <w:pStyle w:val="Zkladntext"/>
              <w:tabs>
                <w:tab w:val="center" w:pos="4536"/>
                <w:tab w:val="right" w:pos="9072"/>
              </w:tabs>
              <w:jc w:val="right"/>
              <w:rPr>
                <w:rFonts w:ascii="Arial" w:hAnsi="Arial" w:cs="Arial"/>
                <w:sz w:val="16"/>
                <w:szCs w:val="16"/>
              </w:rPr>
            </w:pPr>
            <w:r>
              <w:rPr>
                <w:rFonts w:ascii="Arial" w:hAnsi="Arial" w:cs="Arial"/>
                <w:color w:val="000000"/>
                <w:sz w:val="16"/>
                <w:szCs w:val="16"/>
              </w:rPr>
              <w:t>42,3</w:t>
            </w:r>
          </w:p>
        </w:tc>
        <w:tc>
          <w:tcPr>
            <w:tcW w:w="840" w:type="dxa"/>
            <w:tcBorders>
              <w:top w:val="single" w:sz="12" w:space="0" w:color="auto"/>
              <w:left w:val="single" w:sz="12" w:space="0" w:color="auto"/>
              <w:bottom w:val="single" w:sz="4" w:space="0" w:color="auto"/>
            </w:tcBorders>
            <w:vAlign w:val="bottom"/>
          </w:tcPr>
          <w:p w:rsidR="002830EE" w:rsidRPr="002C3B74" w:rsidRDefault="00800B13" w:rsidP="000A5B02">
            <w:pPr>
              <w:tabs>
                <w:tab w:val="center" w:pos="4536"/>
                <w:tab w:val="right" w:pos="9072"/>
              </w:tabs>
              <w:jc w:val="right"/>
              <w:rPr>
                <w:rFonts w:ascii="Arial" w:hAnsi="Arial" w:cs="Arial"/>
                <w:sz w:val="16"/>
                <w:szCs w:val="16"/>
              </w:rPr>
            </w:pPr>
            <w:r>
              <w:rPr>
                <w:rFonts w:ascii="Arial" w:hAnsi="Arial" w:cs="Arial"/>
                <w:color w:val="000000"/>
                <w:sz w:val="16"/>
                <w:szCs w:val="16"/>
              </w:rPr>
              <w:t>811</w:t>
            </w:r>
          </w:p>
        </w:tc>
        <w:tc>
          <w:tcPr>
            <w:tcW w:w="840" w:type="dxa"/>
            <w:tcBorders>
              <w:top w:val="single" w:sz="12" w:space="0" w:color="auto"/>
              <w:bottom w:val="single" w:sz="4" w:space="0" w:color="auto"/>
            </w:tcBorders>
            <w:vAlign w:val="bottom"/>
          </w:tcPr>
          <w:p w:rsidR="002830EE" w:rsidRPr="002C3B74" w:rsidRDefault="00800B13" w:rsidP="000A5B02">
            <w:pPr>
              <w:tabs>
                <w:tab w:val="center" w:pos="4536"/>
                <w:tab w:val="right" w:pos="9072"/>
              </w:tabs>
              <w:jc w:val="right"/>
              <w:rPr>
                <w:rFonts w:ascii="Arial" w:hAnsi="Arial" w:cs="Arial"/>
                <w:sz w:val="16"/>
                <w:szCs w:val="16"/>
              </w:rPr>
            </w:pPr>
            <w:r>
              <w:rPr>
                <w:rFonts w:ascii="Arial" w:hAnsi="Arial" w:cs="Arial"/>
                <w:color w:val="000000"/>
                <w:sz w:val="16"/>
                <w:szCs w:val="16"/>
              </w:rPr>
              <w:t>738</w:t>
            </w:r>
          </w:p>
        </w:tc>
        <w:tc>
          <w:tcPr>
            <w:tcW w:w="720" w:type="dxa"/>
            <w:tcBorders>
              <w:top w:val="single" w:sz="12" w:space="0" w:color="auto"/>
              <w:bottom w:val="single" w:sz="4" w:space="0" w:color="auto"/>
            </w:tcBorders>
            <w:vAlign w:val="bottom"/>
          </w:tcPr>
          <w:p w:rsidR="002830EE" w:rsidRPr="002C3B74" w:rsidRDefault="00800B13" w:rsidP="000A5B02">
            <w:pPr>
              <w:tabs>
                <w:tab w:val="center" w:pos="4536"/>
                <w:tab w:val="right" w:pos="9072"/>
              </w:tabs>
              <w:jc w:val="right"/>
              <w:rPr>
                <w:rFonts w:ascii="Arial" w:hAnsi="Arial" w:cs="Arial"/>
                <w:sz w:val="16"/>
                <w:szCs w:val="16"/>
              </w:rPr>
            </w:pPr>
            <w:r>
              <w:rPr>
                <w:rFonts w:ascii="Arial" w:hAnsi="Arial" w:cs="Arial"/>
                <w:color w:val="000000"/>
                <w:sz w:val="16"/>
                <w:szCs w:val="16"/>
              </w:rPr>
              <w:t>91,0</w:t>
            </w:r>
          </w:p>
        </w:tc>
      </w:tr>
      <w:tr w:rsidR="002830EE" w:rsidRPr="00F83D7E">
        <w:trPr>
          <w:trHeight w:val="329"/>
        </w:trPr>
        <w:tc>
          <w:tcPr>
            <w:tcW w:w="1800" w:type="dxa"/>
            <w:tcBorders>
              <w:top w:val="single" w:sz="4" w:space="0" w:color="auto"/>
              <w:bottom w:val="single" w:sz="4" w:space="0" w:color="auto"/>
              <w:right w:val="single" w:sz="12" w:space="0" w:color="auto"/>
            </w:tcBorders>
            <w:vAlign w:val="bottom"/>
          </w:tcPr>
          <w:p w:rsidR="002830EE" w:rsidRPr="00CF3C06" w:rsidRDefault="002830EE">
            <w:pPr>
              <w:pStyle w:val="Zkladntext"/>
              <w:rPr>
                <w:rFonts w:ascii="Arial" w:hAnsi="Arial" w:cs="Arial"/>
                <w:sz w:val="16"/>
                <w:szCs w:val="16"/>
              </w:rPr>
            </w:pPr>
            <w:r w:rsidRPr="00DF48FF">
              <w:rPr>
                <w:rFonts w:ascii="Arial" w:hAnsi="Arial" w:cs="Arial"/>
                <w:sz w:val="16"/>
                <w:szCs w:val="16"/>
              </w:rPr>
              <w:t>Středočeský</w:t>
            </w:r>
          </w:p>
        </w:tc>
        <w:tc>
          <w:tcPr>
            <w:tcW w:w="840" w:type="dxa"/>
            <w:tcBorders>
              <w:top w:val="single" w:sz="4" w:space="0" w:color="auto"/>
              <w:left w:val="single" w:sz="12" w:space="0" w:color="auto"/>
            </w:tcBorders>
            <w:vAlign w:val="bottom"/>
          </w:tcPr>
          <w:p w:rsidR="002830EE" w:rsidRPr="002C3B74" w:rsidRDefault="00800B13" w:rsidP="00655A9C">
            <w:pPr>
              <w:jc w:val="right"/>
              <w:rPr>
                <w:rFonts w:ascii="Arial" w:hAnsi="Arial" w:cs="Arial"/>
                <w:sz w:val="16"/>
                <w:szCs w:val="16"/>
              </w:rPr>
            </w:pPr>
            <w:r>
              <w:rPr>
                <w:rFonts w:ascii="Arial" w:hAnsi="Arial" w:cs="Arial"/>
                <w:color w:val="000000"/>
                <w:sz w:val="16"/>
                <w:szCs w:val="16"/>
              </w:rPr>
              <w:t>1 201</w:t>
            </w:r>
          </w:p>
        </w:tc>
        <w:tc>
          <w:tcPr>
            <w:tcW w:w="840" w:type="dxa"/>
            <w:tcBorders>
              <w:top w:val="single" w:sz="4" w:space="0" w:color="auto"/>
              <w:bottom w:val="single" w:sz="4" w:space="0" w:color="auto"/>
            </w:tcBorders>
            <w:vAlign w:val="bottom"/>
          </w:tcPr>
          <w:p w:rsidR="002830EE" w:rsidRPr="002C3B74" w:rsidRDefault="00800B13" w:rsidP="00655A9C">
            <w:pPr>
              <w:jc w:val="right"/>
              <w:rPr>
                <w:rFonts w:ascii="Arial" w:hAnsi="Arial" w:cs="Arial"/>
                <w:sz w:val="16"/>
                <w:szCs w:val="16"/>
              </w:rPr>
            </w:pPr>
            <w:r>
              <w:rPr>
                <w:rFonts w:ascii="Arial" w:hAnsi="Arial" w:cs="Arial"/>
                <w:color w:val="000000"/>
                <w:sz w:val="16"/>
                <w:szCs w:val="16"/>
              </w:rPr>
              <w:t>936</w:t>
            </w:r>
          </w:p>
        </w:tc>
        <w:tc>
          <w:tcPr>
            <w:tcW w:w="720" w:type="dxa"/>
            <w:tcBorders>
              <w:top w:val="single" w:sz="4" w:space="0" w:color="auto"/>
              <w:bottom w:val="single" w:sz="4" w:space="0" w:color="auto"/>
              <w:right w:val="single" w:sz="12" w:space="0" w:color="auto"/>
            </w:tcBorders>
            <w:vAlign w:val="bottom"/>
          </w:tcPr>
          <w:p w:rsidR="002830EE" w:rsidRPr="002C3B74" w:rsidRDefault="00800B13" w:rsidP="00655A9C">
            <w:pPr>
              <w:jc w:val="right"/>
              <w:rPr>
                <w:rFonts w:ascii="Arial" w:hAnsi="Arial" w:cs="Arial"/>
                <w:sz w:val="16"/>
                <w:szCs w:val="16"/>
              </w:rPr>
            </w:pPr>
            <w:r>
              <w:rPr>
                <w:rFonts w:ascii="Arial" w:hAnsi="Arial" w:cs="Arial"/>
                <w:color w:val="000000"/>
                <w:sz w:val="16"/>
                <w:szCs w:val="16"/>
              </w:rPr>
              <w:t>77,9</w:t>
            </w:r>
          </w:p>
        </w:tc>
        <w:tc>
          <w:tcPr>
            <w:tcW w:w="840" w:type="dxa"/>
            <w:tcBorders>
              <w:top w:val="single" w:sz="4" w:space="0" w:color="auto"/>
              <w:left w:val="single" w:sz="12" w:space="0" w:color="auto"/>
              <w:bottom w:val="single" w:sz="4" w:space="0" w:color="auto"/>
            </w:tcBorders>
            <w:vAlign w:val="bottom"/>
          </w:tcPr>
          <w:p w:rsidR="002830EE" w:rsidRPr="002C3B74" w:rsidRDefault="00800B13" w:rsidP="00655A9C">
            <w:pPr>
              <w:jc w:val="right"/>
              <w:rPr>
                <w:rFonts w:ascii="Arial" w:hAnsi="Arial" w:cs="Arial"/>
                <w:sz w:val="16"/>
                <w:szCs w:val="16"/>
              </w:rPr>
            </w:pPr>
            <w:r>
              <w:rPr>
                <w:rFonts w:ascii="Arial" w:hAnsi="Arial" w:cs="Arial"/>
                <w:color w:val="000000"/>
                <w:sz w:val="16"/>
                <w:szCs w:val="16"/>
              </w:rPr>
              <w:t>476</w:t>
            </w:r>
          </w:p>
        </w:tc>
        <w:tc>
          <w:tcPr>
            <w:tcW w:w="840" w:type="dxa"/>
            <w:tcBorders>
              <w:top w:val="single" w:sz="4" w:space="0" w:color="auto"/>
              <w:bottom w:val="single" w:sz="4" w:space="0" w:color="auto"/>
              <w:right w:val="single" w:sz="4" w:space="0" w:color="auto"/>
            </w:tcBorders>
            <w:vAlign w:val="bottom"/>
          </w:tcPr>
          <w:p w:rsidR="002830EE" w:rsidRPr="002C3B74" w:rsidRDefault="00800B13" w:rsidP="00655A9C">
            <w:pPr>
              <w:jc w:val="right"/>
              <w:rPr>
                <w:rFonts w:ascii="Arial" w:hAnsi="Arial" w:cs="Arial"/>
                <w:sz w:val="16"/>
                <w:szCs w:val="16"/>
              </w:rPr>
            </w:pPr>
            <w:r>
              <w:rPr>
                <w:rFonts w:ascii="Arial" w:hAnsi="Arial" w:cs="Arial"/>
                <w:color w:val="000000"/>
                <w:sz w:val="16"/>
                <w:szCs w:val="16"/>
              </w:rPr>
              <w:t>240</w:t>
            </w:r>
          </w:p>
        </w:tc>
        <w:tc>
          <w:tcPr>
            <w:tcW w:w="720" w:type="dxa"/>
            <w:tcBorders>
              <w:top w:val="single" w:sz="4" w:space="0" w:color="auto"/>
              <w:left w:val="single" w:sz="4" w:space="0" w:color="auto"/>
              <w:bottom w:val="single" w:sz="4" w:space="0" w:color="auto"/>
              <w:right w:val="single" w:sz="12" w:space="0" w:color="auto"/>
            </w:tcBorders>
            <w:vAlign w:val="bottom"/>
          </w:tcPr>
          <w:p w:rsidR="002830EE" w:rsidRPr="002C3B74" w:rsidRDefault="00800B13" w:rsidP="00655A9C">
            <w:pPr>
              <w:pStyle w:val="Zkladntext"/>
              <w:jc w:val="right"/>
              <w:rPr>
                <w:rFonts w:ascii="Arial" w:hAnsi="Arial" w:cs="Arial"/>
                <w:sz w:val="16"/>
                <w:szCs w:val="16"/>
              </w:rPr>
            </w:pPr>
            <w:r>
              <w:rPr>
                <w:rFonts w:ascii="Arial" w:hAnsi="Arial" w:cs="Arial"/>
                <w:color w:val="000000"/>
                <w:sz w:val="16"/>
                <w:szCs w:val="16"/>
              </w:rPr>
              <w:t>50,4</w:t>
            </w:r>
          </w:p>
        </w:tc>
        <w:tc>
          <w:tcPr>
            <w:tcW w:w="840" w:type="dxa"/>
            <w:tcBorders>
              <w:top w:val="single" w:sz="4" w:space="0" w:color="auto"/>
              <w:left w:val="single" w:sz="12" w:space="0" w:color="auto"/>
              <w:bottom w:val="single" w:sz="4" w:space="0" w:color="auto"/>
            </w:tcBorders>
            <w:vAlign w:val="bottom"/>
          </w:tcPr>
          <w:p w:rsidR="002830EE" w:rsidRPr="002C3B74" w:rsidRDefault="00800B13" w:rsidP="000A5B02">
            <w:pPr>
              <w:jc w:val="right"/>
              <w:rPr>
                <w:rFonts w:ascii="Arial" w:hAnsi="Arial" w:cs="Arial"/>
                <w:sz w:val="16"/>
                <w:szCs w:val="16"/>
              </w:rPr>
            </w:pPr>
            <w:r>
              <w:rPr>
                <w:rFonts w:ascii="Arial" w:hAnsi="Arial" w:cs="Arial"/>
                <w:color w:val="000000"/>
                <w:sz w:val="16"/>
                <w:szCs w:val="16"/>
              </w:rPr>
              <w:t>725</w:t>
            </w:r>
          </w:p>
        </w:tc>
        <w:tc>
          <w:tcPr>
            <w:tcW w:w="840" w:type="dxa"/>
            <w:tcBorders>
              <w:top w:val="single" w:sz="4" w:space="0" w:color="auto"/>
              <w:bottom w:val="single" w:sz="4" w:space="0" w:color="auto"/>
            </w:tcBorders>
            <w:vAlign w:val="bottom"/>
          </w:tcPr>
          <w:p w:rsidR="002830EE" w:rsidRPr="002C3B74" w:rsidRDefault="00800B13" w:rsidP="000A5B02">
            <w:pPr>
              <w:jc w:val="right"/>
              <w:rPr>
                <w:rFonts w:ascii="Arial" w:hAnsi="Arial" w:cs="Arial"/>
                <w:sz w:val="16"/>
                <w:szCs w:val="16"/>
              </w:rPr>
            </w:pPr>
            <w:r>
              <w:rPr>
                <w:rFonts w:ascii="Arial" w:hAnsi="Arial" w:cs="Arial"/>
                <w:color w:val="000000"/>
                <w:sz w:val="16"/>
                <w:szCs w:val="16"/>
              </w:rPr>
              <w:t>696</w:t>
            </w:r>
          </w:p>
        </w:tc>
        <w:tc>
          <w:tcPr>
            <w:tcW w:w="720" w:type="dxa"/>
            <w:tcBorders>
              <w:top w:val="single" w:sz="4" w:space="0" w:color="auto"/>
              <w:bottom w:val="single" w:sz="4" w:space="0" w:color="auto"/>
            </w:tcBorders>
            <w:vAlign w:val="bottom"/>
          </w:tcPr>
          <w:p w:rsidR="002830EE" w:rsidRPr="002C3B74" w:rsidRDefault="00800B13" w:rsidP="000A5B02">
            <w:pPr>
              <w:jc w:val="right"/>
              <w:rPr>
                <w:rFonts w:ascii="Arial" w:hAnsi="Arial" w:cs="Arial"/>
                <w:sz w:val="16"/>
                <w:szCs w:val="16"/>
              </w:rPr>
            </w:pPr>
            <w:r>
              <w:rPr>
                <w:rFonts w:ascii="Arial" w:hAnsi="Arial" w:cs="Arial"/>
                <w:color w:val="000000"/>
                <w:sz w:val="16"/>
                <w:szCs w:val="16"/>
              </w:rPr>
              <w:t>96,0</w:t>
            </w:r>
          </w:p>
        </w:tc>
      </w:tr>
      <w:tr w:rsidR="002830EE" w:rsidRPr="00F83D7E">
        <w:trPr>
          <w:trHeight w:val="329"/>
        </w:trPr>
        <w:tc>
          <w:tcPr>
            <w:tcW w:w="1800" w:type="dxa"/>
            <w:tcBorders>
              <w:top w:val="single" w:sz="4" w:space="0" w:color="auto"/>
              <w:bottom w:val="single" w:sz="4" w:space="0" w:color="auto"/>
              <w:right w:val="single" w:sz="12" w:space="0" w:color="auto"/>
            </w:tcBorders>
            <w:vAlign w:val="bottom"/>
          </w:tcPr>
          <w:p w:rsidR="002830EE" w:rsidRPr="00CF3C06" w:rsidRDefault="002830EE">
            <w:pPr>
              <w:pStyle w:val="Zkladntext"/>
              <w:rPr>
                <w:rFonts w:ascii="Arial" w:hAnsi="Arial" w:cs="Arial"/>
                <w:sz w:val="16"/>
                <w:szCs w:val="16"/>
              </w:rPr>
            </w:pPr>
            <w:r w:rsidRPr="00DF48FF">
              <w:rPr>
                <w:rFonts w:ascii="Arial" w:hAnsi="Arial" w:cs="Arial"/>
                <w:sz w:val="16"/>
                <w:szCs w:val="16"/>
              </w:rPr>
              <w:t>Jihočeský</w:t>
            </w:r>
          </w:p>
        </w:tc>
        <w:tc>
          <w:tcPr>
            <w:tcW w:w="840" w:type="dxa"/>
            <w:tcBorders>
              <w:left w:val="single" w:sz="12" w:space="0" w:color="auto"/>
            </w:tcBorders>
            <w:vAlign w:val="bottom"/>
          </w:tcPr>
          <w:p w:rsidR="002830EE" w:rsidRPr="002C3B74" w:rsidRDefault="00800B13" w:rsidP="00655A9C">
            <w:pPr>
              <w:jc w:val="right"/>
              <w:rPr>
                <w:rFonts w:ascii="Arial" w:hAnsi="Arial" w:cs="Arial"/>
                <w:sz w:val="16"/>
                <w:szCs w:val="16"/>
              </w:rPr>
            </w:pPr>
            <w:r>
              <w:rPr>
                <w:rFonts w:ascii="Arial" w:hAnsi="Arial" w:cs="Arial"/>
                <w:color w:val="000000"/>
                <w:sz w:val="16"/>
                <w:szCs w:val="16"/>
              </w:rPr>
              <w:t>704</w:t>
            </w:r>
          </w:p>
        </w:tc>
        <w:tc>
          <w:tcPr>
            <w:tcW w:w="840" w:type="dxa"/>
            <w:tcBorders>
              <w:top w:val="single" w:sz="4" w:space="0" w:color="auto"/>
              <w:bottom w:val="single" w:sz="4" w:space="0" w:color="auto"/>
            </w:tcBorders>
            <w:vAlign w:val="bottom"/>
          </w:tcPr>
          <w:p w:rsidR="002830EE" w:rsidRPr="002C3B74" w:rsidRDefault="00800B13" w:rsidP="00655A9C">
            <w:pPr>
              <w:jc w:val="right"/>
              <w:rPr>
                <w:rFonts w:ascii="Arial" w:hAnsi="Arial" w:cs="Arial"/>
                <w:sz w:val="16"/>
                <w:szCs w:val="16"/>
              </w:rPr>
            </w:pPr>
            <w:r>
              <w:rPr>
                <w:rFonts w:ascii="Arial" w:hAnsi="Arial" w:cs="Arial"/>
                <w:color w:val="000000"/>
                <w:sz w:val="16"/>
                <w:szCs w:val="16"/>
              </w:rPr>
              <w:t>578</w:t>
            </w:r>
          </w:p>
        </w:tc>
        <w:tc>
          <w:tcPr>
            <w:tcW w:w="720" w:type="dxa"/>
            <w:tcBorders>
              <w:top w:val="single" w:sz="4" w:space="0" w:color="auto"/>
              <w:bottom w:val="single" w:sz="4" w:space="0" w:color="auto"/>
              <w:right w:val="single" w:sz="12" w:space="0" w:color="auto"/>
            </w:tcBorders>
            <w:vAlign w:val="bottom"/>
          </w:tcPr>
          <w:p w:rsidR="002830EE" w:rsidRPr="002C3B74" w:rsidRDefault="00800B13" w:rsidP="00655A9C">
            <w:pPr>
              <w:jc w:val="right"/>
              <w:rPr>
                <w:rFonts w:ascii="Arial" w:hAnsi="Arial" w:cs="Arial"/>
                <w:sz w:val="16"/>
                <w:szCs w:val="16"/>
              </w:rPr>
            </w:pPr>
            <w:r>
              <w:rPr>
                <w:rFonts w:ascii="Arial" w:hAnsi="Arial" w:cs="Arial"/>
                <w:color w:val="000000"/>
                <w:sz w:val="16"/>
                <w:szCs w:val="16"/>
              </w:rPr>
              <w:t>82,1</w:t>
            </w:r>
          </w:p>
        </w:tc>
        <w:tc>
          <w:tcPr>
            <w:tcW w:w="840" w:type="dxa"/>
            <w:tcBorders>
              <w:top w:val="single" w:sz="4" w:space="0" w:color="auto"/>
              <w:left w:val="single" w:sz="12" w:space="0" w:color="auto"/>
              <w:bottom w:val="single" w:sz="4" w:space="0" w:color="auto"/>
            </w:tcBorders>
            <w:vAlign w:val="bottom"/>
          </w:tcPr>
          <w:p w:rsidR="002830EE" w:rsidRPr="002C3B74" w:rsidRDefault="00800B13" w:rsidP="00655A9C">
            <w:pPr>
              <w:jc w:val="right"/>
              <w:rPr>
                <w:rFonts w:ascii="Arial" w:hAnsi="Arial" w:cs="Arial"/>
                <w:sz w:val="16"/>
                <w:szCs w:val="16"/>
              </w:rPr>
            </w:pPr>
            <w:r>
              <w:rPr>
                <w:rFonts w:ascii="Arial" w:hAnsi="Arial" w:cs="Arial"/>
                <w:color w:val="000000"/>
                <w:sz w:val="16"/>
                <w:szCs w:val="16"/>
              </w:rPr>
              <w:t>248</w:t>
            </w:r>
          </w:p>
        </w:tc>
        <w:tc>
          <w:tcPr>
            <w:tcW w:w="840" w:type="dxa"/>
            <w:tcBorders>
              <w:top w:val="single" w:sz="4" w:space="0" w:color="auto"/>
              <w:bottom w:val="single" w:sz="4" w:space="0" w:color="auto"/>
              <w:right w:val="single" w:sz="4" w:space="0" w:color="auto"/>
            </w:tcBorders>
            <w:vAlign w:val="bottom"/>
          </w:tcPr>
          <w:p w:rsidR="002830EE" w:rsidRPr="002C3B74" w:rsidRDefault="00800B13" w:rsidP="00655A9C">
            <w:pPr>
              <w:jc w:val="right"/>
              <w:rPr>
                <w:rFonts w:ascii="Arial" w:hAnsi="Arial" w:cs="Arial"/>
                <w:sz w:val="16"/>
                <w:szCs w:val="16"/>
              </w:rPr>
            </w:pPr>
            <w:r>
              <w:rPr>
                <w:rFonts w:ascii="Arial" w:hAnsi="Arial" w:cs="Arial"/>
                <w:color w:val="000000"/>
                <w:sz w:val="16"/>
                <w:szCs w:val="16"/>
              </w:rPr>
              <w:t>141</w:t>
            </w:r>
          </w:p>
        </w:tc>
        <w:tc>
          <w:tcPr>
            <w:tcW w:w="720" w:type="dxa"/>
            <w:tcBorders>
              <w:top w:val="single" w:sz="4" w:space="0" w:color="auto"/>
              <w:left w:val="single" w:sz="4" w:space="0" w:color="auto"/>
              <w:bottom w:val="single" w:sz="4" w:space="0" w:color="auto"/>
              <w:right w:val="single" w:sz="12" w:space="0" w:color="auto"/>
            </w:tcBorders>
            <w:vAlign w:val="bottom"/>
          </w:tcPr>
          <w:p w:rsidR="002830EE" w:rsidRPr="002C3B74" w:rsidRDefault="00800B13">
            <w:pPr>
              <w:pStyle w:val="Zkladntext"/>
              <w:jc w:val="right"/>
              <w:rPr>
                <w:rFonts w:ascii="Arial" w:hAnsi="Arial" w:cs="Arial"/>
                <w:sz w:val="16"/>
                <w:szCs w:val="16"/>
              </w:rPr>
            </w:pPr>
            <w:r>
              <w:rPr>
                <w:rFonts w:ascii="Arial" w:hAnsi="Arial" w:cs="Arial"/>
                <w:color w:val="000000"/>
                <w:sz w:val="16"/>
                <w:szCs w:val="16"/>
              </w:rPr>
              <w:t>56,9</w:t>
            </w:r>
          </w:p>
        </w:tc>
        <w:tc>
          <w:tcPr>
            <w:tcW w:w="840" w:type="dxa"/>
            <w:tcBorders>
              <w:top w:val="single" w:sz="4" w:space="0" w:color="auto"/>
              <w:left w:val="single" w:sz="12" w:space="0" w:color="auto"/>
              <w:bottom w:val="single" w:sz="4" w:space="0" w:color="auto"/>
            </w:tcBorders>
            <w:vAlign w:val="bottom"/>
          </w:tcPr>
          <w:p w:rsidR="002830EE" w:rsidRPr="002C3B74" w:rsidRDefault="00800B13" w:rsidP="000A5B02">
            <w:pPr>
              <w:jc w:val="right"/>
              <w:rPr>
                <w:rFonts w:ascii="Arial" w:hAnsi="Arial" w:cs="Arial"/>
                <w:sz w:val="16"/>
                <w:szCs w:val="16"/>
              </w:rPr>
            </w:pPr>
            <w:r>
              <w:rPr>
                <w:rFonts w:ascii="Arial" w:hAnsi="Arial" w:cs="Arial"/>
                <w:color w:val="000000"/>
                <w:sz w:val="16"/>
                <w:szCs w:val="16"/>
              </w:rPr>
              <w:t>456</w:t>
            </w:r>
          </w:p>
        </w:tc>
        <w:tc>
          <w:tcPr>
            <w:tcW w:w="840" w:type="dxa"/>
            <w:tcBorders>
              <w:top w:val="single" w:sz="4" w:space="0" w:color="auto"/>
              <w:bottom w:val="single" w:sz="4" w:space="0" w:color="auto"/>
            </w:tcBorders>
            <w:vAlign w:val="bottom"/>
          </w:tcPr>
          <w:p w:rsidR="002830EE" w:rsidRPr="002C3B74" w:rsidRDefault="00800B13" w:rsidP="000A5B02">
            <w:pPr>
              <w:jc w:val="right"/>
              <w:rPr>
                <w:rFonts w:ascii="Arial" w:hAnsi="Arial" w:cs="Arial"/>
                <w:sz w:val="16"/>
                <w:szCs w:val="16"/>
              </w:rPr>
            </w:pPr>
            <w:r>
              <w:rPr>
                <w:rFonts w:ascii="Arial" w:hAnsi="Arial" w:cs="Arial"/>
                <w:color w:val="000000"/>
                <w:sz w:val="16"/>
                <w:szCs w:val="16"/>
              </w:rPr>
              <w:t>437</w:t>
            </w:r>
          </w:p>
        </w:tc>
        <w:tc>
          <w:tcPr>
            <w:tcW w:w="720" w:type="dxa"/>
            <w:tcBorders>
              <w:top w:val="single" w:sz="4" w:space="0" w:color="auto"/>
              <w:bottom w:val="single" w:sz="4" w:space="0" w:color="auto"/>
            </w:tcBorders>
            <w:vAlign w:val="bottom"/>
          </w:tcPr>
          <w:p w:rsidR="002830EE" w:rsidRPr="002C3B74" w:rsidRDefault="00800B13" w:rsidP="000A5B02">
            <w:pPr>
              <w:jc w:val="right"/>
              <w:rPr>
                <w:rFonts w:ascii="Arial" w:hAnsi="Arial" w:cs="Arial"/>
                <w:sz w:val="16"/>
                <w:szCs w:val="16"/>
              </w:rPr>
            </w:pPr>
            <w:r>
              <w:rPr>
                <w:rFonts w:ascii="Arial" w:hAnsi="Arial" w:cs="Arial"/>
                <w:color w:val="000000"/>
                <w:sz w:val="16"/>
                <w:szCs w:val="16"/>
              </w:rPr>
              <w:t>95,8</w:t>
            </w:r>
          </w:p>
        </w:tc>
      </w:tr>
      <w:tr w:rsidR="002830EE" w:rsidRPr="00F83D7E">
        <w:trPr>
          <w:trHeight w:val="329"/>
        </w:trPr>
        <w:tc>
          <w:tcPr>
            <w:tcW w:w="1800" w:type="dxa"/>
            <w:tcBorders>
              <w:top w:val="single" w:sz="4" w:space="0" w:color="auto"/>
              <w:bottom w:val="single" w:sz="4" w:space="0" w:color="auto"/>
              <w:right w:val="single" w:sz="12" w:space="0" w:color="auto"/>
            </w:tcBorders>
            <w:vAlign w:val="bottom"/>
          </w:tcPr>
          <w:p w:rsidR="002830EE" w:rsidRPr="00CF3C06" w:rsidRDefault="002830EE">
            <w:pPr>
              <w:pStyle w:val="Zkladntext"/>
              <w:rPr>
                <w:rFonts w:ascii="Arial" w:hAnsi="Arial" w:cs="Arial"/>
                <w:sz w:val="16"/>
                <w:szCs w:val="16"/>
              </w:rPr>
            </w:pPr>
            <w:r w:rsidRPr="00DF48FF">
              <w:rPr>
                <w:rFonts w:ascii="Arial" w:hAnsi="Arial" w:cs="Arial"/>
                <w:sz w:val="16"/>
                <w:szCs w:val="16"/>
              </w:rPr>
              <w:t>Plzeňský</w:t>
            </w:r>
          </w:p>
        </w:tc>
        <w:tc>
          <w:tcPr>
            <w:tcW w:w="840" w:type="dxa"/>
            <w:tcBorders>
              <w:left w:val="single" w:sz="12" w:space="0" w:color="auto"/>
            </w:tcBorders>
            <w:vAlign w:val="bottom"/>
          </w:tcPr>
          <w:p w:rsidR="002830EE" w:rsidRPr="002C3B74" w:rsidRDefault="00800B13" w:rsidP="00655A9C">
            <w:pPr>
              <w:jc w:val="right"/>
              <w:rPr>
                <w:rFonts w:ascii="Arial" w:hAnsi="Arial" w:cs="Arial"/>
                <w:sz w:val="16"/>
                <w:szCs w:val="16"/>
              </w:rPr>
            </w:pPr>
            <w:r>
              <w:rPr>
                <w:rFonts w:ascii="Arial" w:hAnsi="Arial" w:cs="Arial"/>
                <w:color w:val="000000"/>
                <w:sz w:val="16"/>
                <w:szCs w:val="16"/>
              </w:rPr>
              <w:t>633</w:t>
            </w:r>
          </w:p>
        </w:tc>
        <w:tc>
          <w:tcPr>
            <w:tcW w:w="840" w:type="dxa"/>
            <w:tcBorders>
              <w:top w:val="single" w:sz="4" w:space="0" w:color="auto"/>
              <w:bottom w:val="single" w:sz="4" w:space="0" w:color="auto"/>
            </w:tcBorders>
            <w:vAlign w:val="bottom"/>
          </w:tcPr>
          <w:p w:rsidR="002830EE" w:rsidRPr="002C3B74" w:rsidRDefault="00800B13" w:rsidP="00655A9C">
            <w:pPr>
              <w:jc w:val="right"/>
              <w:rPr>
                <w:rFonts w:ascii="Arial" w:hAnsi="Arial" w:cs="Arial"/>
                <w:sz w:val="16"/>
                <w:szCs w:val="16"/>
              </w:rPr>
            </w:pPr>
            <w:r>
              <w:rPr>
                <w:rFonts w:ascii="Arial" w:hAnsi="Arial" w:cs="Arial"/>
                <w:color w:val="000000"/>
                <w:sz w:val="16"/>
                <w:szCs w:val="16"/>
              </w:rPr>
              <w:t>526</w:t>
            </w:r>
          </w:p>
        </w:tc>
        <w:tc>
          <w:tcPr>
            <w:tcW w:w="720" w:type="dxa"/>
            <w:tcBorders>
              <w:top w:val="single" w:sz="4" w:space="0" w:color="auto"/>
              <w:bottom w:val="single" w:sz="4" w:space="0" w:color="auto"/>
              <w:right w:val="single" w:sz="12" w:space="0" w:color="auto"/>
            </w:tcBorders>
            <w:vAlign w:val="bottom"/>
          </w:tcPr>
          <w:p w:rsidR="002830EE" w:rsidRPr="002C3B74" w:rsidRDefault="00800B13" w:rsidP="00655A9C">
            <w:pPr>
              <w:jc w:val="right"/>
              <w:rPr>
                <w:rFonts w:ascii="Arial" w:hAnsi="Arial" w:cs="Arial"/>
                <w:sz w:val="16"/>
                <w:szCs w:val="16"/>
              </w:rPr>
            </w:pPr>
            <w:r>
              <w:rPr>
                <w:rFonts w:ascii="Arial" w:hAnsi="Arial" w:cs="Arial"/>
                <w:color w:val="000000"/>
                <w:sz w:val="16"/>
                <w:szCs w:val="16"/>
              </w:rPr>
              <w:t>83,1</w:t>
            </w:r>
          </w:p>
        </w:tc>
        <w:tc>
          <w:tcPr>
            <w:tcW w:w="840" w:type="dxa"/>
            <w:tcBorders>
              <w:top w:val="single" w:sz="4" w:space="0" w:color="auto"/>
              <w:left w:val="single" w:sz="12" w:space="0" w:color="auto"/>
              <w:bottom w:val="single" w:sz="4" w:space="0" w:color="auto"/>
            </w:tcBorders>
            <w:vAlign w:val="bottom"/>
          </w:tcPr>
          <w:p w:rsidR="002830EE" w:rsidRPr="002C3B74" w:rsidRDefault="00800B13" w:rsidP="00655A9C">
            <w:pPr>
              <w:jc w:val="right"/>
              <w:rPr>
                <w:rFonts w:ascii="Arial" w:hAnsi="Arial" w:cs="Arial"/>
                <w:sz w:val="16"/>
                <w:szCs w:val="16"/>
              </w:rPr>
            </w:pPr>
            <w:r>
              <w:rPr>
                <w:rFonts w:ascii="Arial" w:hAnsi="Arial" w:cs="Arial"/>
                <w:color w:val="000000"/>
                <w:sz w:val="16"/>
                <w:szCs w:val="16"/>
              </w:rPr>
              <w:t>226</w:t>
            </w:r>
          </w:p>
        </w:tc>
        <w:tc>
          <w:tcPr>
            <w:tcW w:w="840" w:type="dxa"/>
            <w:tcBorders>
              <w:top w:val="single" w:sz="4" w:space="0" w:color="auto"/>
              <w:bottom w:val="single" w:sz="4" w:space="0" w:color="auto"/>
              <w:right w:val="single" w:sz="4" w:space="0" w:color="auto"/>
            </w:tcBorders>
            <w:vAlign w:val="bottom"/>
          </w:tcPr>
          <w:p w:rsidR="002830EE" w:rsidRPr="002C3B74" w:rsidRDefault="00800B13" w:rsidP="00655A9C">
            <w:pPr>
              <w:jc w:val="right"/>
              <w:rPr>
                <w:rFonts w:ascii="Arial" w:hAnsi="Arial" w:cs="Arial"/>
                <w:sz w:val="16"/>
                <w:szCs w:val="16"/>
              </w:rPr>
            </w:pPr>
            <w:r>
              <w:rPr>
                <w:rFonts w:ascii="Arial" w:hAnsi="Arial" w:cs="Arial"/>
                <w:color w:val="000000"/>
                <w:sz w:val="16"/>
                <w:szCs w:val="16"/>
              </w:rPr>
              <w:t>130</w:t>
            </w:r>
          </w:p>
        </w:tc>
        <w:tc>
          <w:tcPr>
            <w:tcW w:w="720" w:type="dxa"/>
            <w:tcBorders>
              <w:top w:val="single" w:sz="4" w:space="0" w:color="auto"/>
              <w:left w:val="single" w:sz="4" w:space="0" w:color="auto"/>
              <w:bottom w:val="single" w:sz="4" w:space="0" w:color="auto"/>
              <w:right w:val="single" w:sz="12" w:space="0" w:color="auto"/>
            </w:tcBorders>
            <w:vAlign w:val="bottom"/>
          </w:tcPr>
          <w:p w:rsidR="002830EE" w:rsidRPr="002C3B74" w:rsidRDefault="00800B13" w:rsidP="00655A9C">
            <w:pPr>
              <w:pStyle w:val="Zkladntext"/>
              <w:jc w:val="right"/>
              <w:rPr>
                <w:rFonts w:ascii="Arial" w:hAnsi="Arial" w:cs="Arial"/>
                <w:sz w:val="16"/>
                <w:szCs w:val="16"/>
              </w:rPr>
            </w:pPr>
            <w:r>
              <w:rPr>
                <w:rFonts w:ascii="Arial" w:hAnsi="Arial" w:cs="Arial"/>
                <w:color w:val="000000"/>
                <w:sz w:val="16"/>
                <w:szCs w:val="16"/>
              </w:rPr>
              <w:t>57,5</w:t>
            </w:r>
          </w:p>
        </w:tc>
        <w:tc>
          <w:tcPr>
            <w:tcW w:w="840" w:type="dxa"/>
            <w:tcBorders>
              <w:top w:val="single" w:sz="4" w:space="0" w:color="auto"/>
              <w:left w:val="single" w:sz="12" w:space="0" w:color="auto"/>
              <w:bottom w:val="single" w:sz="4" w:space="0" w:color="auto"/>
            </w:tcBorders>
            <w:vAlign w:val="bottom"/>
          </w:tcPr>
          <w:p w:rsidR="002830EE" w:rsidRPr="002C3B74" w:rsidRDefault="00800B13" w:rsidP="000A5B02">
            <w:pPr>
              <w:jc w:val="right"/>
              <w:rPr>
                <w:rFonts w:ascii="Arial" w:hAnsi="Arial" w:cs="Arial"/>
                <w:sz w:val="16"/>
                <w:szCs w:val="16"/>
              </w:rPr>
            </w:pPr>
            <w:r>
              <w:rPr>
                <w:rFonts w:ascii="Arial" w:hAnsi="Arial" w:cs="Arial"/>
                <w:color w:val="000000"/>
                <w:sz w:val="16"/>
                <w:szCs w:val="16"/>
              </w:rPr>
              <w:t>407</w:t>
            </w:r>
          </w:p>
        </w:tc>
        <w:tc>
          <w:tcPr>
            <w:tcW w:w="840" w:type="dxa"/>
            <w:tcBorders>
              <w:top w:val="single" w:sz="4" w:space="0" w:color="auto"/>
              <w:bottom w:val="single" w:sz="4" w:space="0" w:color="auto"/>
            </w:tcBorders>
            <w:vAlign w:val="bottom"/>
          </w:tcPr>
          <w:p w:rsidR="002830EE" w:rsidRPr="002C3B74" w:rsidRDefault="00800B13" w:rsidP="000A5B02">
            <w:pPr>
              <w:jc w:val="right"/>
              <w:rPr>
                <w:rFonts w:ascii="Arial" w:hAnsi="Arial" w:cs="Arial"/>
                <w:sz w:val="16"/>
                <w:szCs w:val="16"/>
              </w:rPr>
            </w:pPr>
            <w:r>
              <w:rPr>
                <w:rFonts w:ascii="Arial" w:hAnsi="Arial" w:cs="Arial"/>
                <w:color w:val="000000"/>
                <w:sz w:val="16"/>
                <w:szCs w:val="16"/>
              </w:rPr>
              <w:t>396</w:t>
            </w:r>
          </w:p>
        </w:tc>
        <w:tc>
          <w:tcPr>
            <w:tcW w:w="720" w:type="dxa"/>
            <w:tcBorders>
              <w:top w:val="single" w:sz="4" w:space="0" w:color="auto"/>
              <w:bottom w:val="single" w:sz="4" w:space="0" w:color="auto"/>
            </w:tcBorders>
            <w:vAlign w:val="bottom"/>
          </w:tcPr>
          <w:p w:rsidR="002830EE" w:rsidRPr="002C3B74" w:rsidRDefault="00800B13" w:rsidP="000A5B02">
            <w:pPr>
              <w:jc w:val="right"/>
              <w:rPr>
                <w:rFonts w:ascii="Arial" w:hAnsi="Arial" w:cs="Arial"/>
                <w:sz w:val="16"/>
                <w:szCs w:val="16"/>
              </w:rPr>
            </w:pPr>
            <w:r>
              <w:rPr>
                <w:rFonts w:ascii="Arial" w:hAnsi="Arial" w:cs="Arial"/>
                <w:color w:val="000000"/>
                <w:sz w:val="16"/>
                <w:szCs w:val="16"/>
              </w:rPr>
              <w:t>97,3</w:t>
            </w:r>
          </w:p>
        </w:tc>
      </w:tr>
      <w:tr w:rsidR="002830EE" w:rsidRPr="00F83D7E">
        <w:trPr>
          <w:trHeight w:val="329"/>
        </w:trPr>
        <w:tc>
          <w:tcPr>
            <w:tcW w:w="1800" w:type="dxa"/>
            <w:tcBorders>
              <w:top w:val="single" w:sz="4" w:space="0" w:color="auto"/>
              <w:bottom w:val="single" w:sz="4" w:space="0" w:color="auto"/>
              <w:right w:val="single" w:sz="12" w:space="0" w:color="auto"/>
            </w:tcBorders>
            <w:vAlign w:val="bottom"/>
          </w:tcPr>
          <w:p w:rsidR="002830EE" w:rsidRPr="00CF3C06" w:rsidRDefault="002830EE">
            <w:pPr>
              <w:pStyle w:val="Zkladntext"/>
              <w:rPr>
                <w:rFonts w:ascii="Arial" w:hAnsi="Arial" w:cs="Arial"/>
                <w:sz w:val="16"/>
                <w:szCs w:val="16"/>
              </w:rPr>
            </w:pPr>
            <w:r w:rsidRPr="00DF48FF">
              <w:rPr>
                <w:rFonts w:ascii="Arial" w:hAnsi="Arial" w:cs="Arial"/>
                <w:sz w:val="16"/>
                <w:szCs w:val="16"/>
              </w:rPr>
              <w:t>Karlovarský</w:t>
            </w:r>
          </w:p>
        </w:tc>
        <w:tc>
          <w:tcPr>
            <w:tcW w:w="840" w:type="dxa"/>
            <w:tcBorders>
              <w:left w:val="single" w:sz="12" w:space="0" w:color="auto"/>
            </w:tcBorders>
            <w:vAlign w:val="bottom"/>
          </w:tcPr>
          <w:p w:rsidR="002830EE" w:rsidRPr="002C3B74" w:rsidRDefault="00800B13" w:rsidP="00655A9C">
            <w:pPr>
              <w:jc w:val="right"/>
              <w:rPr>
                <w:rFonts w:ascii="Arial" w:hAnsi="Arial" w:cs="Arial"/>
                <w:sz w:val="16"/>
                <w:szCs w:val="16"/>
              </w:rPr>
            </w:pPr>
            <w:r>
              <w:rPr>
                <w:rFonts w:ascii="Arial" w:hAnsi="Arial" w:cs="Arial"/>
                <w:color w:val="000000"/>
                <w:sz w:val="16"/>
                <w:szCs w:val="16"/>
              </w:rPr>
              <w:t>278</w:t>
            </w:r>
          </w:p>
        </w:tc>
        <w:tc>
          <w:tcPr>
            <w:tcW w:w="840" w:type="dxa"/>
            <w:tcBorders>
              <w:top w:val="single" w:sz="4" w:space="0" w:color="auto"/>
              <w:bottom w:val="single" w:sz="4" w:space="0" w:color="auto"/>
            </w:tcBorders>
            <w:vAlign w:val="bottom"/>
          </w:tcPr>
          <w:p w:rsidR="002830EE" w:rsidRPr="002C3B74" w:rsidRDefault="00800B13" w:rsidP="00655A9C">
            <w:pPr>
              <w:jc w:val="right"/>
              <w:rPr>
                <w:rFonts w:ascii="Arial" w:hAnsi="Arial" w:cs="Arial"/>
                <w:sz w:val="16"/>
                <w:szCs w:val="16"/>
              </w:rPr>
            </w:pPr>
            <w:r>
              <w:rPr>
                <w:rFonts w:ascii="Arial" w:hAnsi="Arial" w:cs="Arial"/>
                <w:color w:val="000000"/>
                <w:sz w:val="16"/>
                <w:szCs w:val="16"/>
              </w:rPr>
              <w:t>194</w:t>
            </w:r>
          </w:p>
        </w:tc>
        <w:tc>
          <w:tcPr>
            <w:tcW w:w="720" w:type="dxa"/>
            <w:tcBorders>
              <w:top w:val="single" w:sz="4" w:space="0" w:color="auto"/>
              <w:bottom w:val="single" w:sz="4" w:space="0" w:color="auto"/>
              <w:right w:val="single" w:sz="12" w:space="0" w:color="auto"/>
            </w:tcBorders>
            <w:vAlign w:val="bottom"/>
          </w:tcPr>
          <w:p w:rsidR="002830EE" w:rsidRPr="002C3B74" w:rsidRDefault="00800B13" w:rsidP="00655A9C">
            <w:pPr>
              <w:jc w:val="right"/>
              <w:rPr>
                <w:rFonts w:ascii="Arial" w:hAnsi="Arial" w:cs="Arial"/>
                <w:sz w:val="16"/>
                <w:szCs w:val="16"/>
              </w:rPr>
            </w:pPr>
            <w:r>
              <w:rPr>
                <w:rFonts w:ascii="Arial" w:hAnsi="Arial" w:cs="Arial"/>
                <w:color w:val="000000"/>
                <w:sz w:val="16"/>
                <w:szCs w:val="16"/>
              </w:rPr>
              <w:t>69,8</w:t>
            </w:r>
          </w:p>
        </w:tc>
        <w:tc>
          <w:tcPr>
            <w:tcW w:w="840" w:type="dxa"/>
            <w:tcBorders>
              <w:top w:val="single" w:sz="4" w:space="0" w:color="auto"/>
              <w:left w:val="single" w:sz="12" w:space="0" w:color="auto"/>
              <w:bottom w:val="single" w:sz="4" w:space="0" w:color="auto"/>
            </w:tcBorders>
            <w:vAlign w:val="bottom"/>
          </w:tcPr>
          <w:p w:rsidR="002830EE" w:rsidRPr="002C3B74" w:rsidRDefault="00800B13" w:rsidP="00655A9C">
            <w:pPr>
              <w:jc w:val="right"/>
              <w:rPr>
                <w:rFonts w:ascii="Arial" w:hAnsi="Arial" w:cs="Arial"/>
                <w:sz w:val="16"/>
                <w:szCs w:val="16"/>
              </w:rPr>
            </w:pPr>
            <w:r>
              <w:rPr>
                <w:rFonts w:ascii="Arial" w:hAnsi="Arial" w:cs="Arial"/>
                <w:color w:val="000000"/>
                <w:sz w:val="16"/>
                <w:szCs w:val="16"/>
              </w:rPr>
              <w:t>117</w:t>
            </w:r>
          </w:p>
        </w:tc>
        <w:tc>
          <w:tcPr>
            <w:tcW w:w="840" w:type="dxa"/>
            <w:tcBorders>
              <w:top w:val="single" w:sz="4" w:space="0" w:color="auto"/>
              <w:bottom w:val="single" w:sz="4" w:space="0" w:color="auto"/>
              <w:right w:val="single" w:sz="4" w:space="0" w:color="auto"/>
            </w:tcBorders>
            <w:vAlign w:val="bottom"/>
          </w:tcPr>
          <w:p w:rsidR="002830EE" w:rsidRPr="002C3B74" w:rsidRDefault="00800B13" w:rsidP="00655A9C">
            <w:pPr>
              <w:jc w:val="right"/>
              <w:rPr>
                <w:rFonts w:ascii="Arial" w:hAnsi="Arial" w:cs="Arial"/>
                <w:sz w:val="16"/>
                <w:szCs w:val="16"/>
              </w:rPr>
            </w:pPr>
            <w:r>
              <w:rPr>
                <w:rFonts w:ascii="Arial" w:hAnsi="Arial" w:cs="Arial"/>
                <w:color w:val="000000"/>
                <w:sz w:val="16"/>
                <w:szCs w:val="16"/>
              </w:rPr>
              <w:t>43</w:t>
            </w:r>
          </w:p>
        </w:tc>
        <w:tc>
          <w:tcPr>
            <w:tcW w:w="720" w:type="dxa"/>
            <w:tcBorders>
              <w:top w:val="single" w:sz="4" w:space="0" w:color="auto"/>
              <w:left w:val="single" w:sz="4" w:space="0" w:color="auto"/>
              <w:bottom w:val="single" w:sz="4" w:space="0" w:color="auto"/>
              <w:right w:val="single" w:sz="12" w:space="0" w:color="auto"/>
            </w:tcBorders>
            <w:vAlign w:val="bottom"/>
          </w:tcPr>
          <w:p w:rsidR="002830EE" w:rsidRPr="002C3B74" w:rsidRDefault="00800B13" w:rsidP="000A5B02">
            <w:pPr>
              <w:pStyle w:val="Zkladntext"/>
              <w:jc w:val="right"/>
              <w:rPr>
                <w:rFonts w:ascii="Arial" w:hAnsi="Arial" w:cs="Arial"/>
                <w:sz w:val="16"/>
                <w:szCs w:val="16"/>
              </w:rPr>
            </w:pPr>
            <w:r>
              <w:rPr>
                <w:rFonts w:ascii="Arial" w:hAnsi="Arial" w:cs="Arial"/>
                <w:color w:val="000000"/>
                <w:sz w:val="16"/>
                <w:szCs w:val="16"/>
              </w:rPr>
              <w:t>36,8</w:t>
            </w:r>
          </w:p>
        </w:tc>
        <w:tc>
          <w:tcPr>
            <w:tcW w:w="840" w:type="dxa"/>
            <w:tcBorders>
              <w:top w:val="single" w:sz="4" w:space="0" w:color="auto"/>
              <w:left w:val="single" w:sz="12" w:space="0" w:color="auto"/>
              <w:bottom w:val="single" w:sz="4" w:space="0" w:color="auto"/>
            </w:tcBorders>
            <w:vAlign w:val="bottom"/>
          </w:tcPr>
          <w:p w:rsidR="002830EE" w:rsidRPr="002C3B74" w:rsidRDefault="00800B13" w:rsidP="000A5B02">
            <w:pPr>
              <w:jc w:val="right"/>
              <w:rPr>
                <w:rFonts w:ascii="Arial" w:hAnsi="Arial" w:cs="Arial"/>
                <w:sz w:val="16"/>
                <w:szCs w:val="16"/>
              </w:rPr>
            </w:pPr>
            <w:r>
              <w:rPr>
                <w:rFonts w:ascii="Arial" w:hAnsi="Arial" w:cs="Arial"/>
                <w:color w:val="000000"/>
                <w:sz w:val="16"/>
                <w:szCs w:val="16"/>
              </w:rPr>
              <w:t>161</w:t>
            </w:r>
          </w:p>
        </w:tc>
        <w:tc>
          <w:tcPr>
            <w:tcW w:w="840" w:type="dxa"/>
            <w:tcBorders>
              <w:top w:val="single" w:sz="4" w:space="0" w:color="auto"/>
              <w:bottom w:val="single" w:sz="4" w:space="0" w:color="auto"/>
            </w:tcBorders>
            <w:vAlign w:val="bottom"/>
          </w:tcPr>
          <w:p w:rsidR="002830EE" w:rsidRPr="002C3B74" w:rsidRDefault="00800B13" w:rsidP="000A5B02">
            <w:pPr>
              <w:jc w:val="right"/>
              <w:rPr>
                <w:rFonts w:ascii="Arial" w:hAnsi="Arial" w:cs="Arial"/>
                <w:sz w:val="16"/>
                <w:szCs w:val="16"/>
              </w:rPr>
            </w:pPr>
            <w:r>
              <w:rPr>
                <w:rFonts w:ascii="Arial" w:hAnsi="Arial" w:cs="Arial"/>
                <w:color w:val="000000"/>
                <w:sz w:val="16"/>
                <w:szCs w:val="16"/>
              </w:rPr>
              <w:t>151</w:t>
            </w:r>
          </w:p>
        </w:tc>
        <w:tc>
          <w:tcPr>
            <w:tcW w:w="720" w:type="dxa"/>
            <w:tcBorders>
              <w:top w:val="single" w:sz="4" w:space="0" w:color="auto"/>
              <w:bottom w:val="single" w:sz="4" w:space="0" w:color="auto"/>
            </w:tcBorders>
            <w:vAlign w:val="bottom"/>
          </w:tcPr>
          <w:p w:rsidR="002830EE" w:rsidRPr="002C3B74" w:rsidRDefault="00800B13" w:rsidP="000A5B02">
            <w:pPr>
              <w:jc w:val="right"/>
              <w:rPr>
                <w:rFonts w:ascii="Arial" w:hAnsi="Arial" w:cs="Arial"/>
                <w:sz w:val="16"/>
                <w:szCs w:val="16"/>
              </w:rPr>
            </w:pPr>
            <w:r>
              <w:rPr>
                <w:rFonts w:ascii="Arial" w:hAnsi="Arial" w:cs="Arial"/>
                <w:color w:val="000000"/>
                <w:sz w:val="16"/>
                <w:szCs w:val="16"/>
              </w:rPr>
              <w:t>93,8</w:t>
            </w:r>
          </w:p>
        </w:tc>
      </w:tr>
      <w:tr w:rsidR="002830EE" w:rsidRPr="00F83D7E" w:rsidTr="00584D28">
        <w:trPr>
          <w:trHeight w:val="329"/>
        </w:trPr>
        <w:tc>
          <w:tcPr>
            <w:tcW w:w="1800" w:type="dxa"/>
            <w:tcBorders>
              <w:top w:val="single" w:sz="4" w:space="0" w:color="auto"/>
              <w:bottom w:val="single" w:sz="4" w:space="0" w:color="auto"/>
              <w:right w:val="single" w:sz="12" w:space="0" w:color="auto"/>
            </w:tcBorders>
            <w:vAlign w:val="bottom"/>
          </w:tcPr>
          <w:p w:rsidR="002830EE" w:rsidRPr="00CF3C06" w:rsidRDefault="002830EE">
            <w:pPr>
              <w:pStyle w:val="Zkladntext"/>
              <w:rPr>
                <w:rFonts w:ascii="Arial" w:hAnsi="Arial" w:cs="Arial"/>
                <w:sz w:val="16"/>
                <w:szCs w:val="16"/>
              </w:rPr>
            </w:pPr>
            <w:r w:rsidRPr="00DF48FF">
              <w:rPr>
                <w:rFonts w:ascii="Arial" w:hAnsi="Arial" w:cs="Arial"/>
                <w:sz w:val="16"/>
                <w:szCs w:val="16"/>
              </w:rPr>
              <w:t>Ústecký</w:t>
            </w:r>
          </w:p>
        </w:tc>
        <w:tc>
          <w:tcPr>
            <w:tcW w:w="840" w:type="dxa"/>
            <w:tcBorders>
              <w:left w:val="single" w:sz="12" w:space="0" w:color="auto"/>
            </w:tcBorders>
            <w:vAlign w:val="bottom"/>
          </w:tcPr>
          <w:p w:rsidR="002830EE" w:rsidRPr="002C3B74" w:rsidRDefault="00800B13" w:rsidP="00584D28">
            <w:pPr>
              <w:jc w:val="right"/>
              <w:rPr>
                <w:rFonts w:ascii="Arial" w:hAnsi="Arial" w:cs="Arial"/>
                <w:sz w:val="16"/>
                <w:szCs w:val="16"/>
              </w:rPr>
            </w:pPr>
            <w:r>
              <w:rPr>
                <w:rFonts w:ascii="Arial" w:hAnsi="Arial" w:cs="Arial"/>
                <w:color w:val="000000"/>
                <w:sz w:val="16"/>
                <w:szCs w:val="16"/>
              </w:rPr>
              <w:t>820</w:t>
            </w:r>
          </w:p>
        </w:tc>
        <w:tc>
          <w:tcPr>
            <w:tcW w:w="840" w:type="dxa"/>
            <w:tcBorders>
              <w:top w:val="single" w:sz="4" w:space="0" w:color="auto"/>
              <w:bottom w:val="single" w:sz="4" w:space="0" w:color="auto"/>
            </w:tcBorders>
            <w:vAlign w:val="bottom"/>
          </w:tcPr>
          <w:p w:rsidR="002830EE" w:rsidRPr="002C3B74" w:rsidRDefault="00800B13" w:rsidP="00584D28">
            <w:pPr>
              <w:jc w:val="right"/>
              <w:rPr>
                <w:rFonts w:ascii="Arial" w:hAnsi="Arial" w:cs="Arial"/>
                <w:sz w:val="16"/>
                <w:szCs w:val="16"/>
              </w:rPr>
            </w:pPr>
            <w:r>
              <w:rPr>
                <w:rFonts w:ascii="Arial" w:hAnsi="Arial" w:cs="Arial"/>
                <w:color w:val="000000"/>
                <w:sz w:val="16"/>
                <w:szCs w:val="16"/>
              </w:rPr>
              <w:t>630</w:t>
            </w:r>
          </w:p>
        </w:tc>
        <w:tc>
          <w:tcPr>
            <w:tcW w:w="720" w:type="dxa"/>
            <w:tcBorders>
              <w:top w:val="single" w:sz="4" w:space="0" w:color="auto"/>
              <w:bottom w:val="single" w:sz="4" w:space="0" w:color="auto"/>
              <w:right w:val="single" w:sz="12" w:space="0" w:color="auto"/>
            </w:tcBorders>
            <w:vAlign w:val="bottom"/>
          </w:tcPr>
          <w:p w:rsidR="002830EE" w:rsidRPr="002C3B74" w:rsidRDefault="00800B13" w:rsidP="00584D28">
            <w:pPr>
              <w:jc w:val="right"/>
              <w:rPr>
                <w:rFonts w:ascii="Arial" w:hAnsi="Arial" w:cs="Arial"/>
                <w:sz w:val="16"/>
                <w:szCs w:val="16"/>
              </w:rPr>
            </w:pPr>
            <w:r>
              <w:rPr>
                <w:rFonts w:ascii="Arial" w:hAnsi="Arial" w:cs="Arial"/>
                <w:color w:val="000000"/>
                <w:sz w:val="16"/>
                <w:szCs w:val="16"/>
              </w:rPr>
              <w:t>76,8</w:t>
            </w:r>
          </w:p>
        </w:tc>
        <w:tc>
          <w:tcPr>
            <w:tcW w:w="840" w:type="dxa"/>
            <w:tcBorders>
              <w:top w:val="single" w:sz="4" w:space="0" w:color="auto"/>
              <w:left w:val="single" w:sz="12" w:space="0" w:color="auto"/>
              <w:bottom w:val="single" w:sz="4" w:space="0" w:color="auto"/>
            </w:tcBorders>
            <w:vAlign w:val="bottom"/>
          </w:tcPr>
          <w:p w:rsidR="002830EE" w:rsidRPr="002C3B74" w:rsidRDefault="00800B13" w:rsidP="00584D28">
            <w:pPr>
              <w:jc w:val="right"/>
              <w:rPr>
                <w:rFonts w:ascii="Arial" w:hAnsi="Arial" w:cs="Arial"/>
                <w:sz w:val="16"/>
                <w:szCs w:val="16"/>
              </w:rPr>
            </w:pPr>
            <w:r>
              <w:rPr>
                <w:rFonts w:ascii="Arial" w:hAnsi="Arial" w:cs="Arial"/>
                <w:color w:val="000000"/>
                <w:sz w:val="16"/>
                <w:szCs w:val="16"/>
              </w:rPr>
              <w:t>329</w:t>
            </w:r>
          </w:p>
        </w:tc>
        <w:tc>
          <w:tcPr>
            <w:tcW w:w="840" w:type="dxa"/>
            <w:tcBorders>
              <w:top w:val="single" w:sz="4" w:space="0" w:color="auto"/>
              <w:bottom w:val="single" w:sz="4" w:space="0" w:color="auto"/>
              <w:right w:val="single" w:sz="4" w:space="0" w:color="auto"/>
            </w:tcBorders>
            <w:vAlign w:val="bottom"/>
          </w:tcPr>
          <w:p w:rsidR="002830EE" w:rsidRPr="002C3B74" w:rsidRDefault="00800B13" w:rsidP="00584D28">
            <w:pPr>
              <w:jc w:val="right"/>
              <w:rPr>
                <w:rFonts w:ascii="Arial" w:hAnsi="Arial" w:cs="Arial"/>
                <w:sz w:val="16"/>
                <w:szCs w:val="16"/>
              </w:rPr>
            </w:pPr>
            <w:r>
              <w:rPr>
                <w:rFonts w:ascii="Arial" w:hAnsi="Arial" w:cs="Arial"/>
                <w:color w:val="000000"/>
                <w:sz w:val="16"/>
                <w:szCs w:val="16"/>
              </w:rPr>
              <w:t>163</w:t>
            </w:r>
          </w:p>
        </w:tc>
        <w:tc>
          <w:tcPr>
            <w:tcW w:w="720" w:type="dxa"/>
            <w:tcBorders>
              <w:top w:val="single" w:sz="4" w:space="0" w:color="auto"/>
              <w:left w:val="single" w:sz="4" w:space="0" w:color="auto"/>
              <w:bottom w:val="single" w:sz="4" w:space="0" w:color="auto"/>
              <w:right w:val="single" w:sz="12" w:space="0" w:color="auto"/>
            </w:tcBorders>
            <w:vAlign w:val="bottom"/>
          </w:tcPr>
          <w:p w:rsidR="002830EE" w:rsidRPr="002C3B74" w:rsidRDefault="00800B13" w:rsidP="00584D28">
            <w:pPr>
              <w:pStyle w:val="Zkladntext"/>
              <w:jc w:val="right"/>
              <w:rPr>
                <w:rFonts w:ascii="Arial" w:hAnsi="Arial" w:cs="Arial"/>
                <w:sz w:val="16"/>
                <w:szCs w:val="16"/>
              </w:rPr>
            </w:pPr>
            <w:r>
              <w:rPr>
                <w:rFonts w:ascii="Arial" w:hAnsi="Arial" w:cs="Arial"/>
                <w:color w:val="000000"/>
                <w:sz w:val="16"/>
                <w:szCs w:val="16"/>
              </w:rPr>
              <w:t>49,5</w:t>
            </w:r>
          </w:p>
        </w:tc>
        <w:tc>
          <w:tcPr>
            <w:tcW w:w="840" w:type="dxa"/>
            <w:tcBorders>
              <w:top w:val="single" w:sz="4" w:space="0" w:color="auto"/>
              <w:left w:val="single" w:sz="12" w:space="0" w:color="auto"/>
              <w:bottom w:val="single" w:sz="4" w:space="0" w:color="auto"/>
            </w:tcBorders>
            <w:vAlign w:val="bottom"/>
          </w:tcPr>
          <w:p w:rsidR="002830EE" w:rsidRPr="002C3B74" w:rsidRDefault="00800B13" w:rsidP="00584D28">
            <w:pPr>
              <w:jc w:val="right"/>
              <w:rPr>
                <w:rFonts w:ascii="Arial" w:hAnsi="Arial" w:cs="Arial"/>
                <w:sz w:val="16"/>
                <w:szCs w:val="16"/>
              </w:rPr>
            </w:pPr>
            <w:r>
              <w:rPr>
                <w:rFonts w:ascii="Arial" w:hAnsi="Arial" w:cs="Arial"/>
                <w:color w:val="000000"/>
                <w:sz w:val="16"/>
                <w:szCs w:val="16"/>
              </w:rPr>
              <w:t>491</w:t>
            </w:r>
          </w:p>
        </w:tc>
        <w:tc>
          <w:tcPr>
            <w:tcW w:w="840" w:type="dxa"/>
            <w:tcBorders>
              <w:top w:val="single" w:sz="4" w:space="0" w:color="auto"/>
              <w:bottom w:val="single" w:sz="4" w:space="0" w:color="auto"/>
            </w:tcBorders>
            <w:vAlign w:val="bottom"/>
          </w:tcPr>
          <w:p w:rsidR="002830EE" w:rsidRPr="002C3B74" w:rsidRDefault="00800B13" w:rsidP="00584D28">
            <w:pPr>
              <w:jc w:val="right"/>
              <w:rPr>
                <w:rFonts w:ascii="Arial" w:hAnsi="Arial" w:cs="Arial"/>
                <w:sz w:val="16"/>
                <w:szCs w:val="16"/>
              </w:rPr>
            </w:pPr>
            <w:r>
              <w:rPr>
                <w:rFonts w:ascii="Arial" w:hAnsi="Arial" w:cs="Arial"/>
                <w:color w:val="000000"/>
                <w:sz w:val="16"/>
                <w:szCs w:val="16"/>
              </w:rPr>
              <w:t>467</w:t>
            </w:r>
          </w:p>
        </w:tc>
        <w:tc>
          <w:tcPr>
            <w:tcW w:w="720" w:type="dxa"/>
            <w:tcBorders>
              <w:top w:val="single" w:sz="4" w:space="0" w:color="auto"/>
              <w:bottom w:val="single" w:sz="4" w:space="0" w:color="auto"/>
            </w:tcBorders>
            <w:vAlign w:val="bottom"/>
          </w:tcPr>
          <w:p w:rsidR="002830EE" w:rsidRPr="002C3B74" w:rsidRDefault="00800B13" w:rsidP="00584D28">
            <w:pPr>
              <w:jc w:val="right"/>
              <w:rPr>
                <w:rFonts w:ascii="Arial" w:hAnsi="Arial" w:cs="Arial"/>
                <w:sz w:val="16"/>
                <w:szCs w:val="16"/>
              </w:rPr>
            </w:pPr>
            <w:r>
              <w:rPr>
                <w:rFonts w:ascii="Arial" w:hAnsi="Arial" w:cs="Arial"/>
                <w:color w:val="000000"/>
                <w:sz w:val="16"/>
                <w:szCs w:val="16"/>
              </w:rPr>
              <w:t>95,1</w:t>
            </w:r>
          </w:p>
        </w:tc>
      </w:tr>
      <w:tr w:rsidR="002830EE" w:rsidRPr="00F83D7E">
        <w:trPr>
          <w:trHeight w:val="329"/>
        </w:trPr>
        <w:tc>
          <w:tcPr>
            <w:tcW w:w="1800" w:type="dxa"/>
            <w:tcBorders>
              <w:top w:val="single" w:sz="4" w:space="0" w:color="auto"/>
              <w:bottom w:val="single" w:sz="4" w:space="0" w:color="auto"/>
              <w:right w:val="single" w:sz="12" w:space="0" w:color="auto"/>
            </w:tcBorders>
            <w:vAlign w:val="bottom"/>
          </w:tcPr>
          <w:p w:rsidR="002830EE" w:rsidRPr="00CF3C06" w:rsidRDefault="002830EE">
            <w:pPr>
              <w:pStyle w:val="Zkladntext"/>
              <w:rPr>
                <w:rFonts w:ascii="Arial" w:hAnsi="Arial" w:cs="Arial"/>
                <w:sz w:val="16"/>
                <w:szCs w:val="16"/>
              </w:rPr>
            </w:pPr>
            <w:r w:rsidRPr="00DF48FF">
              <w:rPr>
                <w:rFonts w:ascii="Arial" w:hAnsi="Arial" w:cs="Arial"/>
                <w:sz w:val="16"/>
                <w:szCs w:val="16"/>
              </w:rPr>
              <w:t>Liberecký</w:t>
            </w:r>
          </w:p>
        </w:tc>
        <w:tc>
          <w:tcPr>
            <w:tcW w:w="840" w:type="dxa"/>
            <w:tcBorders>
              <w:left w:val="single" w:sz="12" w:space="0" w:color="auto"/>
            </w:tcBorders>
            <w:vAlign w:val="bottom"/>
          </w:tcPr>
          <w:p w:rsidR="002830EE" w:rsidRPr="002C3B74" w:rsidRDefault="00800B13" w:rsidP="00655A9C">
            <w:pPr>
              <w:jc w:val="right"/>
              <w:rPr>
                <w:rFonts w:ascii="Arial" w:hAnsi="Arial" w:cs="Arial"/>
                <w:sz w:val="16"/>
                <w:szCs w:val="16"/>
              </w:rPr>
            </w:pPr>
            <w:r>
              <w:rPr>
                <w:rFonts w:ascii="Arial" w:hAnsi="Arial" w:cs="Arial"/>
                <w:color w:val="000000"/>
                <w:sz w:val="16"/>
                <w:szCs w:val="16"/>
              </w:rPr>
              <w:t>447</w:t>
            </w:r>
          </w:p>
        </w:tc>
        <w:tc>
          <w:tcPr>
            <w:tcW w:w="840" w:type="dxa"/>
            <w:tcBorders>
              <w:top w:val="single" w:sz="4" w:space="0" w:color="auto"/>
              <w:bottom w:val="single" w:sz="4" w:space="0" w:color="auto"/>
            </w:tcBorders>
            <w:vAlign w:val="bottom"/>
          </w:tcPr>
          <w:p w:rsidR="002830EE" w:rsidRPr="002C3B74" w:rsidRDefault="00800B13" w:rsidP="00655A9C">
            <w:pPr>
              <w:jc w:val="right"/>
              <w:rPr>
                <w:rFonts w:ascii="Arial" w:hAnsi="Arial" w:cs="Arial"/>
                <w:sz w:val="16"/>
                <w:szCs w:val="16"/>
              </w:rPr>
            </w:pPr>
            <w:r>
              <w:rPr>
                <w:rFonts w:ascii="Arial" w:hAnsi="Arial" w:cs="Arial"/>
                <w:color w:val="000000"/>
                <w:sz w:val="16"/>
                <w:szCs w:val="16"/>
              </w:rPr>
              <w:t>358</w:t>
            </w:r>
          </w:p>
        </w:tc>
        <w:tc>
          <w:tcPr>
            <w:tcW w:w="720" w:type="dxa"/>
            <w:tcBorders>
              <w:top w:val="single" w:sz="4" w:space="0" w:color="auto"/>
              <w:bottom w:val="single" w:sz="4" w:space="0" w:color="auto"/>
              <w:right w:val="single" w:sz="12" w:space="0" w:color="auto"/>
            </w:tcBorders>
            <w:vAlign w:val="bottom"/>
          </w:tcPr>
          <w:p w:rsidR="002830EE" w:rsidRPr="002C3B74" w:rsidRDefault="00800B13" w:rsidP="00655A9C">
            <w:pPr>
              <w:jc w:val="right"/>
              <w:rPr>
                <w:rFonts w:ascii="Arial" w:hAnsi="Arial" w:cs="Arial"/>
                <w:sz w:val="16"/>
                <w:szCs w:val="16"/>
              </w:rPr>
            </w:pPr>
            <w:r>
              <w:rPr>
                <w:rFonts w:ascii="Arial" w:hAnsi="Arial" w:cs="Arial"/>
                <w:color w:val="000000"/>
                <w:sz w:val="16"/>
                <w:szCs w:val="16"/>
              </w:rPr>
              <w:t>80,1</w:t>
            </w:r>
          </w:p>
        </w:tc>
        <w:tc>
          <w:tcPr>
            <w:tcW w:w="840" w:type="dxa"/>
            <w:tcBorders>
              <w:top w:val="single" w:sz="4" w:space="0" w:color="auto"/>
              <w:left w:val="single" w:sz="12" w:space="0" w:color="auto"/>
              <w:bottom w:val="single" w:sz="4" w:space="0" w:color="auto"/>
            </w:tcBorders>
            <w:vAlign w:val="bottom"/>
          </w:tcPr>
          <w:p w:rsidR="002830EE" w:rsidRPr="002C3B74" w:rsidRDefault="00800B13" w:rsidP="00655A9C">
            <w:pPr>
              <w:jc w:val="right"/>
              <w:rPr>
                <w:rFonts w:ascii="Arial" w:hAnsi="Arial" w:cs="Arial"/>
                <w:sz w:val="16"/>
                <w:szCs w:val="16"/>
              </w:rPr>
            </w:pPr>
            <w:r>
              <w:rPr>
                <w:rFonts w:ascii="Arial" w:hAnsi="Arial" w:cs="Arial"/>
                <w:color w:val="000000"/>
                <w:sz w:val="16"/>
                <w:szCs w:val="16"/>
              </w:rPr>
              <w:t>169</w:t>
            </w:r>
          </w:p>
        </w:tc>
        <w:tc>
          <w:tcPr>
            <w:tcW w:w="840" w:type="dxa"/>
            <w:tcBorders>
              <w:top w:val="single" w:sz="4" w:space="0" w:color="auto"/>
              <w:bottom w:val="single" w:sz="4" w:space="0" w:color="auto"/>
              <w:right w:val="single" w:sz="4" w:space="0" w:color="auto"/>
            </w:tcBorders>
            <w:vAlign w:val="bottom"/>
          </w:tcPr>
          <w:p w:rsidR="002830EE" w:rsidRPr="002C3B74" w:rsidRDefault="00800B13" w:rsidP="00655A9C">
            <w:pPr>
              <w:jc w:val="right"/>
              <w:rPr>
                <w:rFonts w:ascii="Arial" w:hAnsi="Arial" w:cs="Arial"/>
                <w:sz w:val="16"/>
                <w:szCs w:val="16"/>
              </w:rPr>
            </w:pPr>
            <w:r>
              <w:rPr>
                <w:rFonts w:ascii="Arial" w:hAnsi="Arial" w:cs="Arial"/>
                <w:color w:val="000000"/>
                <w:sz w:val="16"/>
                <w:szCs w:val="16"/>
              </w:rPr>
              <w:t>101</w:t>
            </w:r>
          </w:p>
        </w:tc>
        <w:tc>
          <w:tcPr>
            <w:tcW w:w="720" w:type="dxa"/>
            <w:tcBorders>
              <w:top w:val="single" w:sz="4" w:space="0" w:color="auto"/>
              <w:left w:val="single" w:sz="4" w:space="0" w:color="auto"/>
              <w:bottom w:val="single" w:sz="4" w:space="0" w:color="auto"/>
              <w:right w:val="single" w:sz="12" w:space="0" w:color="auto"/>
            </w:tcBorders>
            <w:vAlign w:val="bottom"/>
          </w:tcPr>
          <w:p w:rsidR="002830EE" w:rsidRPr="002C3B74" w:rsidRDefault="00800B13" w:rsidP="000A5B02">
            <w:pPr>
              <w:pStyle w:val="Zkladntext"/>
              <w:jc w:val="right"/>
              <w:rPr>
                <w:rFonts w:ascii="Arial" w:hAnsi="Arial" w:cs="Arial"/>
                <w:sz w:val="16"/>
                <w:szCs w:val="16"/>
              </w:rPr>
            </w:pPr>
            <w:r>
              <w:rPr>
                <w:rFonts w:ascii="Arial" w:hAnsi="Arial" w:cs="Arial"/>
                <w:color w:val="000000"/>
                <w:sz w:val="16"/>
                <w:szCs w:val="16"/>
              </w:rPr>
              <w:t>59,8</w:t>
            </w:r>
          </w:p>
        </w:tc>
        <w:tc>
          <w:tcPr>
            <w:tcW w:w="840" w:type="dxa"/>
            <w:tcBorders>
              <w:top w:val="single" w:sz="4" w:space="0" w:color="auto"/>
              <w:left w:val="single" w:sz="12" w:space="0" w:color="auto"/>
              <w:bottom w:val="single" w:sz="4" w:space="0" w:color="auto"/>
            </w:tcBorders>
            <w:vAlign w:val="bottom"/>
          </w:tcPr>
          <w:p w:rsidR="002830EE" w:rsidRPr="002C3B74" w:rsidRDefault="00800B13" w:rsidP="000A5B02">
            <w:pPr>
              <w:jc w:val="right"/>
              <w:rPr>
                <w:rFonts w:ascii="Arial" w:hAnsi="Arial" w:cs="Arial"/>
                <w:sz w:val="16"/>
                <w:szCs w:val="16"/>
              </w:rPr>
            </w:pPr>
            <w:r>
              <w:rPr>
                <w:rFonts w:ascii="Arial" w:hAnsi="Arial" w:cs="Arial"/>
                <w:color w:val="000000"/>
                <w:sz w:val="16"/>
                <w:szCs w:val="16"/>
              </w:rPr>
              <w:t>278</w:t>
            </w:r>
          </w:p>
        </w:tc>
        <w:tc>
          <w:tcPr>
            <w:tcW w:w="840" w:type="dxa"/>
            <w:tcBorders>
              <w:top w:val="single" w:sz="4" w:space="0" w:color="auto"/>
              <w:bottom w:val="single" w:sz="4" w:space="0" w:color="auto"/>
            </w:tcBorders>
            <w:vAlign w:val="bottom"/>
          </w:tcPr>
          <w:p w:rsidR="002830EE" w:rsidRPr="002C3B74" w:rsidRDefault="00800B13" w:rsidP="000A5B02">
            <w:pPr>
              <w:jc w:val="right"/>
              <w:rPr>
                <w:rFonts w:ascii="Arial" w:hAnsi="Arial" w:cs="Arial"/>
                <w:sz w:val="16"/>
                <w:szCs w:val="16"/>
              </w:rPr>
            </w:pPr>
            <w:r>
              <w:rPr>
                <w:rFonts w:ascii="Arial" w:hAnsi="Arial" w:cs="Arial"/>
                <w:color w:val="000000"/>
                <w:sz w:val="16"/>
                <w:szCs w:val="16"/>
              </w:rPr>
              <w:t>257</w:t>
            </w:r>
          </w:p>
        </w:tc>
        <w:tc>
          <w:tcPr>
            <w:tcW w:w="720" w:type="dxa"/>
            <w:tcBorders>
              <w:top w:val="single" w:sz="4" w:space="0" w:color="auto"/>
              <w:bottom w:val="single" w:sz="4" w:space="0" w:color="auto"/>
            </w:tcBorders>
            <w:vAlign w:val="bottom"/>
          </w:tcPr>
          <w:p w:rsidR="002830EE" w:rsidRPr="002C3B74" w:rsidRDefault="00800B13" w:rsidP="000A5B02">
            <w:pPr>
              <w:jc w:val="right"/>
              <w:rPr>
                <w:rFonts w:ascii="Arial" w:hAnsi="Arial" w:cs="Arial"/>
                <w:sz w:val="16"/>
                <w:szCs w:val="16"/>
              </w:rPr>
            </w:pPr>
            <w:r>
              <w:rPr>
                <w:rFonts w:ascii="Arial" w:hAnsi="Arial" w:cs="Arial"/>
                <w:color w:val="000000"/>
                <w:sz w:val="16"/>
                <w:szCs w:val="16"/>
              </w:rPr>
              <w:t>92,4</w:t>
            </w:r>
          </w:p>
        </w:tc>
      </w:tr>
      <w:tr w:rsidR="002830EE" w:rsidRPr="00F83D7E">
        <w:trPr>
          <w:trHeight w:val="329"/>
        </w:trPr>
        <w:tc>
          <w:tcPr>
            <w:tcW w:w="1800" w:type="dxa"/>
            <w:tcBorders>
              <w:top w:val="single" w:sz="4" w:space="0" w:color="auto"/>
              <w:bottom w:val="single" w:sz="4" w:space="0" w:color="auto"/>
              <w:right w:val="single" w:sz="12" w:space="0" w:color="auto"/>
            </w:tcBorders>
            <w:vAlign w:val="bottom"/>
          </w:tcPr>
          <w:p w:rsidR="002830EE" w:rsidRPr="00CF3C06" w:rsidRDefault="002830EE">
            <w:pPr>
              <w:pStyle w:val="Zkladntext"/>
              <w:rPr>
                <w:rFonts w:ascii="Arial" w:hAnsi="Arial" w:cs="Arial"/>
                <w:sz w:val="16"/>
                <w:szCs w:val="16"/>
              </w:rPr>
            </w:pPr>
            <w:r w:rsidRPr="00DF48FF">
              <w:rPr>
                <w:rFonts w:ascii="Arial" w:hAnsi="Arial" w:cs="Arial"/>
                <w:sz w:val="16"/>
                <w:szCs w:val="16"/>
              </w:rPr>
              <w:t>Královéhradecký</w:t>
            </w:r>
          </w:p>
        </w:tc>
        <w:tc>
          <w:tcPr>
            <w:tcW w:w="840" w:type="dxa"/>
            <w:tcBorders>
              <w:left w:val="single" w:sz="12" w:space="0" w:color="auto"/>
            </w:tcBorders>
            <w:vAlign w:val="bottom"/>
          </w:tcPr>
          <w:p w:rsidR="002830EE" w:rsidRPr="002C3B74" w:rsidRDefault="00800B13" w:rsidP="00655A9C">
            <w:pPr>
              <w:tabs>
                <w:tab w:val="center" w:pos="4536"/>
                <w:tab w:val="right" w:pos="9072"/>
              </w:tabs>
              <w:jc w:val="right"/>
              <w:rPr>
                <w:rFonts w:ascii="Arial" w:hAnsi="Arial" w:cs="Arial"/>
                <w:sz w:val="16"/>
                <w:szCs w:val="16"/>
              </w:rPr>
            </w:pPr>
            <w:r>
              <w:rPr>
                <w:rFonts w:ascii="Arial" w:hAnsi="Arial" w:cs="Arial"/>
                <w:color w:val="000000"/>
                <w:sz w:val="16"/>
                <w:szCs w:val="16"/>
              </w:rPr>
              <w:t>546</w:t>
            </w:r>
          </w:p>
        </w:tc>
        <w:tc>
          <w:tcPr>
            <w:tcW w:w="840" w:type="dxa"/>
            <w:tcBorders>
              <w:top w:val="single" w:sz="4" w:space="0" w:color="auto"/>
              <w:bottom w:val="single" w:sz="4" w:space="0" w:color="auto"/>
            </w:tcBorders>
            <w:vAlign w:val="bottom"/>
          </w:tcPr>
          <w:p w:rsidR="002830EE" w:rsidRPr="002C3B74" w:rsidRDefault="00800B13" w:rsidP="00655A9C">
            <w:pPr>
              <w:tabs>
                <w:tab w:val="center" w:pos="4536"/>
                <w:tab w:val="right" w:pos="9072"/>
              </w:tabs>
              <w:jc w:val="right"/>
              <w:rPr>
                <w:rFonts w:ascii="Arial" w:hAnsi="Arial" w:cs="Arial"/>
                <w:sz w:val="16"/>
                <w:szCs w:val="16"/>
              </w:rPr>
            </w:pPr>
            <w:r>
              <w:rPr>
                <w:rFonts w:ascii="Arial" w:hAnsi="Arial" w:cs="Arial"/>
                <w:color w:val="000000"/>
                <w:sz w:val="16"/>
                <w:szCs w:val="16"/>
              </w:rPr>
              <w:t>445</w:t>
            </w:r>
          </w:p>
        </w:tc>
        <w:tc>
          <w:tcPr>
            <w:tcW w:w="720" w:type="dxa"/>
            <w:tcBorders>
              <w:top w:val="single" w:sz="4" w:space="0" w:color="auto"/>
              <w:bottom w:val="single" w:sz="4" w:space="0" w:color="auto"/>
              <w:right w:val="single" w:sz="12" w:space="0" w:color="auto"/>
            </w:tcBorders>
            <w:vAlign w:val="bottom"/>
          </w:tcPr>
          <w:p w:rsidR="002830EE" w:rsidRPr="002C3B74" w:rsidRDefault="00800B13" w:rsidP="00655A9C">
            <w:pPr>
              <w:tabs>
                <w:tab w:val="center" w:pos="4536"/>
                <w:tab w:val="right" w:pos="9072"/>
              </w:tabs>
              <w:jc w:val="right"/>
              <w:rPr>
                <w:rFonts w:ascii="Arial" w:hAnsi="Arial" w:cs="Arial"/>
                <w:sz w:val="16"/>
                <w:szCs w:val="16"/>
              </w:rPr>
            </w:pPr>
            <w:r>
              <w:rPr>
                <w:rFonts w:ascii="Arial" w:hAnsi="Arial" w:cs="Arial"/>
                <w:color w:val="000000"/>
                <w:sz w:val="16"/>
                <w:szCs w:val="16"/>
              </w:rPr>
              <w:t>81,5</w:t>
            </w:r>
          </w:p>
        </w:tc>
        <w:tc>
          <w:tcPr>
            <w:tcW w:w="840" w:type="dxa"/>
            <w:tcBorders>
              <w:top w:val="single" w:sz="4" w:space="0" w:color="auto"/>
              <w:left w:val="single" w:sz="12" w:space="0" w:color="auto"/>
              <w:bottom w:val="single" w:sz="4" w:space="0" w:color="auto"/>
            </w:tcBorders>
            <w:vAlign w:val="bottom"/>
          </w:tcPr>
          <w:p w:rsidR="002830EE" w:rsidRPr="002C3B74" w:rsidRDefault="00800B13" w:rsidP="00655A9C">
            <w:pPr>
              <w:tabs>
                <w:tab w:val="center" w:pos="4536"/>
                <w:tab w:val="right" w:pos="9072"/>
              </w:tabs>
              <w:jc w:val="right"/>
              <w:rPr>
                <w:rFonts w:ascii="Arial" w:hAnsi="Arial" w:cs="Arial"/>
                <w:sz w:val="16"/>
                <w:szCs w:val="16"/>
              </w:rPr>
            </w:pPr>
            <w:r>
              <w:rPr>
                <w:rFonts w:ascii="Arial" w:hAnsi="Arial" w:cs="Arial"/>
                <w:color w:val="000000"/>
                <w:sz w:val="16"/>
                <w:szCs w:val="16"/>
              </w:rPr>
              <w:t>198</w:t>
            </w:r>
          </w:p>
        </w:tc>
        <w:tc>
          <w:tcPr>
            <w:tcW w:w="840" w:type="dxa"/>
            <w:tcBorders>
              <w:top w:val="single" w:sz="4" w:space="0" w:color="auto"/>
              <w:bottom w:val="single" w:sz="4" w:space="0" w:color="auto"/>
              <w:right w:val="single" w:sz="4" w:space="0" w:color="auto"/>
            </w:tcBorders>
            <w:vAlign w:val="bottom"/>
          </w:tcPr>
          <w:p w:rsidR="002830EE" w:rsidRPr="002C3B74" w:rsidRDefault="00800B13">
            <w:pPr>
              <w:tabs>
                <w:tab w:val="center" w:pos="4536"/>
                <w:tab w:val="right" w:pos="9072"/>
              </w:tabs>
              <w:jc w:val="right"/>
              <w:rPr>
                <w:rFonts w:ascii="Arial" w:hAnsi="Arial" w:cs="Arial"/>
                <w:sz w:val="16"/>
                <w:szCs w:val="16"/>
              </w:rPr>
            </w:pPr>
            <w:r>
              <w:rPr>
                <w:rFonts w:ascii="Arial" w:hAnsi="Arial" w:cs="Arial"/>
                <w:color w:val="000000"/>
                <w:sz w:val="16"/>
                <w:szCs w:val="16"/>
              </w:rPr>
              <w:t>118</w:t>
            </w:r>
          </w:p>
        </w:tc>
        <w:tc>
          <w:tcPr>
            <w:tcW w:w="720" w:type="dxa"/>
            <w:tcBorders>
              <w:top w:val="single" w:sz="4" w:space="0" w:color="auto"/>
              <w:left w:val="single" w:sz="4" w:space="0" w:color="auto"/>
              <w:bottom w:val="single" w:sz="4" w:space="0" w:color="auto"/>
              <w:right w:val="single" w:sz="12" w:space="0" w:color="auto"/>
            </w:tcBorders>
            <w:vAlign w:val="bottom"/>
          </w:tcPr>
          <w:p w:rsidR="002830EE" w:rsidRPr="002C3B74" w:rsidRDefault="00800B13" w:rsidP="000A5B02">
            <w:pPr>
              <w:pStyle w:val="Zkladntext"/>
              <w:tabs>
                <w:tab w:val="center" w:pos="4536"/>
                <w:tab w:val="right" w:pos="9072"/>
              </w:tabs>
              <w:jc w:val="right"/>
              <w:rPr>
                <w:rFonts w:ascii="Arial" w:hAnsi="Arial" w:cs="Arial"/>
                <w:sz w:val="16"/>
                <w:szCs w:val="16"/>
              </w:rPr>
            </w:pPr>
            <w:r>
              <w:rPr>
                <w:rFonts w:ascii="Arial" w:hAnsi="Arial" w:cs="Arial"/>
                <w:color w:val="000000"/>
                <w:sz w:val="16"/>
                <w:szCs w:val="16"/>
              </w:rPr>
              <w:t>59,6</w:t>
            </w:r>
          </w:p>
        </w:tc>
        <w:tc>
          <w:tcPr>
            <w:tcW w:w="840" w:type="dxa"/>
            <w:tcBorders>
              <w:top w:val="single" w:sz="4" w:space="0" w:color="auto"/>
              <w:left w:val="single" w:sz="12" w:space="0" w:color="auto"/>
              <w:bottom w:val="single" w:sz="4" w:space="0" w:color="auto"/>
            </w:tcBorders>
            <w:vAlign w:val="bottom"/>
          </w:tcPr>
          <w:p w:rsidR="002830EE" w:rsidRPr="002C3B74" w:rsidRDefault="00800B13" w:rsidP="000A5B02">
            <w:pPr>
              <w:tabs>
                <w:tab w:val="center" w:pos="4536"/>
                <w:tab w:val="right" w:pos="9072"/>
              </w:tabs>
              <w:jc w:val="right"/>
              <w:rPr>
                <w:rFonts w:ascii="Arial" w:hAnsi="Arial" w:cs="Arial"/>
                <w:sz w:val="16"/>
                <w:szCs w:val="16"/>
              </w:rPr>
            </w:pPr>
            <w:r>
              <w:rPr>
                <w:rFonts w:ascii="Arial" w:hAnsi="Arial" w:cs="Arial"/>
                <w:color w:val="000000"/>
                <w:sz w:val="16"/>
                <w:szCs w:val="16"/>
              </w:rPr>
              <w:t>348</w:t>
            </w:r>
          </w:p>
        </w:tc>
        <w:tc>
          <w:tcPr>
            <w:tcW w:w="840" w:type="dxa"/>
            <w:tcBorders>
              <w:top w:val="single" w:sz="4" w:space="0" w:color="auto"/>
              <w:bottom w:val="single" w:sz="4" w:space="0" w:color="auto"/>
            </w:tcBorders>
            <w:vAlign w:val="bottom"/>
          </w:tcPr>
          <w:p w:rsidR="002830EE" w:rsidRPr="002C3B74" w:rsidRDefault="00800B13" w:rsidP="000A5B02">
            <w:pPr>
              <w:tabs>
                <w:tab w:val="center" w:pos="4536"/>
                <w:tab w:val="right" w:pos="9072"/>
              </w:tabs>
              <w:jc w:val="right"/>
              <w:rPr>
                <w:rFonts w:ascii="Arial" w:hAnsi="Arial" w:cs="Arial"/>
                <w:sz w:val="16"/>
                <w:szCs w:val="16"/>
              </w:rPr>
            </w:pPr>
            <w:r>
              <w:rPr>
                <w:rFonts w:ascii="Arial" w:hAnsi="Arial" w:cs="Arial"/>
                <w:color w:val="000000"/>
                <w:sz w:val="16"/>
                <w:szCs w:val="16"/>
              </w:rPr>
              <w:t>327</w:t>
            </w:r>
          </w:p>
        </w:tc>
        <w:tc>
          <w:tcPr>
            <w:tcW w:w="720" w:type="dxa"/>
            <w:tcBorders>
              <w:top w:val="single" w:sz="4" w:space="0" w:color="auto"/>
              <w:bottom w:val="single" w:sz="4" w:space="0" w:color="auto"/>
            </w:tcBorders>
            <w:vAlign w:val="bottom"/>
          </w:tcPr>
          <w:p w:rsidR="002830EE" w:rsidRPr="002C3B74" w:rsidRDefault="00800B13" w:rsidP="000A5B02">
            <w:pPr>
              <w:tabs>
                <w:tab w:val="center" w:pos="4536"/>
                <w:tab w:val="right" w:pos="9072"/>
              </w:tabs>
              <w:jc w:val="right"/>
              <w:rPr>
                <w:rFonts w:ascii="Arial" w:hAnsi="Arial" w:cs="Arial"/>
                <w:sz w:val="16"/>
                <w:szCs w:val="16"/>
              </w:rPr>
            </w:pPr>
            <w:r>
              <w:rPr>
                <w:rFonts w:ascii="Arial" w:hAnsi="Arial" w:cs="Arial"/>
                <w:color w:val="000000"/>
                <w:sz w:val="16"/>
                <w:szCs w:val="16"/>
              </w:rPr>
              <w:t>94,0</w:t>
            </w:r>
          </w:p>
        </w:tc>
      </w:tr>
      <w:tr w:rsidR="002830EE" w:rsidRPr="00F83D7E">
        <w:trPr>
          <w:trHeight w:val="329"/>
        </w:trPr>
        <w:tc>
          <w:tcPr>
            <w:tcW w:w="1800" w:type="dxa"/>
            <w:tcBorders>
              <w:top w:val="single" w:sz="4" w:space="0" w:color="auto"/>
              <w:bottom w:val="single" w:sz="4" w:space="0" w:color="auto"/>
              <w:right w:val="single" w:sz="12" w:space="0" w:color="auto"/>
            </w:tcBorders>
            <w:vAlign w:val="bottom"/>
          </w:tcPr>
          <w:p w:rsidR="002830EE" w:rsidRPr="00F37D3F" w:rsidRDefault="002830EE">
            <w:pPr>
              <w:pStyle w:val="Zkladntext"/>
              <w:rPr>
                <w:rFonts w:ascii="Arial" w:hAnsi="Arial" w:cs="Arial"/>
                <w:sz w:val="16"/>
                <w:szCs w:val="16"/>
              </w:rPr>
            </w:pPr>
            <w:r w:rsidRPr="00DF48FF">
              <w:rPr>
                <w:rFonts w:ascii="Arial" w:hAnsi="Arial" w:cs="Arial"/>
                <w:sz w:val="16"/>
                <w:szCs w:val="16"/>
              </w:rPr>
              <w:t>Pardubický</w:t>
            </w:r>
          </w:p>
        </w:tc>
        <w:tc>
          <w:tcPr>
            <w:tcW w:w="840" w:type="dxa"/>
            <w:tcBorders>
              <w:left w:val="single" w:sz="12" w:space="0" w:color="auto"/>
            </w:tcBorders>
            <w:vAlign w:val="bottom"/>
          </w:tcPr>
          <w:p w:rsidR="002830EE" w:rsidRPr="002C3B74" w:rsidRDefault="00800B13" w:rsidP="00655A9C">
            <w:pPr>
              <w:jc w:val="right"/>
              <w:rPr>
                <w:rFonts w:ascii="Arial" w:hAnsi="Arial" w:cs="Arial"/>
                <w:sz w:val="16"/>
                <w:szCs w:val="16"/>
              </w:rPr>
            </w:pPr>
            <w:r>
              <w:rPr>
                <w:rFonts w:ascii="Arial" w:hAnsi="Arial" w:cs="Arial"/>
                <w:color w:val="000000"/>
                <w:sz w:val="16"/>
                <w:szCs w:val="16"/>
              </w:rPr>
              <w:t>527</w:t>
            </w:r>
          </w:p>
        </w:tc>
        <w:tc>
          <w:tcPr>
            <w:tcW w:w="840" w:type="dxa"/>
            <w:tcBorders>
              <w:top w:val="single" w:sz="4" w:space="0" w:color="auto"/>
              <w:bottom w:val="single" w:sz="4" w:space="0" w:color="auto"/>
            </w:tcBorders>
            <w:vAlign w:val="bottom"/>
          </w:tcPr>
          <w:p w:rsidR="002830EE" w:rsidRPr="002C3B74" w:rsidRDefault="00800B13" w:rsidP="00655A9C">
            <w:pPr>
              <w:jc w:val="right"/>
              <w:rPr>
                <w:rFonts w:ascii="Arial" w:hAnsi="Arial" w:cs="Arial"/>
                <w:sz w:val="16"/>
                <w:szCs w:val="16"/>
              </w:rPr>
            </w:pPr>
            <w:r>
              <w:rPr>
                <w:rFonts w:ascii="Arial" w:hAnsi="Arial" w:cs="Arial"/>
                <w:color w:val="000000"/>
                <w:sz w:val="16"/>
                <w:szCs w:val="16"/>
              </w:rPr>
              <w:t>423</w:t>
            </w:r>
          </w:p>
        </w:tc>
        <w:tc>
          <w:tcPr>
            <w:tcW w:w="720" w:type="dxa"/>
            <w:tcBorders>
              <w:top w:val="single" w:sz="4" w:space="0" w:color="auto"/>
              <w:bottom w:val="single" w:sz="4" w:space="0" w:color="auto"/>
              <w:right w:val="single" w:sz="12" w:space="0" w:color="auto"/>
            </w:tcBorders>
            <w:vAlign w:val="bottom"/>
          </w:tcPr>
          <w:p w:rsidR="002830EE" w:rsidRPr="002C3B74" w:rsidRDefault="00800B13" w:rsidP="00655A9C">
            <w:pPr>
              <w:jc w:val="right"/>
              <w:rPr>
                <w:rFonts w:ascii="Arial" w:hAnsi="Arial" w:cs="Arial"/>
                <w:sz w:val="16"/>
                <w:szCs w:val="16"/>
              </w:rPr>
            </w:pPr>
            <w:r>
              <w:rPr>
                <w:rFonts w:ascii="Arial" w:hAnsi="Arial" w:cs="Arial"/>
                <w:color w:val="000000"/>
                <w:sz w:val="16"/>
                <w:szCs w:val="16"/>
              </w:rPr>
              <w:t>80,3</w:t>
            </w:r>
          </w:p>
        </w:tc>
        <w:tc>
          <w:tcPr>
            <w:tcW w:w="840" w:type="dxa"/>
            <w:tcBorders>
              <w:top w:val="single" w:sz="4" w:space="0" w:color="auto"/>
              <w:left w:val="single" w:sz="12" w:space="0" w:color="auto"/>
              <w:bottom w:val="single" w:sz="4" w:space="0" w:color="auto"/>
            </w:tcBorders>
            <w:vAlign w:val="bottom"/>
          </w:tcPr>
          <w:p w:rsidR="002830EE" w:rsidRPr="002C3B74" w:rsidRDefault="00800B13" w:rsidP="00655A9C">
            <w:pPr>
              <w:jc w:val="right"/>
              <w:rPr>
                <w:rFonts w:ascii="Arial" w:hAnsi="Arial" w:cs="Arial"/>
                <w:sz w:val="16"/>
                <w:szCs w:val="16"/>
              </w:rPr>
            </w:pPr>
            <w:r>
              <w:rPr>
                <w:rFonts w:ascii="Arial" w:hAnsi="Arial" w:cs="Arial"/>
                <w:color w:val="000000"/>
                <w:sz w:val="16"/>
                <w:szCs w:val="16"/>
              </w:rPr>
              <w:t>205</w:t>
            </w:r>
          </w:p>
        </w:tc>
        <w:tc>
          <w:tcPr>
            <w:tcW w:w="840" w:type="dxa"/>
            <w:tcBorders>
              <w:top w:val="single" w:sz="4" w:space="0" w:color="auto"/>
              <w:bottom w:val="single" w:sz="4" w:space="0" w:color="auto"/>
              <w:right w:val="single" w:sz="4" w:space="0" w:color="auto"/>
            </w:tcBorders>
            <w:vAlign w:val="bottom"/>
          </w:tcPr>
          <w:p w:rsidR="002830EE" w:rsidRPr="002C3B74" w:rsidRDefault="00800B13" w:rsidP="00655A9C">
            <w:pPr>
              <w:jc w:val="right"/>
              <w:rPr>
                <w:rFonts w:ascii="Arial" w:hAnsi="Arial" w:cs="Arial"/>
                <w:sz w:val="16"/>
                <w:szCs w:val="16"/>
              </w:rPr>
            </w:pPr>
            <w:r>
              <w:rPr>
                <w:rFonts w:ascii="Arial" w:hAnsi="Arial" w:cs="Arial"/>
                <w:color w:val="000000"/>
                <w:sz w:val="16"/>
                <w:szCs w:val="16"/>
              </w:rPr>
              <w:t>122</w:t>
            </w:r>
          </w:p>
        </w:tc>
        <w:tc>
          <w:tcPr>
            <w:tcW w:w="720" w:type="dxa"/>
            <w:tcBorders>
              <w:top w:val="single" w:sz="4" w:space="0" w:color="auto"/>
              <w:left w:val="single" w:sz="4" w:space="0" w:color="auto"/>
              <w:bottom w:val="single" w:sz="4" w:space="0" w:color="auto"/>
              <w:right w:val="single" w:sz="12" w:space="0" w:color="auto"/>
            </w:tcBorders>
            <w:vAlign w:val="bottom"/>
          </w:tcPr>
          <w:p w:rsidR="002830EE" w:rsidRPr="002C3B74" w:rsidRDefault="00800B13" w:rsidP="000A5B02">
            <w:pPr>
              <w:pStyle w:val="Zkladntext"/>
              <w:jc w:val="right"/>
              <w:rPr>
                <w:rFonts w:ascii="Arial" w:hAnsi="Arial" w:cs="Arial"/>
                <w:sz w:val="16"/>
                <w:szCs w:val="16"/>
              </w:rPr>
            </w:pPr>
            <w:r>
              <w:rPr>
                <w:rFonts w:ascii="Arial" w:hAnsi="Arial" w:cs="Arial"/>
                <w:color w:val="000000"/>
                <w:sz w:val="16"/>
                <w:szCs w:val="16"/>
              </w:rPr>
              <w:t>59,5</w:t>
            </w:r>
          </w:p>
        </w:tc>
        <w:tc>
          <w:tcPr>
            <w:tcW w:w="840" w:type="dxa"/>
            <w:tcBorders>
              <w:top w:val="single" w:sz="4" w:space="0" w:color="auto"/>
              <w:left w:val="single" w:sz="12" w:space="0" w:color="auto"/>
              <w:bottom w:val="single" w:sz="4" w:space="0" w:color="auto"/>
            </w:tcBorders>
            <w:vAlign w:val="bottom"/>
          </w:tcPr>
          <w:p w:rsidR="002830EE" w:rsidRPr="002C3B74" w:rsidRDefault="00800B13" w:rsidP="000A5B02">
            <w:pPr>
              <w:jc w:val="right"/>
              <w:rPr>
                <w:rFonts w:ascii="Arial" w:hAnsi="Arial" w:cs="Arial"/>
                <w:sz w:val="16"/>
                <w:szCs w:val="16"/>
              </w:rPr>
            </w:pPr>
            <w:r>
              <w:rPr>
                <w:rFonts w:ascii="Arial" w:hAnsi="Arial" w:cs="Arial"/>
                <w:color w:val="000000"/>
                <w:sz w:val="16"/>
                <w:szCs w:val="16"/>
              </w:rPr>
              <w:t>322</w:t>
            </w:r>
          </w:p>
        </w:tc>
        <w:tc>
          <w:tcPr>
            <w:tcW w:w="840" w:type="dxa"/>
            <w:tcBorders>
              <w:top w:val="single" w:sz="4" w:space="0" w:color="auto"/>
              <w:bottom w:val="single" w:sz="4" w:space="0" w:color="auto"/>
            </w:tcBorders>
            <w:vAlign w:val="bottom"/>
          </w:tcPr>
          <w:p w:rsidR="002830EE" w:rsidRPr="002C3B74" w:rsidRDefault="00800B13" w:rsidP="000A5B02">
            <w:pPr>
              <w:jc w:val="right"/>
              <w:rPr>
                <w:rFonts w:ascii="Arial" w:hAnsi="Arial" w:cs="Arial"/>
                <w:sz w:val="16"/>
                <w:szCs w:val="16"/>
              </w:rPr>
            </w:pPr>
            <w:r>
              <w:rPr>
                <w:rFonts w:ascii="Arial" w:hAnsi="Arial" w:cs="Arial"/>
                <w:color w:val="000000"/>
                <w:sz w:val="16"/>
                <w:szCs w:val="16"/>
              </w:rPr>
              <w:t>301</w:t>
            </w:r>
          </w:p>
        </w:tc>
        <w:tc>
          <w:tcPr>
            <w:tcW w:w="720" w:type="dxa"/>
            <w:tcBorders>
              <w:top w:val="single" w:sz="4" w:space="0" w:color="auto"/>
              <w:bottom w:val="single" w:sz="4" w:space="0" w:color="auto"/>
            </w:tcBorders>
            <w:vAlign w:val="bottom"/>
          </w:tcPr>
          <w:p w:rsidR="002830EE" w:rsidRPr="002C3B74" w:rsidRDefault="00800B13" w:rsidP="000A5B02">
            <w:pPr>
              <w:jc w:val="right"/>
              <w:rPr>
                <w:rFonts w:ascii="Arial" w:hAnsi="Arial" w:cs="Arial"/>
                <w:sz w:val="16"/>
                <w:szCs w:val="16"/>
              </w:rPr>
            </w:pPr>
            <w:r>
              <w:rPr>
                <w:rFonts w:ascii="Arial" w:hAnsi="Arial" w:cs="Arial"/>
                <w:color w:val="000000"/>
                <w:sz w:val="16"/>
                <w:szCs w:val="16"/>
              </w:rPr>
              <w:t>93,5</w:t>
            </w:r>
          </w:p>
        </w:tc>
      </w:tr>
      <w:tr w:rsidR="002830EE" w:rsidRPr="00F83D7E">
        <w:trPr>
          <w:trHeight w:val="329"/>
        </w:trPr>
        <w:tc>
          <w:tcPr>
            <w:tcW w:w="1800" w:type="dxa"/>
            <w:tcBorders>
              <w:top w:val="single" w:sz="4" w:space="0" w:color="auto"/>
              <w:bottom w:val="single" w:sz="4" w:space="0" w:color="auto"/>
              <w:right w:val="single" w:sz="12" w:space="0" w:color="auto"/>
            </w:tcBorders>
            <w:vAlign w:val="bottom"/>
          </w:tcPr>
          <w:p w:rsidR="002830EE" w:rsidRPr="00F37D3F" w:rsidRDefault="002830EE">
            <w:pPr>
              <w:pStyle w:val="Zkladntext"/>
              <w:rPr>
                <w:rFonts w:ascii="Arial" w:hAnsi="Arial" w:cs="Arial"/>
                <w:sz w:val="16"/>
                <w:szCs w:val="16"/>
              </w:rPr>
            </w:pPr>
            <w:r w:rsidRPr="00DF48FF">
              <w:rPr>
                <w:rFonts w:ascii="Arial" w:hAnsi="Arial" w:cs="Arial"/>
                <w:sz w:val="16"/>
                <w:szCs w:val="16"/>
              </w:rPr>
              <w:t>Vysočina</w:t>
            </w:r>
          </w:p>
        </w:tc>
        <w:tc>
          <w:tcPr>
            <w:tcW w:w="840" w:type="dxa"/>
            <w:tcBorders>
              <w:left w:val="single" w:sz="12" w:space="0" w:color="auto"/>
            </w:tcBorders>
            <w:vAlign w:val="bottom"/>
          </w:tcPr>
          <w:p w:rsidR="002830EE" w:rsidRPr="002C3B74" w:rsidRDefault="00800B13" w:rsidP="00655A9C">
            <w:pPr>
              <w:jc w:val="right"/>
              <w:rPr>
                <w:rFonts w:ascii="Arial" w:hAnsi="Arial" w:cs="Arial"/>
                <w:sz w:val="16"/>
                <w:szCs w:val="16"/>
              </w:rPr>
            </w:pPr>
            <w:r>
              <w:rPr>
                <w:rFonts w:ascii="Arial" w:hAnsi="Arial" w:cs="Arial"/>
                <w:color w:val="000000"/>
                <w:sz w:val="16"/>
                <w:szCs w:val="16"/>
              </w:rPr>
              <w:t>546</w:t>
            </w:r>
          </w:p>
        </w:tc>
        <w:tc>
          <w:tcPr>
            <w:tcW w:w="840" w:type="dxa"/>
            <w:tcBorders>
              <w:top w:val="single" w:sz="4" w:space="0" w:color="auto"/>
              <w:bottom w:val="single" w:sz="4" w:space="0" w:color="auto"/>
            </w:tcBorders>
            <w:vAlign w:val="bottom"/>
          </w:tcPr>
          <w:p w:rsidR="002830EE" w:rsidRPr="002C3B74" w:rsidRDefault="00800B13" w:rsidP="00655A9C">
            <w:pPr>
              <w:jc w:val="right"/>
              <w:rPr>
                <w:rFonts w:ascii="Arial" w:hAnsi="Arial" w:cs="Arial"/>
                <w:sz w:val="16"/>
                <w:szCs w:val="16"/>
              </w:rPr>
            </w:pPr>
            <w:r>
              <w:rPr>
                <w:rFonts w:ascii="Arial" w:hAnsi="Arial" w:cs="Arial"/>
                <w:color w:val="000000"/>
                <w:sz w:val="16"/>
                <w:szCs w:val="16"/>
              </w:rPr>
              <w:t>452</w:t>
            </w:r>
          </w:p>
        </w:tc>
        <w:tc>
          <w:tcPr>
            <w:tcW w:w="720" w:type="dxa"/>
            <w:tcBorders>
              <w:top w:val="single" w:sz="4" w:space="0" w:color="auto"/>
              <w:bottom w:val="single" w:sz="4" w:space="0" w:color="auto"/>
              <w:right w:val="single" w:sz="12" w:space="0" w:color="auto"/>
            </w:tcBorders>
            <w:vAlign w:val="bottom"/>
          </w:tcPr>
          <w:p w:rsidR="002830EE" w:rsidRPr="002C3B74" w:rsidRDefault="00800B13" w:rsidP="00655A9C">
            <w:pPr>
              <w:jc w:val="right"/>
              <w:rPr>
                <w:rFonts w:ascii="Arial" w:hAnsi="Arial" w:cs="Arial"/>
                <w:sz w:val="16"/>
                <w:szCs w:val="16"/>
              </w:rPr>
            </w:pPr>
            <w:r>
              <w:rPr>
                <w:rFonts w:ascii="Arial" w:hAnsi="Arial" w:cs="Arial"/>
                <w:color w:val="000000"/>
                <w:sz w:val="16"/>
                <w:szCs w:val="16"/>
              </w:rPr>
              <w:t>82,8</w:t>
            </w:r>
          </w:p>
        </w:tc>
        <w:tc>
          <w:tcPr>
            <w:tcW w:w="840" w:type="dxa"/>
            <w:tcBorders>
              <w:top w:val="single" w:sz="4" w:space="0" w:color="auto"/>
              <w:left w:val="single" w:sz="12" w:space="0" w:color="auto"/>
              <w:bottom w:val="single" w:sz="4" w:space="0" w:color="auto"/>
            </w:tcBorders>
            <w:vAlign w:val="bottom"/>
          </w:tcPr>
          <w:p w:rsidR="002830EE" w:rsidRPr="002C3B74" w:rsidRDefault="00800B13" w:rsidP="00655A9C">
            <w:pPr>
              <w:jc w:val="right"/>
              <w:rPr>
                <w:rFonts w:ascii="Arial" w:hAnsi="Arial" w:cs="Arial"/>
                <w:sz w:val="16"/>
                <w:szCs w:val="16"/>
              </w:rPr>
            </w:pPr>
            <w:r>
              <w:rPr>
                <w:rFonts w:ascii="Arial" w:hAnsi="Arial" w:cs="Arial"/>
                <w:color w:val="000000"/>
                <w:sz w:val="16"/>
                <w:szCs w:val="16"/>
              </w:rPr>
              <w:t>202</w:t>
            </w:r>
          </w:p>
        </w:tc>
        <w:tc>
          <w:tcPr>
            <w:tcW w:w="840" w:type="dxa"/>
            <w:tcBorders>
              <w:top w:val="single" w:sz="4" w:space="0" w:color="auto"/>
              <w:bottom w:val="single" w:sz="4" w:space="0" w:color="auto"/>
              <w:right w:val="single" w:sz="4" w:space="0" w:color="auto"/>
            </w:tcBorders>
            <w:vAlign w:val="bottom"/>
          </w:tcPr>
          <w:p w:rsidR="002830EE" w:rsidRPr="002C3B74" w:rsidRDefault="00800B13">
            <w:pPr>
              <w:jc w:val="right"/>
              <w:rPr>
                <w:rFonts w:ascii="Arial" w:hAnsi="Arial" w:cs="Arial"/>
                <w:sz w:val="16"/>
                <w:szCs w:val="16"/>
              </w:rPr>
            </w:pPr>
            <w:r>
              <w:rPr>
                <w:rFonts w:ascii="Arial" w:hAnsi="Arial" w:cs="Arial"/>
                <w:color w:val="000000"/>
                <w:sz w:val="16"/>
                <w:szCs w:val="16"/>
              </w:rPr>
              <w:t>131</w:t>
            </w:r>
          </w:p>
        </w:tc>
        <w:tc>
          <w:tcPr>
            <w:tcW w:w="720" w:type="dxa"/>
            <w:tcBorders>
              <w:top w:val="single" w:sz="4" w:space="0" w:color="auto"/>
              <w:left w:val="single" w:sz="4" w:space="0" w:color="auto"/>
              <w:bottom w:val="single" w:sz="4" w:space="0" w:color="auto"/>
              <w:right w:val="single" w:sz="12" w:space="0" w:color="auto"/>
            </w:tcBorders>
            <w:vAlign w:val="bottom"/>
          </w:tcPr>
          <w:p w:rsidR="002830EE" w:rsidRPr="002C3B74" w:rsidRDefault="00800B13" w:rsidP="000A5B02">
            <w:pPr>
              <w:pStyle w:val="Zkladntext"/>
              <w:jc w:val="right"/>
              <w:rPr>
                <w:rFonts w:ascii="Arial" w:hAnsi="Arial" w:cs="Arial"/>
                <w:sz w:val="16"/>
                <w:szCs w:val="16"/>
              </w:rPr>
            </w:pPr>
            <w:r>
              <w:rPr>
                <w:rFonts w:ascii="Arial" w:hAnsi="Arial" w:cs="Arial"/>
                <w:color w:val="000000"/>
                <w:sz w:val="16"/>
                <w:szCs w:val="16"/>
              </w:rPr>
              <w:t>64,9</w:t>
            </w:r>
          </w:p>
        </w:tc>
        <w:tc>
          <w:tcPr>
            <w:tcW w:w="840" w:type="dxa"/>
            <w:tcBorders>
              <w:top w:val="single" w:sz="4" w:space="0" w:color="auto"/>
              <w:left w:val="single" w:sz="12" w:space="0" w:color="auto"/>
              <w:bottom w:val="single" w:sz="4" w:space="0" w:color="auto"/>
            </w:tcBorders>
            <w:vAlign w:val="bottom"/>
          </w:tcPr>
          <w:p w:rsidR="002830EE" w:rsidRPr="002C3B74" w:rsidRDefault="00800B13" w:rsidP="000A5B02">
            <w:pPr>
              <w:jc w:val="right"/>
              <w:rPr>
                <w:rFonts w:ascii="Arial" w:hAnsi="Arial" w:cs="Arial"/>
                <w:sz w:val="16"/>
                <w:szCs w:val="16"/>
              </w:rPr>
            </w:pPr>
            <w:r>
              <w:rPr>
                <w:rFonts w:ascii="Arial" w:hAnsi="Arial" w:cs="Arial"/>
                <w:color w:val="000000"/>
                <w:sz w:val="16"/>
                <w:szCs w:val="16"/>
              </w:rPr>
              <w:t>344</w:t>
            </w:r>
          </w:p>
        </w:tc>
        <w:tc>
          <w:tcPr>
            <w:tcW w:w="840" w:type="dxa"/>
            <w:tcBorders>
              <w:top w:val="single" w:sz="4" w:space="0" w:color="auto"/>
              <w:bottom w:val="single" w:sz="4" w:space="0" w:color="auto"/>
            </w:tcBorders>
            <w:vAlign w:val="bottom"/>
          </w:tcPr>
          <w:p w:rsidR="002830EE" w:rsidRPr="002C3B74" w:rsidRDefault="00800B13" w:rsidP="000A5B02">
            <w:pPr>
              <w:jc w:val="right"/>
              <w:rPr>
                <w:rFonts w:ascii="Arial" w:hAnsi="Arial" w:cs="Arial"/>
                <w:sz w:val="16"/>
                <w:szCs w:val="16"/>
              </w:rPr>
            </w:pPr>
            <w:r>
              <w:rPr>
                <w:rFonts w:ascii="Arial" w:hAnsi="Arial" w:cs="Arial"/>
                <w:color w:val="000000"/>
                <w:sz w:val="16"/>
                <w:szCs w:val="16"/>
              </w:rPr>
              <w:t>321</w:t>
            </w:r>
          </w:p>
        </w:tc>
        <w:tc>
          <w:tcPr>
            <w:tcW w:w="720" w:type="dxa"/>
            <w:tcBorders>
              <w:top w:val="single" w:sz="4" w:space="0" w:color="auto"/>
              <w:bottom w:val="single" w:sz="4" w:space="0" w:color="auto"/>
            </w:tcBorders>
            <w:vAlign w:val="bottom"/>
          </w:tcPr>
          <w:p w:rsidR="002830EE" w:rsidRPr="002C3B74" w:rsidRDefault="00800B13" w:rsidP="000A5B02">
            <w:pPr>
              <w:jc w:val="right"/>
              <w:rPr>
                <w:rFonts w:ascii="Arial" w:hAnsi="Arial" w:cs="Arial"/>
                <w:sz w:val="16"/>
                <w:szCs w:val="16"/>
              </w:rPr>
            </w:pPr>
            <w:r>
              <w:rPr>
                <w:rFonts w:ascii="Arial" w:hAnsi="Arial" w:cs="Arial"/>
                <w:color w:val="000000"/>
                <w:sz w:val="16"/>
                <w:szCs w:val="16"/>
              </w:rPr>
              <w:t>93,3</w:t>
            </w:r>
          </w:p>
        </w:tc>
      </w:tr>
      <w:tr w:rsidR="002830EE" w:rsidRPr="00F83D7E">
        <w:trPr>
          <w:trHeight w:val="329"/>
        </w:trPr>
        <w:tc>
          <w:tcPr>
            <w:tcW w:w="1800" w:type="dxa"/>
            <w:tcBorders>
              <w:top w:val="single" w:sz="4" w:space="0" w:color="auto"/>
              <w:bottom w:val="single" w:sz="4" w:space="0" w:color="auto"/>
              <w:right w:val="single" w:sz="12" w:space="0" w:color="auto"/>
            </w:tcBorders>
            <w:vAlign w:val="bottom"/>
          </w:tcPr>
          <w:p w:rsidR="002830EE" w:rsidRPr="00F37D3F" w:rsidRDefault="002830EE">
            <w:pPr>
              <w:pStyle w:val="Zkladntext"/>
              <w:rPr>
                <w:rFonts w:ascii="Arial" w:hAnsi="Arial" w:cs="Arial"/>
                <w:sz w:val="16"/>
                <w:szCs w:val="16"/>
              </w:rPr>
            </w:pPr>
            <w:r w:rsidRPr="00DF48FF">
              <w:rPr>
                <w:rFonts w:ascii="Arial" w:hAnsi="Arial" w:cs="Arial"/>
                <w:sz w:val="16"/>
                <w:szCs w:val="16"/>
              </w:rPr>
              <w:t>Jihomoravský</w:t>
            </w:r>
          </w:p>
        </w:tc>
        <w:tc>
          <w:tcPr>
            <w:tcW w:w="840" w:type="dxa"/>
            <w:tcBorders>
              <w:left w:val="single" w:sz="12" w:space="0" w:color="auto"/>
            </w:tcBorders>
            <w:vAlign w:val="bottom"/>
          </w:tcPr>
          <w:p w:rsidR="002830EE" w:rsidRPr="002C3B74" w:rsidRDefault="00800B13" w:rsidP="00655A9C">
            <w:pPr>
              <w:tabs>
                <w:tab w:val="center" w:pos="4536"/>
                <w:tab w:val="right" w:pos="9072"/>
              </w:tabs>
              <w:jc w:val="right"/>
              <w:rPr>
                <w:rFonts w:ascii="Arial" w:hAnsi="Arial" w:cs="Arial"/>
                <w:sz w:val="16"/>
                <w:szCs w:val="16"/>
              </w:rPr>
            </w:pPr>
            <w:r>
              <w:rPr>
                <w:rFonts w:ascii="Arial" w:hAnsi="Arial" w:cs="Arial"/>
                <w:color w:val="000000"/>
                <w:sz w:val="16"/>
                <w:szCs w:val="16"/>
              </w:rPr>
              <w:t>1 251</w:t>
            </w:r>
          </w:p>
        </w:tc>
        <w:tc>
          <w:tcPr>
            <w:tcW w:w="840" w:type="dxa"/>
            <w:tcBorders>
              <w:top w:val="single" w:sz="4" w:space="0" w:color="auto"/>
              <w:bottom w:val="single" w:sz="4" w:space="0" w:color="auto"/>
            </w:tcBorders>
            <w:vAlign w:val="bottom"/>
          </w:tcPr>
          <w:p w:rsidR="002830EE" w:rsidRPr="002C3B74" w:rsidRDefault="00800B13" w:rsidP="00655A9C">
            <w:pPr>
              <w:tabs>
                <w:tab w:val="center" w:pos="4536"/>
                <w:tab w:val="right" w:pos="9072"/>
              </w:tabs>
              <w:jc w:val="right"/>
              <w:rPr>
                <w:rFonts w:ascii="Arial" w:hAnsi="Arial" w:cs="Arial"/>
                <w:sz w:val="16"/>
                <w:szCs w:val="16"/>
              </w:rPr>
            </w:pPr>
            <w:r>
              <w:rPr>
                <w:rFonts w:ascii="Arial" w:hAnsi="Arial" w:cs="Arial"/>
                <w:color w:val="000000"/>
                <w:sz w:val="16"/>
                <w:szCs w:val="16"/>
              </w:rPr>
              <w:t>1 018</w:t>
            </w:r>
          </w:p>
        </w:tc>
        <w:tc>
          <w:tcPr>
            <w:tcW w:w="720" w:type="dxa"/>
            <w:tcBorders>
              <w:top w:val="single" w:sz="4" w:space="0" w:color="auto"/>
              <w:bottom w:val="single" w:sz="4" w:space="0" w:color="auto"/>
              <w:right w:val="single" w:sz="12" w:space="0" w:color="auto"/>
            </w:tcBorders>
            <w:vAlign w:val="bottom"/>
          </w:tcPr>
          <w:p w:rsidR="002830EE" w:rsidRPr="002C3B74" w:rsidRDefault="00800B13" w:rsidP="00655A9C">
            <w:pPr>
              <w:tabs>
                <w:tab w:val="center" w:pos="4536"/>
                <w:tab w:val="right" w:pos="9072"/>
              </w:tabs>
              <w:jc w:val="right"/>
              <w:rPr>
                <w:rFonts w:ascii="Arial" w:hAnsi="Arial" w:cs="Arial"/>
                <w:sz w:val="16"/>
                <w:szCs w:val="16"/>
              </w:rPr>
            </w:pPr>
            <w:r>
              <w:rPr>
                <w:rFonts w:ascii="Arial" w:hAnsi="Arial" w:cs="Arial"/>
                <w:color w:val="000000"/>
                <w:sz w:val="16"/>
                <w:szCs w:val="16"/>
              </w:rPr>
              <w:t>81,4</w:t>
            </w:r>
          </w:p>
        </w:tc>
        <w:tc>
          <w:tcPr>
            <w:tcW w:w="840" w:type="dxa"/>
            <w:tcBorders>
              <w:top w:val="single" w:sz="4" w:space="0" w:color="auto"/>
              <w:left w:val="single" w:sz="12" w:space="0" w:color="auto"/>
              <w:bottom w:val="single" w:sz="4" w:space="0" w:color="auto"/>
            </w:tcBorders>
            <w:vAlign w:val="bottom"/>
          </w:tcPr>
          <w:p w:rsidR="002830EE" w:rsidRPr="002C3B74" w:rsidRDefault="00800B13" w:rsidP="00655A9C">
            <w:pPr>
              <w:tabs>
                <w:tab w:val="center" w:pos="4536"/>
                <w:tab w:val="right" w:pos="9072"/>
              </w:tabs>
              <w:jc w:val="right"/>
              <w:rPr>
                <w:rFonts w:ascii="Arial" w:hAnsi="Arial" w:cs="Arial"/>
                <w:sz w:val="16"/>
                <w:szCs w:val="16"/>
              </w:rPr>
            </w:pPr>
            <w:r>
              <w:rPr>
                <w:rFonts w:ascii="Arial" w:hAnsi="Arial" w:cs="Arial"/>
                <w:color w:val="000000"/>
                <w:sz w:val="16"/>
                <w:szCs w:val="16"/>
              </w:rPr>
              <w:t>489</w:t>
            </w:r>
          </w:p>
        </w:tc>
        <w:tc>
          <w:tcPr>
            <w:tcW w:w="840" w:type="dxa"/>
            <w:tcBorders>
              <w:top w:val="single" w:sz="4" w:space="0" w:color="auto"/>
              <w:bottom w:val="single" w:sz="4" w:space="0" w:color="auto"/>
              <w:right w:val="single" w:sz="4" w:space="0" w:color="auto"/>
            </w:tcBorders>
            <w:vAlign w:val="bottom"/>
          </w:tcPr>
          <w:p w:rsidR="002830EE" w:rsidRPr="002C3B74" w:rsidRDefault="00800B13" w:rsidP="00655A9C">
            <w:pPr>
              <w:tabs>
                <w:tab w:val="center" w:pos="4536"/>
                <w:tab w:val="right" w:pos="9072"/>
              </w:tabs>
              <w:jc w:val="right"/>
              <w:rPr>
                <w:rFonts w:ascii="Arial" w:hAnsi="Arial" w:cs="Arial"/>
                <w:sz w:val="16"/>
                <w:szCs w:val="16"/>
              </w:rPr>
            </w:pPr>
            <w:r>
              <w:rPr>
                <w:rFonts w:ascii="Arial" w:hAnsi="Arial" w:cs="Arial"/>
                <w:color w:val="000000"/>
                <w:sz w:val="16"/>
                <w:szCs w:val="16"/>
              </w:rPr>
              <w:t>290</w:t>
            </w:r>
          </w:p>
        </w:tc>
        <w:tc>
          <w:tcPr>
            <w:tcW w:w="720" w:type="dxa"/>
            <w:tcBorders>
              <w:top w:val="single" w:sz="4" w:space="0" w:color="auto"/>
              <w:left w:val="single" w:sz="4" w:space="0" w:color="auto"/>
              <w:bottom w:val="single" w:sz="4" w:space="0" w:color="auto"/>
              <w:right w:val="single" w:sz="12" w:space="0" w:color="auto"/>
            </w:tcBorders>
            <w:vAlign w:val="bottom"/>
          </w:tcPr>
          <w:p w:rsidR="002830EE" w:rsidRPr="002C3B74" w:rsidRDefault="00800B13" w:rsidP="000A5B02">
            <w:pPr>
              <w:pStyle w:val="Zkladntext"/>
              <w:tabs>
                <w:tab w:val="center" w:pos="4536"/>
                <w:tab w:val="right" w:pos="9072"/>
              </w:tabs>
              <w:jc w:val="right"/>
              <w:rPr>
                <w:rFonts w:ascii="Arial" w:hAnsi="Arial" w:cs="Arial"/>
                <w:sz w:val="16"/>
                <w:szCs w:val="16"/>
              </w:rPr>
            </w:pPr>
            <w:r>
              <w:rPr>
                <w:rFonts w:ascii="Arial" w:hAnsi="Arial" w:cs="Arial"/>
                <w:color w:val="000000"/>
                <w:sz w:val="16"/>
                <w:szCs w:val="16"/>
              </w:rPr>
              <w:t>59,3</w:t>
            </w:r>
          </w:p>
        </w:tc>
        <w:tc>
          <w:tcPr>
            <w:tcW w:w="840" w:type="dxa"/>
            <w:tcBorders>
              <w:top w:val="single" w:sz="4" w:space="0" w:color="auto"/>
              <w:left w:val="single" w:sz="12" w:space="0" w:color="auto"/>
              <w:bottom w:val="single" w:sz="4" w:space="0" w:color="auto"/>
            </w:tcBorders>
            <w:vAlign w:val="bottom"/>
          </w:tcPr>
          <w:p w:rsidR="002830EE" w:rsidRPr="002C3B74" w:rsidRDefault="00800B13" w:rsidP="000A5B02">
            <w:pPr>
              <w:tabs>
                <w:tab w:val="center" w:pos="4536"/>
                <w:tab w:val="right" w:pos="9072"/>
              </w:tabs>
              <w:jc w:val="right"/>
              <w:rPr>
                <w:rFonts w:ascii="Arial" w:hAnsi="Arial" w:cs="Arial"/>
                <w:sz w:val="16"/>
                <w:szCs w:val="16"/>
              </w:rPr>
            </w:pPr>
            <w:r>
              <w:rPr>
                <w:rFonts w:ascii="Arial" w:hAnsi="Arial" w:cs="Arial"/>
                <w:color w:val="000000"/>
                <w:sz w:val="16"/>
                <w:szCs w:val="16"/>
              </w:rPr>
              <w:t>762</w:t>
            </w:r>
          </w:p>
        </w:tc>
        <w:tc>
          <w:tcPr>
            <w:tcW w:w="840" w:type="dxa"/>
            <w:tcBorders>
              <w:top w:val="single" w:sz="4" w:space="0" w:color="auto"/>
              <w:bottom w:val="single" w:sz="4" w:space="0" w:color="auto"/>
            </w:tcBorders>
            <w:vAlign w:val="bottom"/>
          </w:tcPr>
          <w:p w:rsidR="002830EE" w:rsidRPr="002C3B74" w:rsidRDefault="00800B13" w:rsidP="000A5B02">
            <w:pPr>
              <w:tabs>
                <w:tab w:val="center" w:pos="4536"/>
                <w:tab w:val="right" w:pos="9072"/>
              </w:tabs>
              <w:jc w:val="right"/>
              <w:rPr>
                <w:rFonts w:ascii="Arial" w:hAnsi="Arial" w:cs="Arial"/>
                <w:sz w:val="16"/>
                <w:szCs w:val="16"/>
              </w:rPr>
            </w:pPr>
            <w:r>
              <w:rPr>
                <w:rFonts w:ascii="Arial" w:hAnsi="Arial" w:cs="Arial"/>
                <w:color w:val="000000"/>
                <w:sz w:val="16"/>
                <w:szCs w:val="16"/>
              </w:rPr>
              <w:t>728</w:t>
            </w:r>
          </w:p>
        </w:tc>
        <w:tc>
          <w:tcPr>
            <w:tcW w:w="720" w:type="dxa"/>
            <w:tcBorders>
              <w:top w:val="single" w:sz="4" w:space="0" w:color="auto"/>
              <w:bottom w:val="single" w:sz="4" w:space="0" w:color="auto"/>
            </w:tcBorders>
            <w:vAlign w:val="bottom"/>
          </w:tcPr>
          <w:p w:rsidR="002830EE" w:rsidRPr="002C3B74" w:rsidRDefault="00800B13" w:rsidP="000A5B02">
            <w:pPr>
              <w:tabs>
                <w:tab w:val="center" w:pos="4536"/>
                <w:tab w:val="right" w:pos="9072"/>
              </w:tabs>
              <w:jc w:val="right"/>
              <w:rPr>
                <w:rFonts w:ascii="Arial" w:hAnsi="Arial" w:cs="Arial"/>
                <w:sz w:val="16"/>
                <w:szCs w:val="16"/>
              </w:rPr>
            </w:pPr>
            <w:r>
              <w:rPr>
                <w:rFonts w:ascii="Arial" w:hAnsi="Arial" w:cs="Arial"/>
                <w:color w:val="000000"/>
                <w:sz w:val="16"/>
                <w:szCs w:val="16"/>
              </w:rPr>
              <w:t>95,5</w:t>
            </w:r>
          </w:p>
        </w:tc>
      </w:tr>
      <w:tr w:rsidR="002830EE" w:rsidRPr="00F83D7E">
        <w:trPr>
          <w:trHeight w:val="329"/>
        </w:trPr>
        <w:tc>
          <w:tcPr>
            <w:tcW w:w="1800" w:type="dxa"/>
            <w:tcBorders>
              <w:top w:val="single" w:sz="4" w:space="0" w:color="auto"/>
              <w:bottom w:val="single" w:sz="4" w:space="0" w:color="auto"/>
              <w:right w:val="single" w:sz="12" w:space="0" w:color="auto"/>
            </w:tcBorders>
            <w:vAlign w:val="bottom"/>
          </w:tcPr>
          <w:p w:rsidR="002830EE" w:rsidRPr="00F37D3F" w:rsidRDefault="002830EE">
            <w:pPr>
              <w:pStyle w:val="Zkladntext"/>
              <w:rPr>
                <w:rFonts w:ascii="Arial" w:hAnsi="Arial" w:cs="Arial"/>
                <w:sz w:val="16"/>
                <w:szCs w:val="16"/>
              </w:rPr>
            </w:pPr>
            <w:r w:rsidRPr="00DF48FF">
              <w:rPr>
                <w:rFonts w:ascii="Arial" w:hAnsi="Arial" w:cs="Arial"/>
                <w:sz w:val="16"/>
                <w:szCs w:val="16"/>
              </w:rPr>
              <w:t>Olomoucký</w:t>
            </w:r>
          </w:p>
        </w:tc>
        <w:tc>
          <w:tcPr>
            <w:tcW w:w="840" w:type="dxa"/>
            <w:tcBorders>
              <w:left w:val="single" w:sz="12" w:space="0" w:color="auto"/>
            </w:tcBorders>
            <w:vAlign w:val="bottom"/>
          </w:tcPr>
          <w:p w:rsidR="002830EE" w:rsidRPr="002C3B74" w:rsidRDefault="00800B13" w:rsidP="00655A9C">
            <w:pPr>
              <w:jc w:val="right"/>
              <w:rPr>
                <w:rFonts w:ascii="Arial" w:hAnsi="Arial" w:cs="Arial"/>
                <w:sz w:val="16"/>
                <w:szCs w:val="16"/>
              </w:rPr>
            </w:pPr>
            <w:r>
              <w:rPr>
                <w:rFonts w:ascii="Arial" w:hAnsi="Arial" w:cs="Arial"/>
                <w:color w:val="000000"/>
                <w:sz w:val="16"/>
                <w:szCs w:val="16"/>
              </w:rPr>
              <w:t>631</w:t>
            </w:r>
          </w:p>
        </w:tc>
        <w:tc>
          <w:tcPr>
            <w:tcW w:w="840" w:type="dxa"/>
            <w:tcBorders>
              <w:top w:val="single" w:sz="4" w:space="0" w:color="auto"/>
              <w:bottom w:val="single" w:sz="4" w:space="0" w:color="auto"/>
            </w:tcBorders>
            <w:vAlign w:val="bottom"/>
          </w:tcPr>
          <w:p w:rsidR="002830EE" w:rsidRPr="002C3B74" w:rsidRDefault="00800B13" w:rsidP="00655A9C">
            <w:pPr>
              <w:jc w:val="right"/>
              <w:rPr>
                <w:rFonts w:ascii="Arial" w:hAnsi="Arial" w:cs="Arial"/>
                <w:sz w:val="16"/>
                <w:szCs w:val="16"/>
              </w:rPr>
            </w:pPr>
            <w:r>
              <w:rPr>
                <w:rFonts w:ascii="Arial" w:hAnsi="Arial" w:cs="Arial"/>
                <w:color w:val="000000"/>
                <w:sz w:val="16"/>
                <w:szCs w:val="16"/>
              </w:rPr>
              <w:t>510</w:t>
            </w:r>
          </w:p>
        </w:tc>
        <w:tc>
          <w:tcPr>
            <w:tcW w:w="720" w:type="dxa"/>
            <w:tcBorders>
              <w:top w:val="single" w:sz="4" w:space="0" w:color="auto"/>
              <w:bottom w:val="single" w:sz="4" w:space="0" w:color="auto"/>
              <w:right w:val="single" w:sz="12" w:space="0" w:color="auto"/>
            </w:tcBorders>
            <w:vAlign w:val="bottom"/>
          </w:tcPr>
          <w:p w:rsidR="002830EE" w:rsidRPr="002C3B74" w:rsidRDefault="00800B13" w:rsidP="00655A9C">
            <w:pPr>
              <w:jc w:val="right"/>
              <w:rPr>
                <w:rFonts w:ascii="Arial" w:hAnsi="Arial" w:cs="Arial"/>
                <w:sz w:val="16"/>
                <w:szCs w:val="16"/>
              </w:rPr>
            </w:pPr>
            <w:r>
              <w:rPr>
                <w:rFonts w:ascii="Arial" w:hAnsi="Arial" w:cs="Arial"/>
                <w:color w:val="000000"/>
                <w:sz w:val="16"/>
                <w:szCs w:val="16"/>
              </w:rPr>
              <w:t>80,8</w:t>
            </w:r>
          </w:p>
        </w:tc>
        <w:tc>
          <w:tcPr>
            <w:tcW w:w="840" w:type="dxa"/>
            <w:tcBorders>
              <w:top w:val="single" w:sz="4" w:space="0" w:color="auto"/>
              <w:left w:val="single" w:sz="12" w:space="0" w:color="auto"/>
              <w:bottom w:val="single" w:sz="4" w:space="0" w:color="auto"/>
            </w:tcBorders>
            <w:vAlign w:val="bottom"/>
          </w:tcPr>
          <w:p w:rsidR="002830EE" w:rsidRPr="002C3B74" w:rsidRDefault="00800B13" w:rsidP="00655A9C">
            <w:pPr>
              <w:jc w:val="right"/>
              <w:rPr>
                <w:rFonts w:ascii="Arial" w:hAnsi="Arial" w:cs="Arial"/>
                <w:sz w:val="16"/>
                <w:szCs w:val="16"/>
              </w:rPr>
            </w:pPr>
            <w:r>
              <w:rPr>
                <w:rFonts w:ascii="Arial" w:hAnsi="Arial" w:cs="Arial"/>
                <w:color w:val="000000"/>
                <w:sz w:val="16"/>
                <w:szCs w:val="16"/>
              </w:rPr>
              <w:t>249</w:t>
            </w:r>
          </w:p>
        </w:tc>
        <w:tc>
          <w:tcPr>
            <w:tcW w:w="840" w:type="dxa"/>
            <w:tcBorders>
              <w:top w:val="single" w:sz="4" w:space="0" w:color="auto"/>
              <w:bottom w:val="single" w:sz="4" w:space="0" w:color="auto"/>
              <w:right w:val="single" w:sz="4" w:space="0" w:color="auto"/>
            </w:tcBorders>
            <w:vAlign w:val="bottom"/>
          </w:tcPr>
          <w:p w:rsidR="002830EE" w:rsidRPr="002C3B74" w:rsidRDefault="00800B13" w:rsidP="00655A9C">
            <w:pPr>
              <w:jc w:val="right"/>
              <w:rPr>
                <w:rFonts w:ascii="Arial" w:hAnsi="Arial" w:cs="Arial"/>
                <w:sz w:val="16"/>
                <w:szCs w:val="16"/>
              </w:rPr>
            </w:pPr>
            <w:r>
              <w:rPr>
                <w:rFonts w:ascii="Arial" w:hAnsi="Arial" w:cs="Arial"/>
                <w:color w:val="000000"/>
                <w:sz w:val="16"/>
                <w:szCs w:val="16"/>
              </w:rPr>
              <w:t>147</w:t>
            </w:r>
          </w:p>
        </w:tc>
        <w:tc>
          <w:tcPr>
            <w:tcW w:w="720" w:type="dxa"/>
            <w:tcBorders>
              <w:top w:val="single" w:sz="4" w:space="0" w:color="auto"/>
              <w:left w:val="single" w:sz="4" w:space="0" w:color="auto"/>
              <w:bottom w:val="single" w:sz="4" w:space="0" w:color="auto"/>
              <w:right w:val="single" w:sz="12" w:space="0" w:color="auto"/>
            </w:tcBorders>
            <w:vAlign w:val="bottom"/>
          </w:tcPr>
          <w:p w:rsidR="002830EE" w:rsidRPr="002C3B74" w:rsidRDefault="00800B13" w:rsidP="000A5B02">
            <w:pPr>
              <w:pStyle w:val="Zkladntext"/>
              <w:jc w:val="right"/>
              <w:rPr>
                <w:rFonts w:ascii="Arial" w:hAnsi="Arial" w:cs="Arial"/>
                <w:sz w:val="16"/>
                <w:szCs w:val="16"/>
              </w:rPr>
            </w:pPr>
            <w:r>
              <w:rPr>
                <w:rFonts w:ascii="Arial" w:hAnsi="Arial" w:cs="Arial"/>
                <w:color w:val="000000"/>
                <w:sz w:val="16"/>
                <w:szCs w:val="16"/>
              </w:rPr>
              <w:t>59,0</w:t>
            </w:r>
          </w:p>
        </w:tc>
        <w:tc>
          <w:tcPr>
            <w:tcW w:w="840" w:type="dxa"/>
            <w:tcBorders>
              <w:top w:val="single" w:sz="4" w:space="0" w:color="auto"/>
              <w:left w:val="single" w:sz="12" w:space="0" w:color="auto"/>
              <w:bottom w:val="single" w:sz="4" w:space="0" w:color="auto"/>
            </w:tcBorders>
            <w:vAlign w:val="bottom"/>
          </w:tcPr>
          <w:p w:rsidR="002830EE" w:rsidRPr="002C3B74" w:rsidRDefault="00800B13" w:rsidP="000A5B02">
            <w:pPr>
              <w:jc w:val="right"/>
              <w:rPr>
                <w:rFonts w:ascii="Arial" w:hAnsi="Arial" w:cs="Arial"/>
                <w:sz w:val="16"/>
                <w:szCs w:val="16"/>
              </w:rPr>
            </w:pPr>
            <w:r>
              <w:rPr>
                <w:rFonts w:ascii="Arial" w:hAnsi="Arial" w:cs="Arial"/>
                <w:color w:val="000000"/>
                <w:sz w:val="16"/>
                <w:szCs w:val="16"/>
              </w:rPr>
              <w:t>382</w:t>
            </w:r>
          </w:p>
        </w:tc>
        <w:tc>
          <w:tcPr>
            <w:tcW w:w="840" w:type="dxa"/>
            <w:tcBorders>
              <w:top w:val="single" w:sz="4" w:space="0" w:color="auto"/>
              <w:bottom w:val="single" w:sz="4" w:space="0" w:color="auto"/>
            </w:tcBorders>
            <w:vAlign w:val="bottom"/>
          </w:tcPr>
          <w:p w:rsidR="002830EE" w:rsidRPr="002C3B74" w:rsidRDefault="00800B13" w:rsidP="000A5B02">
            <w:pPr>
              <w:jc w:val="right"/>
              <w:rPr>
                <w:rFonts w:ascii="Arial" w:hAnsi="Arial" w:cs="Arial"/>
                <w:sz w:val="16"/>
                <w:szCs w:val="16"/>
              </w:rPr>
            </w:pPr>
            <w:r>
              <w:rPr>
                <w:rFonts w:ascii="Arial" w:hAnsi="Arial" w:cs="Arial"/>
                <w:color w:val="000000"/>
                <w:sz w:val="16"/>
                <w:szCs w:val="16"/>
              </w:rPr>
              <w:t>363</w:t>
            </w:r>
          </w:p>
        </w:tc>
        <w:tc>
          <w:tcPr>
            <w:tcW w:w="720" w:type="dxa"/>
            <w:tcBorders>
              <w:top w:val="single" w:sz="4" w:space="0" w:color="auto"/>
              <w:bottom w:val="single" w:sz="4" w:space="0" w:color="auto"/>
            </w:tcBorders>
            <w:vAlign w:val="bottom"/>
          </w:tcPr>
          <w:p w:rsidR="002830EE" w:rsidRPr="002C3B74" w:rsidRDefault="00800B13" w:rsidP="000A5B02">
            <w:pPr>
              <w:jc w:val="right"/>
              <w:rPr>
                <w:rFonts w:ascii="Arial" w:hAnsi="Arial" w:cs="Arial"/>
                <w:sz w:val="16"/>
                <w:szCs w:val="16"/>
              </w:rPr>
            </w:pPr>
            <w:r>
              <w:rPr>
                <w:rFonts w:ascii="Arial" w:hAnsi="Arial" w:cs="Arial"/>
                <w:color w:val="000000"/>
                <w:sz w:val="16"/>
                <w:szCs w:val="16"/>
              </w:rPr>
              <w:t>95,0</w:t>
            </w:r>
          </w:p>
        </w:tc>
      </w:tr>
      <w:tr w:rsidR="002830EE" w:rsidRPr="00F83D7E">
        <w:trPr>
          <w:trHeight w:val="329"/>
        </w:trPr>
        <w:tc>
          <w:tcPr>
            <w:tcW w:w="1800" w:type="dxa"/>
            <w:tcBorders>
              <w:top w:val="single" w:sz="4" w:space="0" w:color="auto"/>
              <w:bottom w:val="single" w:sz="4" w:space="0" w:color="auto"/>
              <w:right w:val="single" w:sz="12" w:space="0" w:color="auto"/>
            </w:tcBorders>
            <w:vAlign w:val="bottom"/>
          </w:tcPr>
          <w:p w:rsidR="002830EE" w:rsidRPr="00F37D3F" w:rsidRDefault="002830EE">
            <w:pPr>
              <w:pStyle w:val="Zkladntext"/>
              <w:rPr>
                <w:rFonts w:ascii="Arial" w:hAnsi="Arial" w:cs="Arial"/>
                <w:sz w:val="16"/>
                <w:szCs w:val="16"/>
              </w:rPr>
            </w:pPr>
            <w:r w:rsidRPr="00DF48FF">
              <w:rPr>
                <w:rFonts w:ascii="Arial" w:hAnsi="Arial" w:cs="Arial"/>
                <w:sz w:val="16"/>
                <w:szCs w:val="16"/>
              </w:rPr>
              <w:t>Zlínský</w:t>
            </w:r>
          </w:p>
        </w:tc>
        <w:tc>
          <w:tcPr>
            <w:tcW w:w="840" w:type="dxa"/>
            <w:tcBorders>
              <w:left w:val="single" w:sz="12" w:space="0" w:color="auto"/>
              <w:bottom w:val="single" w:sz="4" w:space="0" w:color="auto"/>
            </w:tcBorders>
            <w:vAlign w:val="bottom"/>
          </w:tcPr>
          <w:p w:rsidR="002830EE" w:rsidRPr="002C3B74" w:rsidRDefault="00800B13" w:rsidP="00655A9C">
            <w:pPr>
              <w:jc w:val="right"/>
              <w:rPr>
                <w:rFonts w:ascii="Arial" w:hAnsi="Arial" w:cs="Arial"/>
                <w:sz w:val="16"/>
                <w:szCs w:val="16"/>
              </w:rPr>
            </w:pPr>
            <w:r>
              <w:rPr>
                <w:rFonts w:ascii="Arial" w:hAnsi="Arial" w:cs="Arial"/>
                <w:color w:val="000000"/>
                <w:sz w:val="16"/>
                <w:szCs w:val="16"/>
              </w:rPr>
              <w:t>564</w:t>
            </w:r>
          </w:p>
        </w:tc>
        <w:tc>
          <w:tcPr>
            <w:tcW w:w="840" w:type="dxa"/>
            <w:tcBorders>
              <w:top w:val="single" w:sz="4" w:space="0" w:color="auto"/>
              <w:bottom w:val="single" w:sz="4" w:space="0" w:color="auto"/>
            </w:tcBorders>
            <w:vAlign w:val="bottom"/>
          </w:tcPr>
          <w:p w:rsidR="002830EE" w:rsidRPr="002C3B74" w:rsidRDefault="00800B13" w:rsidP="00655A9C">
            <w:pPr>
              <w:jc w:val="right"/>
              <w:rPr>
                <w:rFonts w:ascii="Arial" w:hAnsi="Arial" w:cs="Arial"/>
                <w:sz w:val="16"/>
                <w:szCs w:val="16"/>
              </w:rPr>
            </w:pPr>
            <w:r>
              <w:rPr>
                <w:rFonts w:ascii="Arial" w:hAnsi="Arial" w:cs="Arial"/>
                <w:color w:val="000000"/>
                <w:sz w:val="16"/>
                <w:szCs w:val="16"/>
              </w:rPr>
              <w:t>468</w:t>
            </w:r>
          </w:p>
        </w:tc>
        <w:tc>
          <w:tcPr>
            <w:tcW w:w="720" w:type="dxa"/>
            <w:tcBorders>
              <w:top w:val="single" w:sz="4" w:space="0" w:color="auto"/>
              <w:bottom w:val="single" w:sz="4" w:space="0" w:color="auto"/>
              <w:right w:val="single" w:sz="12" w:space="0" w:color="auto"/>
            </w:tcBorders>
            <w:vAlign w:val="bottom"/>
          </w:tcPr>
          <w:p w:rsidR="002830EE" w:rsidRPr="002C3B74" w:rsidRDefault="00800B13" w:rsidP="00655A9C">
            <w:pPr>
              <w:jc w:val="right"/>
              <w:rPr>
                <w:rFonts w:ascii="Arial" w:hAnsi="Arial" w:cs="Arial"/>
                <w:sz w:val="16"/>
                <w:szCs w:val="16"/>
              </w:rPr>
            </w:pPr>
            <w:r>
              <w:rPr>
                <w:rFonts w:ascii="Arial" w:hAnsi="Arial" w:cs="Arial"/>
                <w:color w:val="000000"/>
                <w:sz w:val="16"/>
                <w:szCs w:val="16"/>
              </w:rPr>
              <w:t>83,0</w:t>
            </w:r>
          </w:p>
        </w:tc>
        <w:tc>
          <w:tcPr>
            <w:tcW w:w="840" w:type="dxa"/>
            <w:tcBorders>
              <w:top w:val="single" w:sz="4" w:space="0" w:color="auto"/>
              <w:left w:val="single" w:sz="12" w:space="0" w:color="auto"/>
              <w:bottom w:val="single" w:sz="4" w:space="0" w:color="auto"/>
            </w:tcBorders>
            <w:vAlign w:val="bottom"/>
          </w:tcPr>
          <w:p w:rsidR="002830EE" w:rsidRPr="002C3B74" w:rsidRDefault="00800B13" w:rsidP="00655A9C">
            <w:pPr>
              <w:jc w:val="right"/>
              <w:rPr>
                <w:rFonts w:ascii="Arial" w:hAnsi="Arial" w:cs="Arial"/>
                <w:sz w:val="16"/>
                <w:szCs w:val="16"/>
              </w:rPr>
            </w:pPr>
            <w:r>
              <w:rPr>
                <w:rFonts w:ascii="Arial" w:hAnsi="Arial" w:cs="Arial"/>
                <w:color w:val="000000"/>
                <w:sz w:val="16"/>
                <w:szCs w:val="16"/>
              </w:rPr>
              <w:t>219</w:t>
            </w:r>
          </w:p>
        </w:tc>
        <w:tc>
          <w:tcPr>
            <w:tcW w:w="840" w:type="dxa"/>
            <w:tcBorders>
              <w:top w:val="single" w:sz="4" w:space="0" w:color="auto"/>
              <w:bottom w:val="single" w:sz="4" w:space="0" w:color="auto"/>
              <w:right w:val="single" w:sz="4" w:space="0" w:color="auto"/>
            </w:tcBorders>
            <w:vAlign w:val="bottom"/>
          </w:tcPr>
          <w:p w:rsidR="002830EE" w:rsidRPr="002C3B74" w:rsidRDefault="00800B13" w:rsidP="00655A9C">
            <w:pPr>
              <w:jc w:val="right"/>
              <w:rPr>
                <w:rFonts w:ascii="Arial" w:hAnsi="Arial" w:cs="Arial"/>
                <w:sz w:val="16"/>
                <w:szCs w:val="16"/>
              </w:rPr>
            </w:pPr>
            <w:r>
              <w:rPr>
                <w:rFonts w:ascii="Arial" w:hAnsi="Arial" w:cs="Arial"/>
                <w:color w:val="000000"/>
                <w:sz w:val="16"/>
                <w:szCs w:val="16"/>
              </w:rPr>
              <w:t>144</w:t>
            </w:r>
          </w:p>
        </w:tc>
        <w:tc>
          <w:tcPr>
            <w:tcW w:w="720" w:type="dxa"/>
            <w:tcBorders>
              <w:top w:val="single" w:sz="4" w:space="0" w:color="auto"/>
              <w:left w:val="single" w:sz="4" w:space="0" w:color="auto"/>
              <w:bottom w:val="single" w:sz="4" w:space="0" w:color="auto"/>
              <w:right w:val="single" w:sz="12" w:space="0" w:color="auto"/>
            </w:tcBorders>
            <w:vAlign w:val="bottom"/>
          </w:tcPr>
          <w:p w:rsidR="002830EE" w:rsidRPr="002C3B74" w:rsidRDefault="00800B13" w:rsidP="000A5B02">
            <w:pPr>
              <w:pStyle w:val="Zkladntext"/>
              <w:jc w:val="right"/>
              <w:rPr>
                <w:rFonts w:ascii="Arial" w:hAnsi="Arial" w:cs="Arial"/>
                <w:sz w:val="16"/>
                <w:szCs w:val="16"/>
              </w:rPr>
            </w:pPr>
            <w:r>
              <w:rPr>
                <w:rFonts w:ascii="Arial" w:hAnsi="Arial" w:cs="Arial"/>
                <w:color w:val="000000"/>
                <w:sz w:val="16"/>
                <w:szCs w:val="16"/>
              </w:rPr>
              <w:t>65,8</w:t>
            </w:r>
          </w:p>
        </w:tc>
        <w:tc>
          <w:tcPr>
            <w:tcW w:w="840" w:type="dxa"/>
            <w:tcBorders>
              <w:top w:val="single" w:sz="4" w:space="0" w:color="auto"/>
              <w:left w:val="single" w:sz="12" w:space="0" w:color="auto"/>
              <w:bottom w:val="single" w:sz="4" w:space="0" w:color="auto"/>
            </w:tcBorders>
            <w:vAlign w:val="bottom"/>
          </w:tcPr>
          <w:p w:rsidR="002830EE" w:rsidRPr="002C3B74" w:rsidRDefault="00800B13" w:rsidP="000A5B02">
            <w:pPr>
              <w:jc w:val="right"/>
              <w:rPr>
                <w:rFonts w:ascii="Arial" w:hAnsi="Arial" w:cs="Arial"/>
                <w:sz w:val="16"/>
                <w:szCs w:val="16"/>
              </w:rPr>
            </w:pPr>
            <w:r>
              <w:rPr>
                <w:rFonts w:ascii="Arial" w:hAnsi="Arial" w:cs="Arial"/>
                <w:color w:val="000000"/>
                <w:sz w:val="16"/>
                <w:szCs w:val="16"/>
              </w:rPr>
              <w:t>345</w:t>
            </w:r>
          </w:p>
        </w:tc>
        <w:tc>
          <w:tcPr>
            <w:tcW w:w="840" w:type="dxa"/>
            <w:tcBorders>
              <w:top w:val="single" w:sz="4" w:space="0" w:color="auto"/>
              <w:bottom w:val="single" w:sz="4" w:space="0" w:color="auto"/>
            </w:tcBorders>
            <w:vAlign w:val="bottom"/>
          </w:tcPr>
          <w:p w:rsidR="002830EE" w:rsidRPr="002C3B74" w:rsidRDefault="00800B13" w:rsidP="000A5B02">
            <w:pPr>
              <w:jc w:val="right"/>
              <w:rPr>
                <w:rFonts w:ascii="Arial" w:hAnsi="Arial" w:cs="Arial"/>
                <w:sz w:val="16"/>
                <w:szCs w:val="16"/>
              </w:rPr>
            </w:pPr>
            <w:r>
              <w:rPr>
                <w:rFonts w:ascii="Arial" w:hAnsi="Arial" w:cs="Arial"/>
                <w:color w:val="000000"/>
                <w:sz w:val="16"/>
                <w:szCs w:val="16"/>
              </w:rPr>
              <w:t>324</w:t>
            </w:r>
          </w:p>
        </w:tc>
        <w:tc>
          <w:tcPr>
            <w:tcW w:w="720" w:type="dxa"/>
            <w:tcBorders>
              <w:top w:val="single" w:sz="4" w:space="0" w:color="auto"/>
              <w:bottom w:val="single" w:sz="4" w:space="0" w:color="auto"/>
            </w:tcBorders>
            <w:vAlign w:val="bottom"/>
          </w:tcPr>
          <w:p w:rsidR="002830EE" w:rsidRPr="002C3B74" w:rsidRDefault="00800B13" w:rsidP="000A5B02">
            <w:pPr>
              <w:jc w:val="right"/>
              <w:rPr>
                <w:rFonts w:ascii="Arial" w:hAnsi="Arial" w:cs="Arial"/>
                <w:sz w:val="16"/>
                <w:szCs w:val="16"/>
              </w:rPr>
            </w:pPr>
            <w:r>
              <w:rPr>
                <w:rFonts w:ascii="Arial" w:hAnsi="Arial" w:cs="Arial"/>
                <w:color w:val="000000"/>
                <w:sz w:val="16"/>
                <w:szCs w:val="16"/>
              </w:rPr>
              <w:t>93,9</w:t>
            </w:r>
          </w:p>
        </w:tc>
      </w:tr>
      <w:tr w:rsidR="002830EE" w:rsidRPr="00F83D7E">
        <w:trPr>
          <w:trHeight w:val="329"/>
        </w:trPr>
        <w:tc>
          <w:tcPr>
            <w:tcW w:w="1800" w:type="dxa"/>
            <w:tcBorders>
              <w:top w:val="single" w:sz="4" w:space="0" w:color="auto"/>
              <w:bottom w:val="single" w:sz="12" w:space="0" w:color="auto"/>
              <w:right w:val="single" w:sz="12" w:space="0" w:color="auto"/>
            </w:tcBorders>
            <w:vAlign w:val="bottom"/>
          </w:tcPr>
          <w:p w:rsidR="002830EE" w:rsidRPr="00F37D3F" w:rsidRDefault="002830EE">
            <w:pPr>
              <w:pStyle w:val="Zkladntext"/>
              <w:rPr>
                <w:rFonts w:ascii="Arial" w:hAnsi="Arial" w:cs="Arial"/>
                <w:sz w:val="16"/>
                <w:szCs w:val="16"/>
              </w:rPr>
            </w:pPr>
            <w:r w:rsidRPr="00DF48FF">
              <w:rPr>
                <w:rFonts w:ascii="Arial" w:hAnsi="Arial" w:cs="Arial"/>
                <w:sz w:val="16"/>
                <w:szCs w:val="16"/>
              </w:rPr>
              <w:t>Moravskoslezský</w:t>
            </w:r>
          </w:p>
        </w:tc>
        <w:tc>
          <w:tcPr>
            <w:tcW w:w="840" w:type="dxa"/>
            <w:tcBorders>
              <w:top w:val="single" w:sz="4" w:space="0" w:color="auto"/>
              <w:left w:val="single" w:sz="12" w:space="0" w:color="auto"/>
              <w:bottom w:val="single" w:sz="12" w:space="0" w:color="auto"/>
            </w:tcBorders>
            <w:vAlign w:val="bottom"/>
          </w:tcPr>
          <w:p w:rsidR="002830EE" w:rsidRPr="002C3B74" w:rsidRDefault="00800B13" w:rsidP="00655A9C">
            <w:pPr>
              <w:jc w:val="right"/>
              <w:rPr>
                <w:rFonts w:ascii="Arial" w:hAnsi="Arial" w:cs="Arial"/>
                <w:sz w:val="16"/>
                <w:szCs w:val="16"/>
              </w:rPr>
            </w:pPr>
            <w:r>
              <w:rPr>
                <w:rFonts w:ascii="Arial" w:hAnsi="Arial" w:cs="Arial"/>
                <w:color w:val="000000"/>
                <w:sz w:val="16"/>
                <w:szCs w:val="16"/>
              </w:rPr>
              <w:t>1 363</w:t>
            </w:r>
          </w:p>
        </w:tc>
        <w:tc>
          <w:tcPr>
            <w:tcW w:w="840" w:type="dxa"/>
            <w:tcBorders>
              <w:top w:val="single" w:sz="4" w:space="0" w:color="auto"/>
              <w:bottom w:val="single" w:sz="12" w:space="0" w:color="auto"/>
            </w:tcBorders>
            <w:vAlign w:val="bottom"/>
          </w:tcPr>
          <w:p w:rsidR="002830EE" w:rsidRPr="002C3B74" w:rsidRDefault="00800B13" w:rsidP="00655A9C">
            <w:pPr>
              <w:jc w:val="right"/>
              <w:rPr>
                <w:rFonts w:ascii="Arial" w:hAnsi="Arial" w:cs="Arial"/>
                <w:sz w:val="16"/>
                <w:szCs w:val="16"/>
              </w:rPr>
            </w:pPr>
            <w:r>
              <w:rPr>
                <w:rFonts w:ascii="Arial" w:hAnsi="Arial" w:cs="Arial"/>
                <w:color w:val="000000"/>
                <w:sz w:val="16"/>
                <w:szCs w:val="16"/>
              </w:rPr>
              <w:t>1 093</w:t>
            </w:r>
          </w:p>
        </w:tc>
        <w:tc>
          <w:tcPr>
            <w:tcW w:w="720" w:type="dxa"/>
            <w:tcBorders>
              <w:top w:val="single" w:sz="4" w:space="0" w:color="auto"/>
              <w:bottom w:val="single" w:sz="12" w:space="0" w:color="auto"/>
              <w:right w:val="single" w:sz="12" w:space="0" w:color="auto"/>
            </w:tcBorders>
            <w:vAlign w:val="bottom"/>
          </w:tcPr>
          <w:p w:rsidR="002830EE" w:rsidRPr="002C3B74" w:rsidRDefault="00800B13" w:rsidP="00655A9C">
            <w:pPr>
              <w:jc w:val="right"/>
              <w:rPr>
                <w:rFonts w:ascii="Arial" w:hAnsi="Arial" w:cs="Arial"/>
                <w:sz w:val="16"/>
                <w:szCs w:val="16"/>
              </w:rPr>
            </w:pPr>
            <w:r>
              <w:rPr>
                <w:rFonts w:ascii="Arial" w:hAnsi="Arial" w:cs="Arial"/>
                <w:color w:val="000000"/>
                <w:sz w:val="16"/>
                <w:szCs w:val="16"/>
              </w:rPr>
              <w:t>80,2</w:t>
            </w:r>
          </w:p>
        </w:tc>
        <w:tc>
          <w:tcPr>
            <w:tcW w:w="840" w:type="dxa"/>
            <w:tcBorders>
              <w:top w:val="single" w:sz="4" w:space="0" w:color="auto"/>
              <w:left w:val="single" w:sz="12" w:space="0" w:color="auto"/>
              <w:bottom w:val="single" w:sz="12" w:space="0" w:color="auto"/>
            </w:tcBorders>
            <w:vAlign w:val="bottom"/>
          </w:tcPr>
          <w:p w:rsidR="002830EE" w:rsidRPr="002C3B74" w:rsidRDefault="00800B13" w:rsidP="00655A9C">
            <w:pPr>
              <w:jc w:val="right"/>
              <w:rPr>
                <w:rFonts w:ascii="Arial" w:hAnsi="Arial" w:cs="Arial"/>
                <w:sz w:val="16"/>
                <w:szCs w:val="16"/>
              </w:rPr>
            </w:pPr>
            <w:r>
              <w:rPr>
                <w:rFonts w:ascii="Arial" w:hAnsi="Arial" w:cs="Arial"/>
                <w:color w:val="000000"/>
                <w:sz w:val="16"/>
                <w:szCs w:val="16"/>
              </w:rPr>
              <w:t>520</w:t>
            </w:r>
          </w:p>
        </w:tc>
        <w:tc>
          <w:tcPr>
            <w:tcW w:w="840" w:type="dxa"/>
            <w:tcBorders>
              <w:top w:val="single" w:sz="4" w:space="0" w:color="auto"/>
              <w:bottom w:val="single" w:sz="12" w:space="0" w:color="auto"/>
              <w:right w:val="single" w:sz="4" w:space="0" w:color="auto"/>
            </w:tcBorders>
            <w:vAlign w:val="bottom"/>
          </w:tcPr>
          <w:p w:rsidR="002830EE" w:rsidRPr="002C3B74" w:rsidRDefault="00800B13" w:rsidP="00655A9C">
            <w:pPr>
              <w:jc w:val="right"/>
              <w:rPr>
                <w:rFonts w:ascii="Arial" w:hAnsi="Arial" w:cs="Arial"/>
                <w:sz w:val="16"/>
                <w:szCs w:val="16"/>
              </w:rPr>
            </w:pPr>
            <w:r>
              <w:rPr>
                <w:rFonts w:ascii="Arial" w:hAnsi="Arial" w:cs="Arial"/>
                <w:color w:val="000000"/>
                <w:sz w:val="16"/>
                <w:szCs w:val="16"/>
              </w:rPr>
              <w:t>303</w:t>
            </w:r>
          </w:p>
        </w:tc>
        <w:tc>
          <w:tcPr>
            <w:tcW w:w="720" w:type="dxa"/>
            <w:tcBorders>
              <w:top w:val="single" w:sz="4" w:space="0" w:color="auto"/>
              <w:left w:val="single" w:sz="4" w:space="0" w:color="auto"/>
              <w:bottom w:val="single" w:sz="12" w:space="0" w:color="auto"/>
              <w:right w:val="single" w:sz="12" w:space="0" w:color="auto"/>
            </w:tcBorders>
            <w:vAlign w:val="bottom"/>
          </w:tcPr>
          <w:p w:rsidR="002830EE" w:rsidRPr="002C3B74" w:rsidRDefault="00800B13" w:rsidP="000A5B02">
            <w:pPr>
              <w:pStyle w:val="Zkladntext"/>
              <w:jc w:val="right"/>
              <w:rPr>
                <w:rFonts w:ascii="Arial" w:hAnsi="Arial" w:cs="Arial"/>
                <w:sz w:val="16"/>
                <w:szCs w:val="16"/>
              </w:rPr>
            </w:pPr>
            <w:r>
              <w:rPr>
                <w:rFonts w:ascii="Arial" w:hAnsi="Arial" w:cs="Arial"/>
                <w:color w:val="000000"/>
                <w:sz w:val="16"/>
                <w:szCs w:val="16"/>
              </w:rPr>
              <w:t>58,3</w:t>
            </w:r>
          </w:p>
        </w:tc>
        <w:tc>
          <w:tcPr>
            <w:tcW w:w="840" w:type="dxa"/>
            <w:tcBorders>
              <w:top w:val="single" w:sz="4" w:space="0" w:color="auto"/>
              <w:left w:val="single" w:sz="12" w:space="0" w:color="auto"/>
              <w:bottom w:val="single" w:sz="12" w:space="0" w:color="auto"/>
            </w:tcBorders>
            <w:vAlign w:val="bottom"/>
          </w:tcPr>
          <w:p w:rsidR="002830EE" w:rsidRPr="002C3B74" w:rsidRDefault="00800B13" w:rsidP="000A5B02">
            <w:pPr>
              <w:jc w:val="right"/>
              <w:rPr>
                <w:rFonts w:ascii="Arial" w:hAnsi="Arial" w:cs="Arial"/>
                <w:sz w:val="16"/>
                <w:szCs w:val="16"/>
              </w:rPr>
            </w:pPr>
            <w:r>
              <w:rPr>
                <w:rFonts w:ascii="Arial" w:hAnsi="Arial" w:cs="Arial"/>
                <w:color w:val="000000"/>
                <w:sz w:val="16"/>
                <w:szCs w:val="16"/>
              </w:rPr>
              <w:t>843</w:t>
            </w:r>
          </w:p>
        </w:tc>
        <w:tc>
          <w:tcPr>
            <w:tcW w:w="840" w:type="dxa"/>
            <w:tcBorders>
              <w:top w:val="single" w:sz="4" w:space="0" w:color="auto"/>
              <w:bottom w:val="single" w:sz="12" w:space="0" w:color="auto"/>
            </w:tcBorders>
            <w:vAlign w:val="bottom"/>
          </w:tcPr>
          <w:p w:rsidR="002830EE" w:rsidRPr="002C3B74" w:rsidRDefault="00800B13" w:rsidP="000A5B02">
            <w:pPr>
              <w:jc w:val="right"/>
              <w:rPr>
                <w:rFonts w:ascii="Arial" w:hAnsi="Arial" w:cs="Arial"/>
                <w:sz w:val="16"/>
                <w:szCs w:val="16"/>
              </w:rPr>
            </w:pPr>
            <w:r>
              <w:rPr>
                <w:rFonts w:ascii="Arial" w:hAnsi="Arial" w:cs="Arial"/>
                <w:color w:val="000000"/>
                <w:sz w:val="16"/>
                <w:szCs w:val="16"/>
              </w:rPr>
              <w:t>790</w:t>
            </w:r>
          </w:p>
        </w:tc>
        <w:tc>
          <w:tcPr>
            <w:tcW w:w="720" w:type="dxa"/>
            <w:tcBorders>
              <w:top w:val="single" w:sz="4" w:space="0" w:color="auto"/>
              <w:bottom w:val="single" w:sz="12" w:space="0" w:color="auto"/>
            </w:tcBorders>
            <w:vAlign w:val="bottom"/>
          </w:tcPr>
          <w:p w:rsidR="002830EE" w:rsidRPr="002C3B74" w:rsidRDefault="00800B13" w:rsidP="000A5B02">
            <w:pPr>
              <w:jc w:val="right"/>
              <w:rPr>
                <w:rFonts w:ascii="Arial" w:hAnsi="Arial" w:cs="Arial"/>
                <w:sz w:val="16"/>
                <w:szCs w:val="16"/>
              </w:rPr>
            </w:pPr>
            <w:r>
              <w:rPr>
                <w:rFonts w:ascii="Arial" w:hAnsi="Arial" w:cs="Arial"/>
                <w:color w:val="000000"/>
                <w:sz w:val="16"/>
                <w:szCs w:val="16"/>
              </w:rPr>
              <w:t>93,7</w:t>
            </w:r>
          </w:p>
        </w:tc>
      </w:tr>
      <w:tr w:rsidR="002830EE" w:rsidRPr="00F83D7E" w:rsidTr="00584D28">
        <w:trPr>
          <w:trHeight w:val="329"/>
        </w:trPr>
        <w:tc>
          <w:tcPr>
            <w:tcW w:w="1800" w:type="dxa"/>
            <w:tcBorders>
              <w:top w:val="single" w:sz="12" w:space="0" w:color="auto"/>
              <w:bottom w:val="single" w:sz="12" w:space="0" w:color="auto"/>
              <w:right w:val="single" w:sz="12" w:space="0" w:color="auto"/>
            </w:tcBorders>
            <w:vAlign w:val="bottom"/>
          </w:tcPr>
          <w:p w:rsidR="002830EE" w:rsidRPr="00F37D3F" w:rsidRDefault="002830EE">
            <w:pPr>
              <w:pStyle w:val="Zkladntext"/>
              <w:rPr>
                <w:rFonts w:ascii="Arial" w:hAnsi="Arial" w:cs="Arial"/>
                <w:sz w:val="16"/>
                <w:szCs w:val="16"/>
              </w:rPr>
            </w:pPr>
            <w:r w:rsidRPr="00DF48FF">
              <w:rPr>
                <w:rFonts w:ascii="Arial" w:hAnsi="Arial" w:cs="Arial"/>
                <w:sz w:val="16"/>
                <w:szCs w:val="16"/>
              </w:rPr>
              <w:t>ČR celkem</w:t>
            </w:r>
          </w:p>
        </w:tc>
        <w:tc>
          <w:tcPr>
            <w:tcW w:w="840" w:type="dxa"/>
            <w:tcBorders>
              <w:top w:val="single" w:sz="12" w:space="0" w:color="auto"/>
              <w:left w:val="single" w:sz="12" w:space="0" w:color="auto"/>
            </w:tcBorders>
            <w:vAlign w:val="bottom"/>
          </w:tcPr>
          <w:p w:rsidR="002830EE" w:rsidRPr="002C3B74" w:rsidRDefault="00800B13" w:rsidP="00584D28">
            <w:pPr>
              <w:jc w:val="right"/>
              <w:rPr>
                <w:rFonts w:ascii="Arial" w:hAnsi="Arial" w:cs="Arial"/>
                <w:sz w:val="16"/>
                <w:szCs w:val="16"/>
              </w:rPr>
            </w:pPr>
            <w:r>
              <w:rPr>
                <w:rFonts w:ascii="Arial" w:hAnsi="Arial" w:cs="Arial"/>
                <w:sz w:val="16"/>
                <w:szCs w:val="16"/>
              </w:rPr>
              <w:t>10 948</w:t>
            </w:r>
          </w:p>
        </w:tc>
        <w:tc>
          <w:tcPr>
            <w:tcW w:w="840" w:type="dxa"/>
            <w:tcBorders>
              <w:top w:val="single" w:sz="12" w:space="0" w:color="auto"/>
              <w:bottom w:val="single" w:sz="12" w:space="0" w:color="auto"/>
            </w:tcBorders>
            <w:vAlign w:val="bottom"/>
          </w:tcPr>
          <w:p w:rsidR="002830EE" w:rsidRPr="002C3B74" w:rsidRDefault="00800B13" w:rsidP="00584D28">
            <w:pPr>
              <w:jc w:val="right"/>
              <w:rPr>
                <w:rFonts w:ascii="Arial" w:hAnsi="Arial" w:cs="Arial"/>
                <w:sz w:val="16"/>
                <w:szCs w:val="16"/>
              </w:rPr>
            </w:pPr>
            <w:r>
              <w:rPr>
                <w:rFonts w:ascii="Arial" w:hAnsi="Arial" w:cs="Arial"/>
                <w:color w:val="000000"/>
                <w:sz w:val="16"/>
                <w:szCs w:val="16"/>
              </w:rPr>
              <w:t>8 634</w:t>
            </w:r>
          </w:p>
        </w:tc>
        <w:tc>
          <w:tcPr>
            <w:tcW w:w="720" w:type="dxa"/>
            <w:tcBorders>
              <w:top w:val="single" w:sz="12" w:space="0" w:color="auto"/>
              <w:bottom w:val="single" w:sz="12" w:space="0" w:color="auto"/>
              <w:right w:val="single" w:sz="12" w:space="0" w:color="auto"/>
            </w:tcBorders>
            <w:vAlign w:val="bottom"/>
          </w:tcPr>
          <w:p w:rsidR="002830EE" w:rsidRPr="002C3B74" w:rsidRDefault="00800B13" w:rsidP="00584D28">
            <w:pPr>
              <w:jc w:val="right"/>
              <w:rPr>
                <w:rFonts w:ascii="Arial" w:hAnsi="Arial" w:cs="Arial"/>
                <w:sz w:val="16"/>
                <w:szCs w:val="16"/>
              </w:rPr>
            </w:pPr>
            <w:r>
              <w:rPr>
                <w:rFonts w:ascii="Arial" w:hAnsi="Arial" w:cs="Arial"/>
                <w:color w:val="000000"/>
                <w:sz w:val="16"/>
                <w:szCs w:val="16"/>
              </w:rPr>
              <w:t>78,9</w:t>
            </w:r>
          </w:p>
        </w:tc>
        <w:tc>
          <w:tcPr>
            <w:tcW w:w="840" w:type="dxa"/>
            <w:tcBorders>
              <w:top w:val="single" w:sz="12" w:space="0" w:color="auto"/>
              <w:left w:val="single" w:sz="12" w:space="0" w:color="auto"/>
              <w:bottom w:val="single" w:sz="12" w:space="0" w:color="auto"/>
            </w:tcBorders>
            <w:vAlign w:val="bottom"/>
          </w:tcPr>
          <w:p w:rsidR="002830EE" w:rsidRPr="002C3B74" w:rsidRDefault="00800B13" w:rsidP="00584D28">
            <w:pPr>
              <w:jc w:val="right"/>
              <w:rPr>
                <w:rFonts w:ascii="Arial" w:hAnsi="Arial" w:cs="Arial"/>
                <w:sz w:val="16"/>
                <w:szCs w:val="16"/>
              </w:rPr>
            </w:pPr>
            <w:r>
              <w:rPr>
                <w:rFonts w:ascii="Arial" w:hAnsi="Arial" w:cs="Arial"/>
                <w:color w:val="000000"/>
                <w:sz w:val="16"/>
                <w:szCs w:val="16"/>
              </w:rPr>
              <w:t>4 273</w:t>
            </w:r>
          </w:p>
        </w:tc>
        <w:tc>
          <w:tcPr>
            <w:tcW w:w="840" w:type="dxa"/>
            <w:tcBorders>
              <w:top w:val="single" w:sz="12" w:space="0" w:color="auto"/>
              <w:bottom w:val="single" w:sz="12" w:space="0" w:color="auto"/>
              <w:right w:val="single" w:sz="4" w:space="0" w:color="auto"/>
            </w:tcBorders>
            <w:vAlign w:val="bottom"/>
          </w:tcPr>
          <w:p w:rsidR="002830EE" w:rsidRPr="002C3B74" w:rsidRDefault="00800B13" w:rsidP="00584D28">
            <w:pPr>
              <w:jc w:val="right"/>
              <w:rPr>
                <w:rFonts w:ascii="Arial" w:hAnsi="Arial" w:cs="Arial"/>
                <w:sz w:val="16"/>
                <w:szCs w:val="16"/>
              </w:rPr>
            </w:pPr>
            <w:r>
              <w:rPr>
                <w:rFonts w:ascii="Arial" w:hAnsi="Arial" w:cs="Arial"/>
                <w:color w:val="000000"/>
                <w:sz w:val="16"/>
                <w:szCs w:val="16"/>
              </w:rPr>
              <w:t>2 338</w:t>
            </w:r>
          </w:p>
        </w:tc>
        <w:tc>
          <w:tcPr>
            <w:tcW w:w="720" w:type="dxa"/>
            <w:tcBorders>
              <w:top w:val="single" w:sz="12" w:space="0" w:color="auto"/>
              <w:left w:val="single" w:sz="4" w:space="0" w:color="auto"/>
              <w:bottom w:val="single" w:sz="12" w:space="0" w:color="auto"/>
              <w:right w:val="single" w:sz="12" w:space="0" w:color="auto"/>
            </w:tcBorders>
            <w:vAlign w:val="bottom"/>
          </w:tcPr>
          <w:p w:rsidR="002830EE" w:rsidRPr="002C3B74" w:rsidRDefault="00800B13" w:rsidP="00584D28">
            <w:pPr>
              <w:pStyle w:val="Zkladntext"/>
              <w:jc w:val="right"/>
              <w:rPr>
                <w:rFonts w:ascii="Arial" w:hAnsi="Arial" w:cs="Arial"/>
                <w:sz w:val="16"/>
                <w:szCs w:val="16"/>
              </w:rPr>
            </w:pPr>
            <w:r>
              <w:rPr>
                <w:rFonts w:ascii="Arial" w:hAnsi="Arial" w:cs="Arial"/>
                <w:color w:val="000000"/>
                <w:sz w:val="16"/>
                <w:szCs w:val="16"/>
              </w:rPr>
              <w:t>54,7</w:t>
            </w:r>
          </w:p>
        </w:tc>
        <w:tc>
          <w:tcPr>
            <w:tcW w:w="840" w:type="dxa"/>
            <w:tcBorders>
              <w:top w:val="single" w:sz="12" w:space="0" w:color="auto"/>
              <w:left w:val="single" w:sz="12" w:space="0" w:color="auto"/>
              <w:bottom w:val="single" w:sz="12" w:space="0" w:color="auto"/>
            </w:tcBorders>
            <w:vAlign w:val="bottom"/>
          </w:tcPr>
          <w:p w:rsidR="002830EE" w:rsidRPr="002C3B74" w:rsidRDefault="00800B13" w:rsidP="00584D28">
            <w:pPr>
              <w:jc w:val="right"/>
              <w:rPr>
                <w:rFonts w:ascii="Arial" w:hAnsi="Arial" w:cs="Arial"/>
                <w:sz w:val="16"/>
                <w:szCs w:val="16"/>
              </w:rPr>
            </w:pPr>
            <w:r>
              <w:rPr>
                <w:rFonts w:ascii="Arial" w:hAnsi="Arial" w:cs="Arial"/>
                <w:sz w:val="16"/>
                <w:szCs w:val="16"/>
              </w:rPr>
              <w:t>6 675</w:t>
            </w:r>
          </w:p>
        </w:tc>
        <w:tc>
          <w:tcPr>
            <w:tcW w:w="840" w:type="dxa"/>
            <w:tcBorders>
              <w:top w:val="single" w:sz="12" w:space="0" w:color="auto"/>
              <w:bottom w:val="single" w:sz="12" w:space="0" w:color="auto"/>
            </w:tcBorders>
            <w:vAlign w:val="bottom"/>
          </w:tcPr>
          <w:p w:rsidR="002830EE" w:rsidRPr="002C3B74" w:rsidRDefault="00800B13" w:rsidP="001A33CE">
            <w:pPr>
              <w:jc w:val="right"/>
              <w:rPr>
                <w:rFonts w:ascii="Arial" w:hAnsi="Arial" w:cs="Arial"/>
                <w:sz w:val="16"/>
                <w:szCs w:val="16"/>
              </w:rPr>
            </w:pPr>
            <w:r>
              <w:rPr>
                <w:rFonts w:ascii="Arial" w:hAnsi="Arial" w:cs="Arial"/>
                <w:color w:val="000000"/>
                <w:sz w:val="16"/>
                <w:szCs w:val="16"/>
              </w:rPr>
              <w:t>6 296</w:t>
            </w:r>
          </w:p>
        </w:tc>
        <w:tc>
          <w:tcPr>
            <w:tcW w:w="720" w:type="dxa"/>
            <w:tcBorders>
              <w:top w:val="single" w:sz="12" w:space="0" w:color="auto"/>
              <w:bottom w:val="single" w:sz="12" w:space="0" w:color="auto"/>
            </w:tcBorders>
            <w:vAlign w:val="bottom"/>
          </w:tcPr>
          <w:p w:rsidR="002830EE" w:rsidRPr="002C3B74" w:rsidRDefault="00800B13" w:rsidP="00584D28">
            <w:pPr>
              <w:jc w:val="right"/>
              <w:rPr>
                <w:rFonts w:ascii="Arial" w:hAnsi="Arial" w:cs="Arial"/>
                <w:sz w:val="16"/>
                <w:szCs w:val="16"/>
              </w:rPr>
            </w:pPr>
            <w:r>
              <w:rPr>
                <w:rFonts w:ascii="Arial" w:hAnsi="Arial" w:cs="Arial"/>
                <w:color w:val="000000"/>
                <w:sz w:val="16"/>
                <w:szCs w:val="16"/>
              </w:rPr>
              <w:t>94,3</w:t>
            </w:r>
          </w:p>
        </w:tc>
      </w:tr>
    </w:tbl>
    <w:p w:rsidR="002A4577" w:rsidRPr="00B236D4" w:rsidRDefault="00DF48FF">
      <w:pPr>
        <w:pStyle w:val="Zkladntext"/>
        <w:spacing w:after="120"/>
        <w:rPr>
          <w:rFonts w:ascii="Arial" w:hAnsi="Arial" w:cs="Arial"/>
          <w:sz w:val="14"/>
          <w:szCs w:val="14"/>
        </w:rPr>
      </w:pPr>
      <w:proofErr w:type="spellStart"/>
      <w:r w:rsidRPr="00DF48FF">
        <w:rPr>
          <w:rFonts w:ascii="Arial" w:hAnsi="Arial" w:cs="Arial"/>
          <w:sz w:val="14"/>
          <w:szCs w:val="14"/>
        </w:rPr>
        <w:t>Zdroj:ČSÚ</w:t>
      </w:r>
      <w:proofErr w:type="spellEnd"/>
      <w:r w:rsidRPr="00DF48FF">
        <w:rPr>
          <w:rFonts w:ascii="Arial" w:hAnsi="Arial" w:cs="Arial"/>
          <w:sz w:val="14"/>
          <w:szCs w:val="14"/>
        </w:rPr>
        <w:tab/>
      </w:r>
    </w:p>
    <w:p w:rsidR="002A4577" w:rsidRPr="00F83D7E" w:rsidRDefault="00DF48FF">
      <w:pPr>
        <w:pStyle w:val="Zkladntext"/>
        <w:spacing w:after="120"/>
        <w:ind w:firstLine="709"/>
        <w:rPr>
          <w:rFonts w:ascii="Arial" w:hAnsi="Arial" w:cs="Arial"/>
          <w:sz w:val="20"/>
          <w:szCs w:val="20"/>
        </w:rPr>
      </w:pPr>
      <w:r w:rsidRPr="00DF48FF">
        <w:rPr>
          <w:rFonts w:ascii="Arial" w:hAnsi="Arial" w:cs="Arial"/>
          <w:sz w:val="20"/>
          <w:szCs w:val="20"/>
        </w:rPr>
        <w:lastRenderedPageBreak/>
        <w:t>Účast domácností ve výběrových šetřeních je dobrovolná, neexistuje zpravodajská povinnost vyplývající ze zákona, jako např. u sčítání lidu. Jako hlavní důvody odmítnutí šetření uvádějí domácnosti výhrady k zasahování do soukromí, obavy z případného zneužití sdělených informací, obavy vpustit cizí osoby do bytu apod. Některé domácnosti ze zásady odmítají sdělit o sobě jakékoliv informace.</w:t>
      </w:r>
    </w:p>
    <w:p w:rsidR="002A4577" w:rsidRPr="00F83D7E" w:rsidRDefault="002A4577">
      <w:pPr>
        <w:pStyle w:val="Zkladntext"/>
        <w:rPr>
          <w:rFonts w:ascii="Arial" w:hAnsi="Arial" w:cs="Arial"/>
          <w:sz w:val="20"/>
          <w:szCs w:val="20"/>
        </w:rPr>
      </w:pPr>
    </w:p>
    <w:p w:rsidR="001B2640" w:rsidRDefault="00DF48FF" w:rsidP="001B2640">
      <w:pPr>
        <w:pStyle w:val="Zkladntext"/>
        <w:spacing w:after="240"/>
        <w:rPr>
          <w:rFonts w:ascii="Arial" w:hAnsi="Arial" w:cs="Arial"/>
          <w:b/>
          <w:bCs/>
        </w:rPr>
      </w:pPr>
      <w:r w:rsidRPr="00DF48FF">
        <w:rPr>
          <w:rFonts w:ascii="Arial" w:hAnsi="Arial" w:cs="Arial"/>
          <w:b/>
          <w:bCs/>
        </w:rPr>
        <w:t>1.5 Přepočet dat na úhrn populace, korekce a dopočty</w:t>
      </w:r>
    </w:p>
    <w:p w:rsidR="002A4577" w:rsidRPr="00F83D7E" w:rsidRDefault="00DF48FF">
      <w:pPr>
        <w:pStyle w:val="Zkladnt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120"/>
        <w:rPr>
          <w:rFonts w:ascii="Arial" w:hAnsi="Arial" w:cs="Arial"/>
          <w:sz w:val="20"/>
          <w:szCs w:val="20"/>
        </w:rPr>
      </w:pPr>
      <w:r w:rsidRPr="00DF48FF">
        <w:rPr>
          <w:rFonts w:ascii="Arial" w:hAnsi="Arial" w:cs="Arial"/>
          <w:sz w:val="20"/>
          <w:szCs w:val="20"/>
        </w:rPr>
        <w:tab/>
        <w:t>Srovnání vybraných charakteristik získaného vzorku domácností s údaji z jiných statistik a dostupných administrativních zdrojů dat potvrdilo pro šetření v domácnostech obvyklý jev. Významná míra non-response (v rotačním panelu již ovlivněná návratností z předchozích let) narušila složení konečného datového souboru, za nějž jsou k dispozici údaje pro zpracování, a nedovolila použít jednoduché postupy pro přepočet dat na celou populaci založené například na tzv. post-stratifikaci. K dostatečné eliminaci zkreslení, která je základní podmínkou k získání nevychýlených odhadů, bylo třeba uplatnit sofistikovanější techniky.</w:t>
      </w:r>
    </w:p>
    <w:p w:rsidR="002A4577" w:rsidRPr="00F83D7E" w:rsidRDefault="00DF48FF">
      <w:pPr>
        <w:pStyle w:val="Zkladnt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120"/>
        <w:rPr>
          <w:rFonts w:ascii="Arial" w:hAnsi="Arial" w:cs="Arial"/>
          <w:sz w:val="20"/>
          <w:szCs w:val="20"/>
        </w:rPr>
      </w:pPr>
      <w:r w:rsidRPr="00DF48FF">
        <w:rPr>
          <w:rFonts w:ascii="Arial" w:hAnsi="Arial" w:cs="Arial"/>
          <w:sz w:val="20"/>
          <w:szCs w:val="20"/>
        </w:rPr>
        <w:tab/>
        <w:t>V praxi byla aplikována osvědčená iterační metoda kalibrace vah, která minimalizuje rozdíl mezi známými (resp. odhadnutými) a z výběru přepočítanými hodnotami zvolených charakteristik. Ačkoliv se jedná o panelové šetření zahrnující domácnosti ze čtyř prakticky nezávislých výběrů (1. až 4. vlna), byla opět zvolena jednoduchá kalibrace zahrnující do výpočtů data za všechny domácnosti dohromady bez ohledu na</w:t>
      </w:r>
      <w:r w:rsidR="00AF2337">
        <w:rPr>
          <w:rFonts w:ascii="Arial" w:hAnsi="Arial" w:cs="Arial"/>
          <w:sz w:val="20"/>
          <w:szCs w:val="20"/>
        </w:rPr>
        <w:t> </w:t>
      </w:r>
      <w:r w:rsidRPr="00DF48FF">
        <w:rPr>
          <w:rFonts w:ascii="Arial" w:hAnsi="Arial" w:cs="Arial"/>
          <w:sz w:val="20"/>
          <w:szCs w:val="20"/>
        </w:rPr>
        <w:t>to, z jaké vlny pocházely.</w:t>
      </w:r>
    </w:p>
    <w:p w:rsidR="002A4577" w:rsidRPr="00F83D7E" w:rsidRDefault="00DF48FF">
      <w:pPr>
        <w:pStyle w:val="Zkladnt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120"/>
        <w:rPr>
          <w:rFonts w:ascii="Arial" w:hAnsi="Arial" w:cs="Arial"/>
          <w:sz w:val="20"/>
          <w:szCs w:val="20"/>
        </w:rPr>
      </w:pPr>
      <w:r w:rsidRPr="00DF48FF">
        <w:rPr>
          <w:rFonts w:ascii="Arial" w:hAnsi="Arial" w:cs="Arial"/>
          <w:sz w:val="20"/>
          <w:szCs w:val="20"/>
        </w:rPr>
        <w:tab/>
        <w:t>Zároveň byl použit - v souladu s metodikou doporučenou Evropským statistickým úřadem (</w:t>
      </w:r>
      <w:proofErr w:type="spellStart"/>
      <w:r w:rsidRPr="00DF48FF">
        <w:rPr>
          <w:rFonts w:ascii="Arial" w:hAnsi="Arial" w:cs="Arial"/>
          <w:sz w:val="20"/>
          <w:szCs w:val="20"/>
        </w:rPr>
        <w:t>Eurostat</w:t>
      </w:r>
      <w:proofErr w:type="spellEnd"/>
      <w:r w:rsidRPr="00DF48FF">
        <w:rPr>
          <w:rFonts w:ascii="Arial" w:hAnsi="Arial" w:cs="Arial"/>
          <w:sz w:val="20"/>
          <w:szCs w:val="20"/>
        </w:rPr>
        <w:t>) - systém tzv. integrovaných vah, tj. jediná sada přepočítacích koeficientů, vhodných pro souběžné zpracování výstupů jak za hospodařící domácnosti, tak za jednotlivé osoby.</w:t>
      </w:r>
    </w:p>
    <w:p w:rsidR="002A4577" w:rsidRPr="00F83D7E" w:rsidRDefault="00DF48FF">
      <w:pPr>
        <w:pStyle w:val="Zkladnt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120"/>
        <w:rPr>
          <w:rFonts w:ascii="Arial" w:hAnsi="Arial" w:cs="Arial"/>
          <w:sz w:val="20"/>
          <w:szCs w:val="20"/>
        </w:rPr>
      </w:pPr>
      <w:r w:rsidRPr="00DF48FF">
        <w:rPr>
          <w:rFonts w:ascii="Arial" w:hAnsi="Arial" w:cs="Arial"/>
          <w:sz w:val="20"/>
          <w:szCs w:val="20"/>
        </w:rPr>
        <w:tab/>
        <w:t>Jako opora pro výpočty byly použity pro toto šetření již standardní charakteristiky:</w:t>
      </w:r>
    </w:p>
    <w:p w:rsidR="002A4577" w:rsidRPr="00F83D7E" w:rsidRDefault="00DF48FF">
      <w:pPr>
        <w:numPr>
          <w:ilvl w:val="0"/>
          <w:numId w:val="1"/>
        </w:numPr>
        <w:tabs>
          <w:tab w:val="left" w:pos="101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after="120"/>
        <w:jc w:val="both"/>
        <w:rPr>
          <w:rFonts w:ascii="Arial" w:hAnsi="Arial" w:cs="Arial"/>
          <w:sz w:val="20"/>
          <w:szCs w:val="20"/>
        </w:rPr>
      </w:pPr>
      <w:r w:rsidRPr="00DF48FF">
        <w:rPr>
          <w:rFonts w:ascii="Arial" w:hAnsi="Arial" w:cs="Arial"/>
          <w:sz w:val="20"/>
          <w:szCs w:val="20"/>
          <w:u w:val="single"/>
        </w:rPr>
        <w:t>počet trvale obydlených bytů</w:t>
      </w:r>
      <w:r w:rsidRPr="00DF48FF">
        <w:rPr>
          <w:rFonts w:ascii="Arial" w:hAnsi="Arial" w:cs="Arial"/>
          <w:sz w:val="20"/>
          <w:szCs w:val="20"/>
        </w:rPr>
        <w:t xml:space="preserve"> v rozdělení podle:</w:t>
      </w:r>
    </w:p>
    <w:p w:rsidR="002A4577" w:rsidRPr="00F83D7E" w:rsidRDefault="00DF48FF">
      <w:pPr>
        <w:numPr>
          <w:ilvl w:val="0"/>
          <w:numId w:val="4"/>
        </w:numPr>
        <w:tabs>
          <w:tab w:val="left" w:pos="101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after="120"/>
        <w:jc w:val="both"/>
        <w:rPr>
          <w:rFonts w:ascii="Arial" w:hAnsi="Arial" w:cs="Arial"/>
          <w:sz w:val="20"/>
          <w:szCs w:val="20"/>
        </w:rPr>
      </w:pPr>
      <w:r w:rsidRPr="00DF48FF">
        <w:rPr>
          <w:rFonts w:ascii="Arial" w:hAnsi="Arial" w:cs="Arial"/>
          <w:sz w:val="20"/>
          <w:szCs w:val="20"/>
          <w:u w:val="single"/>
        </w:rPr>
        <w:t>druhu domu za každý kraj (NUTS3)</w:t>
      </w:r>
    </w:p>
    <w:p w:rsidR="002A4577" w:rsidRPr="00F83D7E" w:rsidRDefault="00DF48FF">
      <w:pPr>
        <w:numPr>
          <w:ilvl w:val="0"/>
          <w:numId w:val="7"/>
        </w:numPr>
        <w:tabs>
          <w:tab w:val="left" w:pos="0"/>
          <w:tab w:val="left" w:pos="1015"/>
          <w:tab w:val="left" w:pos="1416"/>
          <w:tab w:val="left" w:pos="2124"/>
          <w:tab w:val="left" w:pos="2832"/>
          <w:tab w:val="left" w:pos="3540"/>
          <w:tab w:val="num" w:pos="3960"/>
          <w:tab w:val="left" w:pos="4248"/>
          <w:tab w:val="left" w:pos="4956"/>
          <w:tab w:val="left" w:pos="5664"/>
          <w:tab w:val="left" w:pos="6372"/>
          <w:tab w:val="left" w:pos="7080"/>
          <w:tab w:val="left" w:pos="7788"/>
          <w:tab w:val="left" w:pos="8496"/>
          <w:tab w:val="left" w:pos="9204"/>
          <w:tab w:val="left" w:pos="9912"/>
          <w:tab w:val="left" w:pos="10620"/>
          <w:tab w:val="left" w:pos="11328"/>
        </w:tabs>
        <w:spacing w:after="120"/>
        <w:jc w:val="both"/>
        <w:rPr>
          <w:rFonts w:ascii="Arial" w:hAnsi="Arial" w:cs="Arial"/>
          <w:sz w:val="20"/>
          <w:szCs w:val="20"/>
        </w:rPr>
      </w:pPr>
      <w:r w:rsidRPr="00DF48FF">
        <w:rPr>
          <w:rFonts w:ascii="Arial" w:hAnsi="Arial" w:cs="Arial"/>
          <w:sz w:val="20"/>
          <w:szCs w:val="20"/>
        </w:rPr>
        <w:t xml:space="preserve">v rodinných domcích, </w:t>
      </w:r>
    </w:p>
    <w:p w:rsidR="002A4577" w:rsidRPr="00F83D7E" w:rsidRDefault="00DF48FF">
      <w:pPr>
        <w:numPr>
          <w:ilvl w:val="0"/>
          <w:numId w:val="7"/>
        </w:numPr>
        <w:tabs>
          <w:tab w:val="left" w:pos="0"/>
          <w:tab w:val="left" w:pos="1015"/>
          <w:tab w:val="left" w:pos="1416"/>
          <w:tab w:val="left" w:pos="2124"/>
          <w:tab w:val="left" w:pos="2832"/>
          <w:tab w:val="left" w:pos="3540"/>
          <w:tab w:val="num" w:pos="3960"/>
          <w:tab w:val="left" w:pos="4248"/>
          <w:tab w:val="left" w:pos="4956"/>
          <w:tab w:val="left" w:pos="5664"/>
          <w:tab w:val="left" w:pos="6372"/>
          <w:tab w:val="left" w:pos="7080"/>
          <w:tab w:val="left" w:pos="7788"/>
          <w:tab w:val="left" w:pos="8496"/>
          <w:tab w:val="left" w:pos="9204"/>
          <w:tab w:val="left" w:pos="9912"/>
          <w:tab w:val="left" w:pos="10620"/>
          <w:tab w:val="left" w:pos="11328"/>
        </w:tabs>
        <w:spacing w:after="120"/>
        <w:jc w:val="both"/>
        <w:rPr>
          <w:rFonts w:ascii="Arial" w:hAnsi="Arial" w:cs="Arial"/>
          <w:sz w:val="20"/>
          <w:szCs w:val="20"/>
        </w:rPr>
      </w:pPr>
      <w:r w:rsidRPr="00DF48FF">
        <w:rPr>
          <w:rFonts w:ascii="Arial" w:hAnsi="Arial" w:cs="Arial"/>
          <w:sz w:val="20"/>
          <w:szCs w:val="20"/>
        </w:rPr>
        <w:t>v ostatní domech,</w:t>
      </w:r>
    </w:p>
    <w:p w:rsidR="002A4577" w:rsidRPr="00F83D7E" w:rsidRDefault="00DF48FF">
      <w:pPr>
        <w:numPr>
          <w:ilvl w:val="0"/>
          <w:numId w:val="5"/>
        </w:numPr>
        <w:tabs>
          <w:tab w:val="left" w:pos="101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after="120"/>
        <w:jc w:val="both"/>
        <w:rPr>
          <w:rFonts w:ascii="Arial" w:hAnsi="Arial" w:cs="Arial"/>
          <w:sz w:val="20"/>
          <w:szCs w:val="20"/>
        </w:rPr>
      </w:pPr>
      <w:r w:rsidRPr="00DF48FF">
        <w:rPr>
          <w:rFonts w:ascii="Arial" w:hAnsi="Arial" w:cs="Arial"/>
          <w:sz w:val="20"/>
          <w:szCs w:val="20"/>
        </w:rPr>
        <w:t>odhady byly stanoveny na základě výsledků  SLDB 2011 a přírůstků resp. úbytků počtu bytů za roky 2011 až 201</w:t>
      </w:r>
      <w:r w:rsidR="00E208D0">
        <w:rPr>
          <w:rFonts w:ascii="Arial" w:hAnsi="Arial" w:cs="Arial"/>
          <w:sz w:val="20"/>
          <w:szCs w:val="20"/>
        </w:rPr>
        <w:t>7</w:t>
      </w:r>
      <w:r w:rsidRPr="00DF48FF">
        <w:rPr>
          <w:rFonts w:ascii="Arial" w:hAnsi="Arial" w:cs="Arial"/>
          <w:sz w:val="20"/>
          <w:szCs w:val="20"/>
        </w:rPr>
        <w:t>,</w:t>
      </w:r>
    </w:p>
    <w:p w:rsidR="002A4577" w:rsidRPr="00F83D7E" w:rsidRDefault="00DF48FF">
      <w:pPr>
        <w:numPr>
          <w:ilvl w:val="0"/>
          <w:numId w:val="2"/>
        </w:numPr>
        <w:tabs>
          <w:tab w:val="left" w:pos="0"/>
          <w:tab w:val="left" w:pos="101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after="120"/>
        <w:jc w:val="both"/>
        <w:rPr>
          <w:rFonts w:ascii="Arial" w:hAnsi="Arial" w:cs="Arial"/>
          <w:sz w:val="20"/>
          <w:szCs w:val="20"/>
        </w:rPr>
      </w:pPr>
      <w:r w:rsidRPr="00DF48FF">
        <w:rPr>
          <w:rFonts w:ascii="Arial" w:hAnsi="Arial" w:cs="Arial"/>
          <w:sz w:val="20"/>
          <w:szCs w:val="20"/>
          <w:u w:val="single"/>
        </w:rPr>
        <w:t>počet osob bydlících v bytech</w:t>
      </w:r>
      <w:r w:rsidRPr="00DF48FF">
        <w:rPr>
          <w:rFonts w:ascii="Arial" w:hAnsi="Arial" w:cs="Arial"/>
          <w:sz w:val="20"/>
          <w:szCs w:val="20"/>
        </w:rPr>
        <w:t xml:space="preserve"> dále rozdělených podle:</w:t>
      </w:r>
    </w:p>
    <w:p w:rsidR="002A4577" w:rsidRPr="00786FD5" w:rsidRDefault="003A2363">
      <w:pPr>
        <w:numPr>
          <w:ilvl w:val="0"/>
          <w:numId w:val="3"/>
        </w:numPr>
        <w:tabs>
          <w:tab w:val="left" w:pos="0"/>
          <w:tab w:val="left" w:pos="1015"/>
          <w:tab w:val="left" w:pos="1416"/>
          <w:tab w:val="left" w:pos="2124"/>
          <w:tab w:val="left" w:pos="2832"/>
          <w:tab w:val="left" w:pos="3540"/>
          <w:tab w:val="num" w:pos="3960"/>
          <w:tab w:val="left" w:pos="4248"/>
          <w:tab w:val="left" w:pos="4956"/>
          <w:tab w:val="left" w:pos="5664"/>
          <w:tab w:val="left" w:pos="6372"/>
          <w:tab w:val="left" w:pos="7080"/>
          <w:tab w:val="left" w:pos="7788"/>
          <w:tab w:val="left" w:pos="8496"/>
          <w:tab w:val="left" w:pos="9204"/>
          <w:tab w:val="left" w:pos="9912"/>
          <w:tab w:val="left" w:pos="10620"/>
          <w:tab w:val="left" w:pos="11328"/>
        </w:tabs>
        <w:spacing w:after="120"/>
        <w:jc w:val="both"/>
        <w:rPr>
          <w:rFonts w:ascii="Arial" w:hAnsi="Arial" w:cs="Arial"/>
          <w:sz w:val="20"/>
          <w:szCs w:val="20"/>
          <w:u w:val="single"/>
        </w:rPr>
      </w:pPr>
      <w:r w:rsidRPr="00DF48FF">
        <w:rPr>
          <w:rFonts w:ascii="Arial" w:hAnsi="Arial" w:cs="Arial"/>
          <w:sz w:val="20"/>
          <w:szCs w:val="20"/>
          <w:u w:val="single"/>
        </w:rPr>
        <w:t>ekonomického postavení za každý kraj (NUTS3)</w:t>
      </w:r>
    </w:p>
    <w:p w:rsidR="00811140" w:rsidRPr="003A2363" w:rsidRDefault="00DF48FF" w:rsidP="00786FD5">
      <w:pPr>
        <w:numPr>
          <w:ilvl w:val="0"/>
          <w:numId w:val="19"/>
        </w:numPr>
        <w:tabs>
          <w:tab w:val="left" w:pos="0"/>
          <w:tab w:val="left" w:pos="1015"/>
          <w:tab w:val="left" w:pos="1416"/>
          <w:tab w:val="left" w:pos="2124"/>
          <w:tab w:val="left" w:pos="2832"/>
          <w:tab w:val="left" w:pos="3540"/>
          <w:tab w:val="num" w:pos="3960"/>
          <w:tab w:val="left" w:pos="4248"/>
          <w:tab w:val="left" w:pos="4956"/>
          <w:tab w:val="left" w:pos="5664"/>
          <w:tab w:val="left" w:pos="6372"/>
          <w:tab w:val="left" w:pos="7080"/>
          <w:tab w:val="left" w:pos="7788"/>
          <w:tab w:val="left" w:pos="8496"/>
          <w:tab w:val="left" w:pos="9204"/>
          <w:tab w:val="left" w:pos="9912"/>
          <w:tab w:val="left" w:pos="10620"/>
          <w:tab w:val="left" w:pos="11328"/>
        </w:tabs>
        <w:spacing w:after="120"/>
        <w:jc w:val="both"/>
        <w:rPr>
          <w:rFonts w:ascii="Arial" w:hAnsi="Arial" w:cs="Arial"/>
          <w:sz w:val="20"/>
          <w:szCs w:val="20"/>
          <w:u w:val="single"/>
        </w:rPr>
      </w:pPr>
      <w:r w:rsidRPr="00DF48FF">
        <w:rPr>
          <w:rFonts w:ascii="Arial" w:hAnsi="Arial" w:cs="Arial"/>
          <w:sz w:val="20"/>
          <w:szCs w:val="20"/>
          <w:u w:val="single"/>
        </w:rPr>
        <w:t>počet zaměstnanců</w:t>
      </w:r>
      <w:r w:rsidRPr="00DF48FF">
        <w:rPr>
          <w:rFonts w:ascii="Arial" w:hAnsi="Arial" w:cs="Arial"/>
          <w:sz w:val="20"/>
          <w:szCs w:val="20"/>
        </w:rPr>
        <w:t xml:space="preserve"> (osob v zaměstnaneckém poměru) – odhad stanovený na základě výsledků výběrového šetření pracovních sil (VŠPS) a údajů o počtu zaměstnanců v národním hospodářství z podnikového výkaznictví za rok 201</w:t>
      </w:r>
      <w:r w:rsidR="00E208D0">
        <w:rPr>
          <w:rFonts w:ascii="Arial" w:hAnsi="Arial" w:cs="Arial"/>
          <w:sz w:val="20"/>
          <w:szCs w:val="20"/>
        </w:rPr>
        <w:t>7</w:t>
      </w:r>
      <w:r w:rsidRPr="00DF48FF">
        <w:rPr>
          <w:rFonts w:ascii="Arial" w:hAnsi="Arial" w:cs="Arial"/>
          <w:sz w:val="20"/>
          <w:szCs w:val="20"/>
          <w:u w:val="single"/>
        </w:rPr>
        <w:t xml:space="preserve"> </w:t>
      </w:r>
    </w:p>
    <w:p w:rsidR="00724C75" w:rsidRPr="00F83D7E" w:rsidRDefault="00DF48FF" w:rsidP="00724C75">
      <w:pPr>
        <w:numPr>
          <w:ilvl w:val="0"/>
          <w:numId w:val="19"/>
        </w:numPr>
        <w:tabs>
          <w:tab w:val="left" w:pos="0"/>
          <w:tab w:val="left" w:pos="1015"/>
          <w:tab w:val="left" w:pos="1416"/>
          <w:tab w:val="left" w:pos="2124"/>
          <w:tab w:val="left" w:pos="2832"/>
          <w:tab w:val="left" w:pos="3540"/>
          <w:tab w:val="num" w:pos="3960"/>
          <w:tab w:val="left" w:pos="4248"/>
          <w:tab w:val="left" w:pos="4956"/>
          <w:tab w:val="left" w:pos="5664"/>
          <w:tab w:val="left" w:pos="6372"/>
          <w:tab w:val="left" w:pos="7080"/>
          <w:tab w:val="left" w:pos="7788"/>
          <w:tab w:val="left" w:pos="8496"/>
          <w:tab w:val="left" w:pos="9204"/>
          <w:tab w:val="left" w:pos="9912"/>
          <w:tab w:val="left" w:pos="10620"/>
          <w:tab w:val="left" w:pos="11328"/>
        </w:tabs>
        <w:spacing w:after="120"/>
        <w:jc w:val="both"/>
        <w:rPr>
          <w:rFonts w:ascii="Arial" w:hAnsi="Arial" w:cs="Arial"/>
          <w:sz w:val="20"/>
          <w:szCs w:val="20"/>
        </w:rPr>
      </w:pPr>
      <w:r w:rsidRPr="00DF48FF">
        <w:rPr>
          <w:rFonts w:ascii="Arial" w:hAnsi="Arial" w:cs="Arial"/>
          <w:sz w:val="20"/>
          <w:szCs w:val="20"/>
          <w:u w:val="single"/>
        </w:rPr>
        <w:t>počet důchodců</w:t>
      </w:r>
      <w:r w:rsidRPr="00DF48FF">
        <w:rPr>
          <w:rFonts w:ascii="Arial" w:hAnsi="Arial" w:cs="Arial"/>
          <w:sz w:val="20"/>
          <w:szCs w:val="20"/>
        </w:rPr>
        <w:t xml:space="preserve"> (osob pobírajících důchod kromě sirotčího) - odvozený z údajů Ministerstva práce a sociálních věcí (MPSV) a České správy sociálního zabezpečení (ČSSZ) podle stavu na konci roku 201</w:t>
      </w:r>
      <w:r w:rsidR="00E208D0">
        <w:rPr>
          <w:rFonts w:ascii="Arial" w:hAnsi="Arial" w:cs="Arial"/>
          <w:sz w:val="20"/>
          <w:szCs w:val="20"/>
        </w:rPr>
        <w:t>7</w:t>
      </w:r>
      <w:r w:rsidRPr="00DF48FF">
        <w:rPr>
          <w:rFonts w:ascii="Arial" w:hAnsi="Arial" w:cs="Arial"/>
          <w:sz w:val="20"/>
          <w:szCs w:val="20"/>
        </w:rPr>
        <w:t>, přičemž byl odečten počet důchodců žijících v ústavních zařízeních a důchodců žijících mimo byty a zařízení (podle SLBD 2011),</w:t>
      </w:r>
    </w:p>
    <w:p w:rsidR="002A4577" w:rsidRPr="00F83D7E" w:rsidRDefault="00DF48FF">
      <w:pPr>
        <w:numPr>
          <w:ilvl w:val="0"/>
          <w:numId w:val="7"/>
        </w:numPr>
        <w:tabs>
          <w:tab w:val="left" w:pos="0"/>
          <w:tab w:val="left" w:pos="1015"/>
          <w:tab w:val="left" w:pos="1416"/>
          <w:tab w:val="left" w:pos="2124"/>
          <w:tab w:val="left" w:pos="2832"/>
          <w:tab w:val="left" w:pos="3540"/>
          <w:tab w:val="num" w:pos="3960"/>
          <w:tab w:val="left" w:pos="4248"/>
          <w:tab w:val="left" w:pos="4956"/>
          <w:tab w:val="left" w:pos="5664"/>
          <w:tab w:val="left" w:pos="6372"/>
          <w:tab w:val="left" w:pos="7080"/>
          <w:tab w:val="left" w:pos="7788"/>
          <w:tab w:val="left" w:pos="8496"/>
          <w:tab w:val="left" w:pos="9204"/>
          <w:tab w:val="left" w:pos="9912"/>
          <w:tab w:val="left" w:pos="10620"/>
          <w:tab w:val="left" w:pos="11328"/>
        </w:tabs>
        <w:spacing w:after="120"/>
        <w:jc w:val="both"/>
        <w:rPr>
          <w:rFonts w:ascii="Arial" w:hAnsi="Arial" w:cs="Arial"/>
          <w:sz w:val="20"/>
          <w:szCs w:val="20"/>
        </w:rPr>
      </w:pPr>
      <w:r w:rsidRPr="00DF48FF">
        <w:rPr>
          <w:rFonts w:ascii="Arial" w:hAnsi="Arial" w:cs="Arial"/>
          <w:sz w:val="20"/>
          <w:szCs w:val="20"/>
          <w:u w:val="single"/>
        </w:rPr>
        <w:t>počet nezaměstnaných</w:t>
      </w:r>
      <w:r w:rsidRPr="00DF48FF">
        <w:rPr>
          <w:rFonts w:ascii="Arial" w:hAnsi="Arial" w:cs="Arial"/>
          <w:i/>
          <w:iCs/>
          <w:sz w:val="20"/>
          <w:szCs w:val="20"/>
        </w:rPr>
        <w:t xml:space="preserve"> </w:t>
      </w:r>
      <w:r w:rsidRPr="00DF48FF">
        <w:rPr>
          <w:rFonts w:ascii="Arial" w:hAnsi="Arial" w:cs="Arial"/>
          <w:sz w:val="20"/>
          <w:szCs w:val="20"/>
        </w:rPr>
        <w:t>- údaje z evidence MPSV za rok 201</w:t>
      </w:r>
      <w:r w:rsidR="00E208D0">
        <w:rPr>
          <w:rFonts w:ascii="Arial" w:hAnsi="Arial" w:cs="Arial"/>
          <w:sz w:val="20"/>
          <w:szCs w:val="20"/>
        </w:rPr>
        <w:t>7</w:t>
      </w:r>
      <w:r w:rsidRPr="00DF48FF">
        <w:rPr>
          <w:rFonts w:ascii="Arial" w:hAnsi="Arial" w:cs="Arial"/>
          <w:sz w:val="20"/>
          <w:szCs w:val="20"/>
        </w:rPr>
        <w:t xml:space="preserve"> byly upraveny odhadem neregistrované nezaměstnanosti na základě výsledků VŠPS, </w:t>
      </w:r>
    </w:p>
    <w:p w:rsidR="002A4577" w:rsidRPr="00F83D7E" w:rsidRDefault="00DF48FF">
      <w:pPr>
        <w:numPr>
          <w:ilvl w:val="0"/>
          <w:numId w:val="7"/>
        </w:numPr>
        <w:tabs>
          <w:tab w:val="left" w:pos="0"/>
          <w:tab w:val="left" w:pos="1015"/>
          <w:tab w:val="left" w:pos="1416"/>
          <w:tab w:val="left" w:pos="2124"/>
          <w:tab w:val="left" w:pos="2832"/>
          <w:tab w:val="left" w:pos="3540"/>
          <w:tab w:val="num" w:pos="3960"/>
          <w:tab w:val="left" w:pos="4248"/>
          <w:tab w:val="left" w:pos="4956"/>
          <w:tab w:val="left" w:pos="5664"/>
          <w:tab w:val="left" w:pos="6372"/>
          <w:tab w:val="left" w:pos="7080"/>
          <w:tab w:val="left" w:pos="7788"/>
          <w:tab w:val="left" w:pos="8496"/>
          <w:tab w:val="left" w:pos="9204"/>
          <w:tab w:val="left" w:pos="9912"/>
          <w:tab w:val="left" w:pos="10620"/>
          <w:tab w:val="left" w:pos="11328"/>
        </w:tabs>
        <w:spacing w:after="120"/>
        <w:jc w:val="both"/>
        <w:rPr>
          <w:rFonts w:ascii="Arial" w:hAnsi="Arial" w:cs="Arial"/>
          <w:sz w:val="20"/>
          <w:szCs w:val="20"/>
        </w:rPr>
      </w:pPr>
      <w:r w:rsidRPr="00DF48FF">
        <w:rPr>
          <w:rFonts w:ascii="Arial" w:hAnsi="Arial" w:cs="Arial"/>
          <w:sz w:val="20"/>
          <w:szCs w:val="20"/>
          <w:u w:val="single"/>
        </w:rPr>
        <w:t>počet samostatně činných osob</w:t>
      </w:r>
      <w:r w:rsidRPr="00DF48FF">
        <w:rPr>
          <w:rFonts w:ascii="Arial" w:hAnsi="Arial" w:cs="Arial"/>
          <w:sz w:val="20"/>
          <w:szCs w:val="20"/>
        </w:rPr>
        <w:t xml:space="preserve"> - odhad stanovený na základě výsledků VŠPS za rok 201</w:t>
      </w:r>
      <w:r w:rsidR="00D51BDF">
        <w:rPr>
          <w:rFonts w:ascii="Arial" w:hAnsi="Arial" w:cs="Arial"/>
          <w:sz w:val="20"/>
          <w:szCs w:val="20"/>
        </w:rPr>
        <w:t>7</w:t>
      </w:r>
      <w:r w:rsidRPr="00DF48FF">
        <w:rPr>
          <w:rFonts w:ascii="Arial" w:hAnsi="Arial" w:cs="Arial"/>
          <w:sz w:val="20"/>
          <w:szCs w:val="20"/>
        </w:rPr>
        <w:t xml:space="preserve"> a údajů ČSSZ podle stavu na konci roku 201</w:t>
      </w:r>
      <w:r w:rsidR="00E208D0">
        <w:rPr>
          <w:rFonts w:ascii="Arial" w:hAnsi="Arial" w:cs="Arial"/>
          <w:sz w:val="20"/>
          <w:szCs w:val="20"/>
        </w:rPr>
        <w:t>7</w:t>
      </w:r>
      <w:r w:rsidRPr="00DF48FF">
        <w:rPr>
          <w:rFonts w:ascii="Arial" w:hAnsi="Arial" w:cs="Arial"/>
          <w:sz w:val="20"/>
          <w:szCs w:val="20"/>
        </w:rPr>
        <w:t>,</w:t>
      </w:r>
    </w:p>
    <w:p w:rsidR="002A4577" w:rsidRPr="00F83D7E" w:rsidRDefault="00DF48FF">
      <w:pPr>
        <w:numPr>
          <w:ilvl w:val="0"/>
          <w:numId w:val="7"/>
        </w:numPr>
        <w:tabs>
          <w:tab w:val="left" w:pos="0"/>
          <w:tab w:val="left" w:pos="1015"/>
          <w:tab w:val="left" w:pos="1416"/>
          <w:tab w:val="left" w:pos="2124"/>
          <w:tab w:val="left" w:pos="2832"/>
          <w:tab w:val="left" w:pos="3540"/>
          <w:tab w:val="num" w:pos="3960"/>
          <w:tab w:val="left" w:pos="4248"/>
          <w:tab w:val="left" w:pos="4956"/>
          <w:tab w:val="left" w:pos="5664"/>
          <w:tab w:val="left" w:pos="6372"/>
          <w:tab w:val="left" w:pos="7080"/>
          <w:tab w:val="left" w:pos="7788"/>
          <w:tab w:val="left" w:pos="8496"/>
          <w:tab w:val="left" w:pos="9204"/>
          <w:tab w:val="left" w:pos="9912"/>
          <w:tab w:val="left" w:pos="10620"/>
          <w:tab w:val="left" w:pos="11328"/>
        </w:tabs>
        <w:spacing w:after="120"/>
        <w:jc w:val="both"/>
        <w:rPr>
          <w:rFonts w:ascii="Arial" w:hAnsi="Arial" w:cs="Arial"/>
          <w:sz w:val="20"/>
          <w:szCs w:val="20"/>
        </w:rPr>
      </w:pPr>
      <w:r w:rsidRPr="00DF48FF">
        <w:rPr>
          <w:rFonts w:ascii="Arial" w:hAnsi="Arial" w:cs="Arial"/>
          <w:sz w:val="20"/>
          <w:szCs w:val="20"/>
          <w:u w:val="single"/>
        </w:rPr>
        <w:t>počet dětí do 15 let včetně</w:t>
      </w:r>
      <w:r w:rsidRPr="00DF48FF">
        <w:rPr>
          <w:rFonts w:ascii="Arial" w:hAnsi="Arial" w:cs="Arial"/>
          <w:sz w:val="20"/>
          <w:szCs w:val="20"/>
        </w:rPr>
        <w:t xml:space="preserve"> - údaj z demografické statistiky k 31. 12. 201</w:t>
      </w:r>
      <w:r w:rsidR="00E208D0">
        <w:rPr>
          <w:rFonts w:ascii="Arial" w:hAnsi="Arial" w:cs="Arial"/>
          <w:sz w:val="20"/>
          <w:szCs w:val="20"/>
        </w:rPr>
        <w:t>7</w:t>
      </w:r>
      <w:r w:rsidRPr="00DF48FF">
        <w:rPr>
          <w:rFonts w:ascii="Arial" w:hAnsi="Arial" w:cs="Arial"/>
          <w:sz w:val="20"/>
          <w:szCs w:val="20"/>
        </w:rPr>
        <w:t>,</w:t>
      </w:r>
    </w:p>
    <w:p w:rsidR="002A4577" w:rsidRPr="00F83D7E" w:rsidRDefault="00DF48FF">
      <w:pPr>
        <w:numPr>
          <w:ilvl w:val="0"/>
          <w:numId w:val="3"/>
        </w:numPr>
        <w:tabs>
          <w:tab w:val="left" w:pos="0"/>
          <w:tab w:val="left" w:pos="101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after="120"/>
        <w:jc w:val="both"/>
        <w:rPr>
          <w:rFonts w:ascii="Arial" w:hAnsi="Arial" w:cs="Arial"/>
          <w:sz w:val="20"/>
          <w:szCs w:val="20"/>
        </w:rPr>
      </w:pPr>
      <w:r w:rsidRPr="00DF48FF">
        <w:rPr>
          <w:rFonts w:ascii="Arial" w:hAnsi="Arial" w:cs="Arial"/>
          <w:sz w:val="20"/>
          <w:szCs w:val="20"/>
          <w:u w:val="single"/>
        </w:rPr>
        <w:t>věkových skupin</w:t>
      </w:r>
      <w:r w:rsidRPr="00DF48FF">
        <w:rPr>
          <w:rFonts w:ascii="Arial" w:hAnsi="Arial" w:cs="Arial"/>
          <w:sz w:val="20"/>
          <w:szCs w:val="20"/>
        </w:rPr>
        <w:t xml:space="preserve"> (do 15, 16-24, 25-34, 35-44, 45-54, 55-64, 65-74, 7</w:t>
      </w:r>
      <w:r w:rsidR="0040039B">
        <w:rPr>
          <w:rFonts w:ascii="Arial" w:hAnsi="Arial" w:cs="Arial"/>
          <w:sz w:val="20"/>
          <w:szCs w:val="20"/>
        </w:rPr>
        <w:t>5</w:t>
      </w:r>
      <w:r w:rsidRPr="00DF48FF">
        <w:rPr>
          <w:rFonts w:ascii="Arial" w:hAnsi="Arial" w:cs="Arial"/>
          <w:sz w:val="20"/>
          <w:szCs w:val="20"/>
        </w:rPr>
        <w:t xml:space="preserve">+) resp. </w:t>
      </w:r>
      <w:r w:rsidRPr="00DF48FF">
        <w:rPr>
          <w:rFonts w:ascii="Arial" w:hAnsi="Arial" w:cs="Arial"/>
          <w:sz w:val="20"/>
          <w:szCs w:val="20"/>
          <w:u w:val="single"/>
        </w:rPr>
        <w:t>pohlaví</w:t>
      </w:r>
      <w:r w:rsidRPr="00DF48FF">
        <w:rPr>
          <w:rFonts w:ascii="Arial" w:hAnsi="Arial" w:cs="Arial"/>
          <w:sz w:val="20"/>
          <w:szCs w:val="20"/>
        </w:rPr>
        <w:t xml:space="preserve"> (muži, ženy) </w:t>
      </w:r>
      <w:r w:rsidRPr="00DF48FF">
        <w:rPr>
          <w:rFonts w:ascii="Arial" w:hAnsi="Arial" w:cs="Arial"/>
          <w:sz w:val="20"/>
          <w:szCs w:val="20"/>
          <w:u w:val="single"/>
        </w:rPr>
        <w:t xml:space="preserve">za </w:t>
      </w:r>
      <w:r w:rsidR="003A2363" w:rsidRPr="00DF48FF">
        <w:rPr>
          <w:rFonts w:ascii="Arial" w:hAnsi="Arial" w:cs="Arial"/>
          <w:sz w:val="20"/>
          <w:szCs w:val="20"/>
          <w:u w:val="single"/>
        </w:rPr>
        <w:t>každý kraj (NUTS3)</w:t>
      </w:r>
    </w:p>
    <w:p w:rsidR="002A4577" w:rsidRPr="00F83D7E" w:rsidRDefault="00DF48FF">
      <w:pPr>
        <w:numPr>
          <w:ilvl w:val="1"/>
          <w:numId w:val="5"/>
        </w:numPr>
        <w:tabs>
          <w:tab w:val="left" w:pos="0"/>
          <w:tab w:val="left" w:pos="1015"/>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after="120"/>
        <w:ind w:hanging="700"/>
        <w:jc w:val="both"/>
        <w:rPr>
          <w:rFonts w:ascii="Arial" w:hAnsi="Arial" w:cs="Arial"/>
          <w:sz w:val="20"/>
          <w:szCs w:val="20"/>
        </w:rPr>
      </w:pPr>
      <w:r w:rsidRPr="00DF48FF">
        <w:rPr>
          <w:rFonts w:ascii="Arial" w:hAnsi="Arial" w:cs="Arial"/>
          <w:sz w:val="20"/>
          <w:szCs w:val="20"/>
        </w:rPr>
        <w:t>struktura podle údajů z demografické statistiky k 31. 12. 201</w:t>
      </w:r>
      <w:r w:rsidR="00E208D0">
        <w:rPr>
          <w:rFonts w:ascii="Arial" w:hAnsi="Arial" w:cs="Arial"/>
          <w:sz w:val="20"/>
          <w:szCs w:val="20"/>
        </w:rPr>
        <w:t>7</w:t>
      </w:r>
      <w:r w:rsidRPr="00DF48FF">
        <w:rPr>
          <w:rFonts w:ascii="Arial" w:hAnsi="Arial" w:cs="Arial"/>
          <w:sz w:val="20"/>
          <w:szCs w:val="20"/>
        </w:rPr>
        <w:t>,</w:t>
      </w:r>
    </w:p>
    <w:p w:rsidR="002A4577" w:rsidRPr="00F83D7E" w:rsidRDefault="00DF48FF">
      <w:pPr>
        <w:numPr>
          <w:ilvl w:val="0"/>
          <w:numId w:val="3"/>
        </w:numPr>
        <w:tabs>
          <w:tab w:val="left" w:pos="0"/>
          <w:tab w:val="left" w:pos="1015"/>
          <w:tab w:val="left" w:pos="1416"/>
          <w:tab w:val="left" w:pos="2124"/>
          <w:tab w:val="left" w:pos="2832"/>
          <w:tab w:val="left" w:pos="3540"/>
          <w:tab w:val="num" w:pos="3960"/>
          <w:tab w:val="left" w:pos="4248"/>
          <w:tab w:val="left" w:pos="4956"/>
          <w:tab w:val="left" w:pos="5664"/>
          <w:tab w:val="left" w:pos="6372"/>
          <w:tab w:val="left" w:pos="7080"/>
          <w:tab w:val="left" w:pos="7788"/>
          <w:tab w:val="left" w:pos="8496"/>
          <w:tab w:val="left" w:pos="9204"/>
          <w:tab w:val="left" w:pos="9912"/>
          <w:tab w:val="left" w:pos="10620"/>
          <w:tab w:val="left" w:pos="11328"/>
        </w:tabs>
        <w:spacing w:after="120"/>
        <w:jc w:val="both"/>
        <w:rPr>
          <w:rFonts w:ascii="Arial" w:hAnsi="Arial" w:cs="Arial"/>
          <w:sz w:val="20"/>
          <w:szCs w:val="20"/>
        </w:rPr>
      </w:pPr>
      <w:r w:rsidRPr="00DF48FF">
        <w:rPr>
          <w:rFonts w:ascii="Arial" w:hAnsi="Arial" w:cs="Arial"/>
          <w:sz w:val="20"/>
          <w:szCs w:val="20"/>
          <w:u w:val="single"/>
        </w:rPr>
        <w:t xml:space="preserve">velikostních skupin obcí </w:t>
      </w:r>
      <w:r w:rsidR="003A2363">
        <w:rPr>
          <w:rFonts w:ascii="Arial" w:hAnsi="Arial" w:cs="Arial"/>
          <w:sz w:val="20"/>
          <w:szCs w:val="20"/>
          <w:u w:val="single"/>
        </w:rPr>
        <w:t xml:space="preserve">za </w:t>
      </w:r>
      <w:r w:rsidR="003A2363" w:rsidRPr="00DF48FF">
        <w:rPr>
          <w:rFonts w:ascii="Arial" w:hAnsi="Arial" w:cs="Arial"/>
          <w:sz w:val="20"/>
          <w:szCs w:val="20"/>
          <w:u w:val="single"/>
        </w:rPr>
        <w:t>každý kraj (</w:t>
      </w:r>
      <w:proofErr w:type="gramStart"/>
      <w:r w:rsidR="003A2363" w:rsidRPr="00DF48FF">
        <w:rPr>
          <w:rFonts w:ascii="Arial" w:hAnsi="Arial" w:cs="Arial"/>
          <w:sz w:val="20"/>
          <w:szCs w:val="20"/>
          <w:u w:val="single"/>
        </w:rPr>
        <w:t>NUTS3)</w:t>
      </w:r>
      <w:r w:rsidRPr="00DF48FF">
        <w:rPr>
          <w:rFonts w:ascii="Arial" w:hAnsi="Arial" w:cs="Arial"/>
          <w:sz w:val="20"/>
          <w:szCs w:val="20"/>
        </w:rPr>
        <w:t xml:space="preserve"> (do</w:t>
      </w:r>
      <w:proofErr w:type="gramEnd"/>
      <w:r w:rsidRPr="00DF48FF">
        <w:rPr>
          <w:rFonts w:ascii="Arial" w:hAnsi="Arial" w:cs="Arial"/>
          <w:sz w:val="20"/>
          <w:szCs w:val="20"/>
        </w:rPr>
        <w:t xml:space="preserve"> 2 tis. obyvatel, 2 000-9 999, 10 000- 49 999, 50 tis. a více obyvatel)</w:t>
      </w:r>
    </w:p>
    <w:p w:rsidR="002A4577" w:rsidRPr="00F83D7E" w:rsidRDefault="00DF48FF">
      <w:pPr>
        <w:numPr>
          <w:ilvl w:val="0"/>
          <w:numId w:val="6"/>
        </w:numPr>
        <w:tabs>
          <w:tab w:val="clear" w:pos="720"/>
          <w:tab w:val="left" w:pos="0"/>
          <w:tab w:val="left" w:pos="1015"/>
          <w:tab w:val="left" w:pos="1080"/>
          <w:tab w:val="left" w:pos="1440"/>
          <w:tab w:val="left" w:pos="180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after="120"/>
        <w:ind w:left="1015" w:hanging="295"/>
        <w:jc w:val="both"/>
        <w:rPr>
          <w:rFonts w:ascii="Arial" w:hAnsi="Arial" w:cs="Arial"/>
          <w:sz w:val="20"/>
          <w:szCs w:val="20"/>
        </w:rPr>
      </w:pPr>
      <w:r w:rsidRPr="00DF48FF">
        <w:rPr>
          <w:rFonts w:ascii="Arial" w:hAnsi="Arial" w:cs="Arial"/>
          <w:sz w:val="20"/>
          <w:szCs w:val="20"/>
        </w:rPr>
        <w:t>odhady byly odvozeny ze stavu obyvatelstva k 31. 12. 201</w:t>
      </w:r>
      <w:r w:rsidR="00E208D0">
        <w:rPr>
          <w:rFonts w:ascii="Arial" w:hAnsi="Arial" w:cs="Arial"/>
          <w:sz w:val="20"/>
          <w:szCs w:val="20"/>
        </w:rPr>
        <w:t>7</w:t>
      </w:r>
      <w:r w:rsidRPr="00DF48FF">
        <w:rPr>
          <w:rFonts w:ascii="Arial" w:hAnsi="Arial" w:cs="Arial"/>
          <w:sz w:val="20"/>
          <w:szCs w:val="20"/>
        </w:rPr>
        <w:t xml:space="preserve"> v obcích podle správní organizace k</w:t>
      </w:r>
      <w:r w:rsidR="002D2D58">
        <w:rPr>
          <w:rFonts w:ascii="Arial" w:hAnsi="Arial" w:cs="Arial"/>
          <w:sz w:val="20"/>
          <w:szCs w:val="20"/>
        </w:rPr>
        <w:t> </w:t>
      </w:r>
      <w:r w:rsidRPr="00DF48FF">
        <w:rPr>
          <w:rFonts w:ascii="Arial" w:hAnsi="Arial" w:cs="Arial"/>
          <w:sz w:val="20"/>
          <w:szCs w:val="20"/>
        </w:rPr>
        <w:t>1. lednu 201</w:t>
      </w:r>
      <w:r w:rsidR="00E208D0">
        <w:rPr>
          <w:rFonts w:ascii="Arial" w:hAnsi="Arial" w:cs="Arial"/>
          <w:sz w:val="20"/>
          <w:szCs w:val="20"/>
        </w:rPr>
        <w:t>8</w:t>
      </w:r>
      <w:r w:rsidRPr="00DF48FF">
        <w:rPr>
          <w:rFonts w:ascii="Arial" w:hAnsi="Arial" w:cs="Arial"/>
          <w:sz w:val="20"/>
          <w:szCs w:val="20"/>
        </w:rPr>
        <w:t xml:space="preserve"> z údajů demografické statistiky.</w:t>
      </w:r>
    </w:p>
    <w:p w:rsidR="002A4577" w:rsidRPr="00F83D7E" w:rsidRDefault="002A4577">
      <w:pPr>
        <w:tabs>
          <w:tab w:val="left" w:pos="0"/>
          <w:tab w:val="left" w:pos="708"/>
          <w:tab w:val="left" w:pos="101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left="697"/>
        <w:jc w:val="both"/>
        <w:rPr>
          <w:rFonts w:ascii="Arial" w:hAnsi="Arial" w:cs="Arial"/>
          <w:sz w:val="20"/>
          <w:szCs w:val="20"/>
        </w:rPr>
      </w:pPr>
    </w:p>
    <w:p w:rsidR="002A4577" w:rsidRPr="00F83D7E" w:rsidRDefault="00DF48FF">
      <w:pPr>
        <w:tabs>
          <w:tab w:val="left" w:pos="0"/>
          <w:tab w:val="left" w:pos="708"/>
          <w:tab w:val="left" w:pos="101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120"/>
        <w:jc w:val="both"/>
        <w:rPr>
          <w:rFonts w:ascii="Arial" w:hAnsi="Arial" w:cs="Arial"/>
          <w:sz w:val="20"/>
          <w:szCs w:val="20"/>
        </w:rPr>
      </w:pPr>
      <w:r w:rsidRPr="00DF48FF">
        <w:rPr>
          <w:rFonts w:ascii="Arial" w:hAnsi="Arial" w:cs="Arial"/>
          <w:sz w:val="20"/>
          <w:szCs w:val="20"/>
        </w:rPr>
        <w:tab/>
        <w:t xml:space="preserve">Protože šetření podléhaly pouze osoby žijící v bytech, byly na úrovni ČR od všech údajů z demografie odečteny odhady počtu osob žijících v ústavních domácnostech (nápravných zařízeních pro </w:t>
      </w:r>
      <w:proofErr w:type="gramStart"/>
      <w:r w:rsidRPr="00DF48FF">
        <w:rPr>
          <w:rFonts w:ascii="Arial" w:hAnsi="Arial" w:cs="Arial"/>
          <w:sz w:val="20"/>
          <w:szCs w:val="20"/>
        </w:rPr>
        <w:t>mladistvé</w:t>
      </w:r>
      <w:proofErr w:type="gramEnd"/>
      <w:r w:rsidRPr="00DF48FF">
        <w:rPr>
          <w:rFonts w:ascii="Arial" w:hAnsi="Arial" w:cs="Arial"/>
          <w:sz w:val="20"/>
          <w:szCs w:val="20"/>
        </w:rPr>
        <w:t xml:space="preserve">, </w:t>
      </w:r>
      <w:proofErr w:type="gramStart"/>
      <w:r w:rsidRPr="00DF48FF">
        <w:rPr>
          <w:rFonts w:ascii="Arial" w:hAnsi="Arial" w:cs="Arial"/>
          <w:sz w:val="20"/>
          <w:szCs w:val="20"/>
        </w:rPr>
        <w:t>ústavech</w:t>
      </w:r>
      <w:proofErr w:type="gramEnd"/>
      <w:r w:rsidRPr="00DF48FF">
        <w:rPr>
          <w:rFonts w:ascii="Arial" w:hAnsi="Arial" w:cs="Arial"/>
          <w:sz w:val="20"/>
          <w:szCs w:val="20"/>
        </w:rPr>
        <w:t xml:space="preserve"> sociální péče, domovech důchodců apod.) podle údajů statistiky sociálního zabezpečení, resp. ve věznicích podle údajů Ministerstva spravedlnosti. Dále byly odečteny </w:t>
      </w:r>
      <w:r w:rsidR="00607DA1">
        <w:rPr>
          <w:rFonts w:ascii="Arial" w:hAnsi="Arial" w:cs="Arial"/>
          <w:sz w:val="20"/>
          <w:szCs w:val="20"/>
        </w:rPr>
        <w:t xml:space="preserve">odhady počtu </w:t>
      </w:r>
      <w:r w:rsidRPr="00DF48FF">
        <w:rPr>
          <w:rFonts w:ascii="Arial" w:hAnsi="Arial" w:cs="Arial"/>
          <w:sz w:val="20"/>
          <w:szCs w:val="20"/>
        </w:rPr>
        <w:t>osob bydlící</w:t>
      </w:r>
      <w:r w:rsidR="00607DA1">
        <w:rPr>
          <w:rFonts w:ascii="Arial" w:hAnsi="Arial" w:cs="Arial"/>
          <w:sz w:val="20"/>
          <w:szCs w:val="20"/>
        </w:rPr>
        <w:t>ch</w:t>
      </w:r>
      <w:r w:rsidRPr="00DF48FF">
        <w:rPr>
          <w:rFonts w:ascii="Arial" w:hAnsi="Arial" w:cs="Arial"/>
          <w:sz w:val="20"/>
          <w:szCs w:val="20"/>
        </w:rPr>
        <w:t xml:space="preserve"> v zařízeních (např. ubytovny a svobodárny, obydlí mimo bytový fond) a osob žijící</w:t>
      </w:r>
      <w:r w:rsidR="00607DA1">
        <w:rPr>
          <w:rFonts w:ascii="Arial" w:hAnsi="Arial" w:cs="Arial"/>
          <w:sz w:val="20"/>
          <w:szCs w:val="20"/>
        </w:rPr>
        <w:t>ch</w:t>
      </w:r>
      <w:r w:rsidRPr="00DF48FF">
        <w:rPr>
          <w:rFonts w:ascii="Arial" w:hAnsi="Arial" w:cs="Arial"/>
          <w:sz w:val="20"/>
          <w:szCs w:val="20"/>
        </w:rPr>
        <w:t xml:space="preserve"> mimo byty a zařízení podle výsledků SLBD 2011.</w:t>
      </w:r>
    </w:p>
    <w:p w:rsidR="002A4577" w:rsidRPr="00F83D7E" w:rsidRDefault="00DF48FF">
      <w:pPr>
        <w:pStyle w:val="Zkladntext"/>
        <w:tabs>
          <w:tab w:val="left" w:pos="0"/>
          <w:tab w:val="left" w:pos="708"/>
          <w:tab w:val="left" w:pos="101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120"/>
        <w:rPr>
          <w:rFonts w:ascii="Arial" w:hAnsi="Arial" w:cs="Arial"/>
          <w:sz w:val="20"/>
          <w:szCs w:val="20"/>
        </w:rPr>
      </w:pPr>
      <w:r w:rsidRPr="00DF48FF">
        <w:rPr>
          <w:rFonts w:ascii="Arial" w:hAnsi="Arial" w:cs="Arial"/>
          <w:sz w:val="20"/>
          <w:szCs w:val="20"/>
        </w:rPr>
        <w:tab/>
        <w:t xml:space="preserve">Jelikož výběrovou jednotkou je byt, byly přepočtové koeficienty konstruovány pro bytové domácnosti a posléze přiřazeny všem osobám i hospodařícím domácnostem v každé z nich (tzv. integrované váhy). </w:t>
      </w:r>
    </w:p>
    <w:p w:rsidR="002A4577" w:rsidRPr="00F83D7E" w:rsidRDefault="00DF48FF">
      <w:pPr>
        <w:tabs>
          <w:tab w:val="left" w:pos="0"/>
          <w:tab w:val="left" w:pos="708"/>
          <w:tab w:val="left" w:pos="101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120"/>
        <w:jc w:val="both"/>
        <w:rPr>
          <w:rFonts w:ascii="Arial" w:hAnsi="Arial" w:cs="Arial"/>
          <w:sz w:val="20"/>
          <w:szCs w:val="20"/>
        </w:rPr>
      </w:pPr>
      <w:r w:rsidRPr="00DF48FF">
        <w:rPr>
          <w:rFonts w:ascii="Arial" w:hAnsi="Arial" w:cs="Arial"/>
          <w:sz w:val="20"/>
          <w:szCs w:val="20"/>
        </w:rPr>
        <w:tab/>
        <w:t>Takto konstruovaný přepočet úspěšně odstraňuje vliv non-response, tzn. zkreslení vzniklé z rozdílného složení domácností, jež nebyly vyšetřeny. Napravuje především demografickou a sociální strukturu, současně však eliminuje i s tím související deformaci příjmových ukazatelů ve výběrovém souboru.</w:t>
      </w:r>
    </w:p>
    <w:p w:rsidR="002A4577" w:rsidRPr="00F83D7E" w:rsidRDefault="00DF48FF">
      <w:pPr>
        <w:pStyle w:val="Zkladntext"/>
        <w:tabs>
          <w:tab w:val="left" w:pos="0"/>
          <w:tab w:val="left" w:pos="708"/>
          <w:tab w:val="left" w:pos="101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120"/>
        <w:rPr>
          <w:rFonts w:ascii="Arial" w:hAnsi="Arial" w:cs="Arial"/>
          <w:sz w:val="20"/>
          <w:szCs w:val="20"/>
        </w:rPr>
      </w:pPr>
      <w:r w:rsidRPr="00DF48FF">
        <w:rPr>
          <w:rFonts w:ascii="Arial" w:hAnsi="Arial" w:cs="Arial"/>
          <w:sz w:val="20"/>
          <w:szCs w:val="20"/>
        </w:rPr>
        <w:tab/>
        <w:t xml:space="preserve">Další zkreslení, které bylo nutno brát při zpracování dat v úvahu, vyplývá ze samotného způsobu šetření. Při zjišťování přímým dotazem v domácnostech dochází obvykle k tomu, že některé sdělené kvantitativní údaje (zejména se to týká peněžních příjmů, příp. nákladů na bydlení) jsou buď podhodnocené či nadhodnocené anebo chybí zcela (tzv. částečná non-response). Aby se zbytečně nesnižovala velikost zpracovávaného datového souboru, byly takové případy nejprve ošetřeny a dopočteny korektními statistickými metodami a posléze zahrnuty do zpracování. </w:t>
      </w:r>
    </w:p>
    <w:p w:rsidR="002A4577" w:rsidRPr="00F83D7E" w:rsidRDefault="00DF48FF">
      <w:pPr>
        <w:pStyle w:val="Zkladntext"/>
        <w:tabs>
          <w:tab w:val="left" w:pos="360"/>
          <w:tab w:val="left" w:pos="720"/>
          <w:tab w:val="left" w:pos="1440"/>
          <w:tab w:val="left" w:pos="2340"/>
        </w:tabs>
        <w:spacing w:after="120"/>
        <w:rPr>
          <w:rFonts w:ascii="Arial" w:hAnsi="Arial" w:cs="Arial"/>
          <w:sz w:val="20"/>
          <w:szCs w:val="20"/>
        </w:rPr>
      </w:pPr>
      <w:r w:rsidRPr="00DF48FF">
        <w:rPr>
          <w:rFonts w:ascii="Arial" w:hAnsi="Arial" w:cs="Arial"/>
          <w:sz w:val="20"/>
          <w:szCs w:val="20"/>
        </w:rPr>
        <w:tab/>
      </w:r>
      <w:r w:rsidRPr="00DF48FF">
        <w:rPr>
          <w:rFonts w:ascii="Arial" w:hAnsi="Arial" w:cs="Arial"/>
          <w:sz w:val="20"/>
          <w:szCs w:val="20"/>
        </w:rPr>
        <w:tab/>
      </w:r>
      <w:r w:rsidR="0076508F" w:rsidRPr="00786FD5">
        <w:rPr>
          <w:rFonts w:ascii="Arial" w:hAnsi="Arial" w:cs="Arial"/>
          <w:sz w:val="20"/>
          <w:szCs w:val="20"/>
        </w:rPr>
        <w:t>V</w:t>
      </w:r>
      <w:r w:rsidR="00B275ED" w:rsidRPr="00786FD5">
        <w:rPr>
          <w:rFonts w:ascii="Arial" w:hAnsi="Arial" w:cs="Arial"/>
          <w:sz w:val="20"/>
          <w:szCs w:val="20"/>
        </w:rPr>
        <w:t>e</w:t>
      </w:r>
      <w:r w:rsidR="0076508F" w:rsidRPr="00786FD5">
        <w:rPr>
          <w:rFonts w:ascii="Arial" w:hAnsi="Arial" w:cs="Arial"/>
          <w:sz w:val="20"/>
          <w:szCs w:val="20"/>
        </w:rPr>
        <w:t xml:space="preserve"> </w:t>
      </w:r>
      <w:r w:rsidR="00CC7B38" w:rsidRPr="00786FD5">
        <w:rPr>
          <w:rFonts w:ascii="Arial" w:hAnsi="Arial" w:cs="Arial"/>
          <w:sz w:val="20"/>
          <w:szCs w:val="20"/>
        </w:rPr>
        <w:t>2</w:t>
      </w:r>
      <w:r w:rsidR="007D2B90" w:rsidRPr="00786FD5">
        <w:rPr>
          <w:rFonts w:ascii="Arial" w:hAnsi="Arial" w:cs="Arial"/>
          <w:sz w:val="20"/>
          <w:szCs w:val="20"/>
        </w:rPr>
        <w:t>0</w:t>
      </w:r>
      <w:r w:rsidR="0076508F" w:rsidRPr="00786FD5">
        <w:rPr>
          <w:rFonts w:ascii="Arial" w:hAnsi="Arial" w:cs="Arial"/>
          <w:sz w:val="20"/>
          <w:szCs w:val="20"/>
        </w:rPr>
        <w:t xml:space="preserve"> případech</w:t>
      </w:r>
      <w:r w:rsidRPr="00DF48FF">
        <w:rPr>
          <w:rFonts w:ascii="Arial" w:hAnsi="Arial" w:cs="Arial"/>
          <w:sz w:val="20"/>
          <w:szCs w:val="20"/>
        </w:rPr>
        <w:t xml:space="preserve"> se nepodařilo získat údaje o příjmech jednoho z členů domácnosti, chybějící příjmy u těchto osob byly doplněny od jiné náhodně vybrané osoby (z jiné domácnosti) se stejnými charakteristikami, tj. byla použita tzv. hot-</w:t>
      </w:r>
      <w:proofErr w:type="spellStart"/>
      <w:r w:rsidRPr="00DF48FF">
        <w:rPr>
          <w:rFonts w:ascii="Arial" w:hAnsi="Arial" w:cs="Arial"/>
          <w:sz w:val="20"/>
          <w:szCs w:val="20"/>
        </w:rPr>
        <w:t>deck</w:t>
      </w:r>
      <w:proofErr w:type="spellEnd"/>
      <w:r w:rsidRPr="00DF48FF">
        <w:rPr>
          <w:rFonts w:ascii="Arial" w:hAnsi="Arial" w:cs="Arial"/>
          <w:sz w:val="20"/>
          <w:szCs w:val="20"/>
        </w:rPr>
        <w:t xml:space="preserve"> metoda.</w:t>
      </w:r>
    </w:p>
    <w:p w:rsidR="002A4577" w:rsidRPr="00F83D7E" w:rsidRDefault="00DF48FF">
      <w:pPr>
        <w:tabs>
          <w:tab w:val="left" w:pos="0"/>
          <w:tab w:val="left" w:pos="708"/>
          <w:tab w:val="left" w:pos="101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120"/>
        <w:jc w:val="both"/>
        <w:rPr>
          <w:rFonts w:ascii="Arial" w:hAnsi="Arial" w:cs="Arial"/>
          <w:sz w:val="20"/>
          <w:szCs w:val="20"/>
        </w:rPr>
      </w:pPr>
      <w:r w:rsidRPr="00DF48FF">
        <w:rPr>
          <w:rFonts w:ascii="Arial" w:hAnsi="Arial" w:cs="Arial"/>
          <w:sz w:val="20"/>
          <w:szCs w:val="20"/>
        </w:rPr>
        <w:tab/>
        <w:t>Podhodnocení některých sdělených příjmů je přirozeným důsledkem toho, že respondenti mají buď snahu udávat nižší příjmy, než jaké ve skutečnosti měli, anebo si na některý příjem vůbec nevzpomenou. V podstatě se jedná o chybu zjišťování, u níž má nezanedbatelný vliv samotná výše příjmů a jejich zdroj. Možnosti, jak toto podhodnocení eliminovat, jsou však poměrně omezené. Před zpracováním výsledků šetření byly na úrovni jednotlivých osob provedeny pouze úpravy takových druhů příjmů, u nichž bylo možné se opřít o jiné dostatečně věrohodné statistické údaje nebo daňové či jiné právní předpisy.</w:t>
      </w:r>
    </w:p>
    <w:p w:rsidR="002A4577" w:rsidRPr="00F83D7E" w:rsidRDefault="00DF48FF">
      <w:pPr>
        <w:tabs>
          <w:tab w:val="left" w:pos="0"/>
          <w:tab w:val="left" w:pos="708"/>
          <w:tab w:val="left" w:pos="101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120"/>
        <w:jc w:val="both"/>
        <w:rPr>
          <w:rFonts w:ascii="Arial" w:hAnsi="Arial" w:cs="Arial"/>
          <w:sz w:val="20"/>
          <w:szCs w:val="20"/>
        </w:rPr>
      </w:pPr>
      <w:r w:rsidRPr="00DF48FF">
        <w:rPr>
          <w:rFonts w:ascii="Arial" w:hAnsi="Arial" w:cs="Arial"/>
          <w:sz w:val="20"/>
          <w:szCs w:val="20"/>
        </w:rPr>
        <w:tab/>
        <w:t>Pokud respondenti uvádějí příjmy ze závislé činnosti jako čisté, obecně se ve větší míře projevuje tendence k jejich zkreslení (ať už v podobě podhodnocení či naopak nadhodnocení) a roste tzv. nevýběrová chyba. Může se jednat o případy, kdy zaměstnavatel sráží zaměstnanci určité částky ze mzdy (např. výživné nebo příspěvek na penzijní připojištění). Při dopočtu hrubé částky byly tyto nepřesnosti na základě jiných zjištěných údajů odpovídajícím způsobem kompenzovány. Výše hrubých příjmů ze závislé činnosti byla porovnána s údaji ze statistiky práce a u osob, které byly šetřeny opakovaně a proti předchozímu roku nezměnily zaměstnání, s údaji zjištěnými v předchozích vlnách. U části respondentů se stalo, že ve</w:t>
      </w:r>
      <w:r w:rsidR="00AF2337">
        <w:rPr>
          <w:rFonts w:ascii="Arial" w:hAnsi="Arial" w:cs="Arial"/>
          <w:sz w:val="20"/>
          <w:szCs w:val="20"/>
        </w:rPr>
        <w:t> </w:t>
      </w:r>
      <w:r w:rsidRPr="00DF48FF">
        <w:rPr>
          <w:rFonts w:ascii="Arial" w:hAnsi="Arial" w:cs="Arial"/>
          <w:sz w:val="20"/>
          <w:szCs w:val="20"/>
        </w:rPr>
        <w:t>skutečnosti hrubé příjmy byly zapsány jako čisté, příp. naopak, resp. se neodůvodněně výrazně meziročně lišily. V těchto případech byly provedeny příslušné korekce (tzv. top/</w:t>
      </w:r>
      <w:proofErr w:type="spellStart"/>
      <w:r w:rsidRPr="00DF48FF">
        <w:rPr>
          <w:rFonts w:ascii="Arial" w:hAnsi="Arial" w:cs="Arial"/>
          <w:sz w:val="20"/>
          <w:szCs w:val="20"/>
        </w:rPr>
        <w:t>bottom</w:t>
      </w:r>
      <w:proofErr w:type="spellEnd"/>
      <w:r w:rsidRPr="00DF48FF">
        <w:rPr>
          <w:rFonts w:ascii="Arial" w:hAnsi="Arial" w:cs="Arial"/>
          <w:sz w:val="20"/>
          <w:szCs w:val="20"/>
        </w:rPr>
        <w:t xml:space="preserve"> </w:t>
      </w:r>
      <w:proofErr w:type="spellStart"/>
      <w:r w:rsidRPr="00DF48FF">
        <w:rPr>
          <w:rFonts w:ascii="Arial" w:hAnsi="Arial" w:cs="Arial"/>
          <w:sz w:val="20"/>
          <w:szCs w:val="20"/>
        </w:rPr>
        <w:t>coding</w:t>
      </w:r>
      <w:proofErr w:type="spellEnd"/>
      <w:r w:rsidRPr="00DF48FF">
        <w:rPr>
          <w:rFonts w:ascii="Arial" w:hAnsi="Arial" w:cs="Arial"/>
          <w:sz w:val="20"/>
          <w:szCs w:val="20"/>
        </w:rPr>
        <w:t>), resp. opravy. U příjmů z podnikání nebylo nutné provádět žádné korekce.</w:t>
      </w:r>
    </w:p>
    <w:p w:rsidR="002A4577" w:rsidRPr="00F83D7E" w:rsidRDefault="00DF48FF">
      <w:pPr>
        <w:pStyle w:val="Zkladntext"/>
        <w:tabs>
          <w:tab w:val="left" w:pos="0"/>
          <w:tab w:val="left" w:pos="708"/>
          <w:tab w:val="left" w:pos="101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120"/>
        <w:rPr>
          <w:rFonts w:ascii="Arial" w:hAnsi="Arial" w:cs="Arial"/>
          <w:sz w:val="20"/>
          <w:szCs w:val="20"/>
        </w:rPr>
      </w:pPr>
      <w:r w:rsidRPr="00DF48FF">
        <w:rPr>
          <w:rFonts w:ascii="Arial" w:hAnsi="Arial" w:cs="Arial"/>
          <w:sz w:val="20"/>
          <w:szCs w:val="20"/>
        </w:rPr>
        <w:tab/>
        <w:t>V případě sociálních dávek, na něž je právní nárok (rodičovský příspěvek, porodné a pohřebné, zčásti též peněžitá pomoc v mateřství), byl revidován jejich výskyt a částky byly doplněny nebo upraveny na</w:t>
      </w:r>
      <w:r w:rsidR="00AF2337">
        <w:rPr>
          <w:rFonts w:ascii="Arial" w:hAnsi="Arial" w:cs="Arial"/>
          <w:sz w:val="20"/>
          <w:szCs w:val="20"/>
        </w:rPr>
        <w:t> </w:t>
      </w:r>
      <w:r w:rsidRPr="00DF48FF">
        <w:rPr>
          <w:rFonts w:ascii="Arial" w:hAnsi="Arial" w:cs="Arial"/>
          <w:sz w:val="20"/>
          <w:szCs w:val="20"/>
        </w:rPr>
        <w:t>odpovídající výši. U důchodů je tendence k podhodnocování obecně zanedbatelná, nicméně pokud byly bez zjevného důvodu zjištěny částky důchodů nižší než před rokem (u domácností ve 2. až 4. vlně), byly povýšeny na úroveň předchozího roku.</w:t>
      </w:r>
    </w:p>
    <w:p w:rsidR="002A4577" w:rsidRPr="00F83D7E" w:rsidRDefault="00DF48FF">
      <w:pPr>
        <w:pStyle w:val="Zkladntext"/>
        <w:tabs>
          <w:tab w:val="left" w:pos="0"/>
          <w:tab w:val="left" w:pos="708"/>
          <w:tab w:val="left" w:pos="101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120"/>
        <w:rPr>
          <w:rFonts w:ascii="Arial" w:hAnsi="Arial" w:cs="Arial"/>
          <w:sz w:val="20"/>
          <w:szCs w:val="20"/>
        </w:rPr>
      </w:pPr>
      <w:r w:rsidRPr="00DF48FF">
        <w:rPr>
          <w:rFonts w:ascii="Arial" w:hAnsi="Arial" w:cs="Arial"/>
          <w:sz w:val="20"/>
          <w:szCs w:val="20"/>
        </w:rPr>
        <w:tab/>
        <w:t>Nebylo však možné odstranit podhodnocení nemocenských dávek (opomenutí v případě krátkodobých nemocí nelze z dostupných dat odhalit), dále pak některých dávek státní sociální podpory vázaných na výši příjmu v rozhodném (oproti šetření jiném) období, všech tzv. ostatních peněžních příjmů (z</w:t>
      </w:r>
      <w:r w:rsidR="00B676F0">
        <w:rPr>
          <w:rFonts w:ascii="Arial" w:hAnsi="Arial" w:cs="Arial"/>
          <w:sz w:val="20"/>
          <w:szCs w:val="20"/>
        </w:rPr>
        <w:t> </w:t>
      </w:r>
      <w:r w:rsidRPr="00DF48FF">
        <w:rPr>
          <w:rFonts w:ascii="Arial" w:hAnsi="Arial" w:cs="Arial"/>
          <w:sz w:val="20"/>
          <w:szCs w:val="20"/>
        </w:rPr>
        <w:t>kapitálového majetku, z prodeje apod.) ani naturálních příjmů (spotřeby z vlastního hospodářství, transferů mezi domácnostmi).</w:t>
      </w:r>
    </w:p>
    <w:p w:rsidR="00855AAD" w:rsidRDefault="00DF48FF">
      <w:pPr>
        <w:tabs>
          <w:tab w:val="left" w:pos="0"/>
          <w:tab w:val="left" w:pos="708"/>
          <w:tab w:val="left" w:pos="101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360"/>
        <w:jc w:val="both"/>
        <w:rPr>
          <w:rFonts w:ascii="Arial" w:hAnsi="Arial" w:cs="Arial"/>
          <w:sz w:val="20"/>
          <w:szCs w:val="20"/>
        </w:rPr>
      </w:pPr>
      <w:r w:rsidRPr="00DF48FF">
        <w:rPr>
          <w:rFonts w:ascii="Arial" w:hAnsi="Arial" w:cs="Arial"/>
          <w:sz w:val="20"/>
          <w:szCs w:val="20"/>
        </w:rPr>
        <w:tab/>
        <w:t>Porovnání výsledných úhrnných příjmů z </w:t>
      </w:r>
      <w:proofErr w:type="spellStart"/>
      <w:r w:rsidRPr="00DF48FF">
        <w:rPr>
          <w:rFonts w:ascii="Arial" w:hAnsi="Arial" w:cs="Arial"/>
          <w:sz w:val="20"/>
          <w:szCs w:val="20"/>
        </w:rPr>
        <w:t>mikrodat</w:t>
      </w:r>
      <w:proofErr w:type="spellEnd"/>
      <w:r w:rsidRPr="00DF48FF">
        <w:rPr>
          <w:rFonts w:ascii="Arial" w:hAnsi="Arial" w:cs="Arial"/>
          <w:sz w:val="20"/>
          <w:szCs w:val="20"/>
        </w:rPr>
        <w:t xml:space="preserve"> s příjmy na makroúrovni vykazovanými statistikou národních účtů za sektor domácností (i po jejich očištění od položek, které se při šetření v soukromých domácnostech nesledují) je obtížné. Co do objemu budou příjmy zjišťované přímým dotazem v domácnostech vždy nižší. Pro hodnocení jejich věrohodnosti je však důležité, že vývoj příjmů domácností je zhruba v souladu s trendy národního účetnictví. Z tohoto hlediska jsou výsledky šetření </w:t>
      </w:r>
      <w:r w:rsidRPr="00DF48FF">
        <w:rPr>
          <w:rFonts w:ascii="Arial" w:hAnsi="Arial" w:cs="Arial"/>
          <w:i/>
          <w:iCs/>
          <w:sz w:val="20"/>
          <w:szCs w:val="20"/>
        </w:rPr>
        <w:t>Životní podmínky 201</w:t>
      </w:r>
      <w:r w:rsidR="00E208D0">
        <w:rPr>
          <w:rFonts w:ascii="Arial" w:hAnsi="Arial" w:cs="Arial"/>
          <w:i/>
          <w:iCs/>
          <w:sz w:val="20"/>
          <w:szCs w:val="20"/>
        </w:rPr>
        <w:t>8</w:t>
      </w:r>
      <w:r w:rsidRPr="00DF48FF">
        <w:rPr>
          <w:rFonts w:ascii="Arial" w:hAnsi="Arial" w:cs="Arial"/>
          <w:i/>
          <w:iCs/>
          <w:sz w:val="20"/>
          <w:szCs w:val="20"/>
        </w:rPr>
        <w:t xml:space="preserve"> </w:t>
      </w:r>
      <w:r w:rsidRPr="00DF48FF">
        <w:rPr>
          <w:rFonts w:ascii="Arial" w:hAnsi="Arial" w:cs="Arial"/>
          <w:sz w:val="20"/>
          <w:szCs w:val="20"/>
        </w:rPr>
        <w:t>reprezentativní, v časové řadě konzistentní a srovnatelné s obdobnými statistikami ve státech Evropské unie.</w:t>
      </w:r>
    </w:p>
    <w:p w:rsidR="00855AAD" w:rsidRDefault="00855AAD">
      <w:pPr>
        <w:tabs>
          <w:tab w:val="left" w:pos="0"/>
          <w:tab w:val="left" w:pos="708"/>
          <w:tab w:val="left" w:pos="101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360"/>
        <w:jc w:val="both"/>
        <w:rPr>
          <w:rFonts w:ascii="Arial" w:hAnsi="Arial" w:cs="Arial"/>
          <w:sz w:val="20"/>
          <w:szCs w:val="20"/>
        </w:rPr>
      </w:pPr>
    </w:p>
    <w:p w:rsidR="001B2640" w:rsidRDefault="00DF48FF" w:rsidP="001B2640">
      <w:pPr>
        <w:pStyle w:val="Zkladntext"/>
        <w:spacing w:after="240"/>
        <w:rPr>
          <w:rFonts w:ascii="Arial" w:hAnsi="Arial" w:cs="Arial"/>
          <w:b/>
          <w:bCs/>
          <w:sz w:val="28"/>
          <w:szCs w:val="28"/>
        </w:rPr>
      </w:pPr>
      <w:r w:rsidRPr="00DF48FF">
        <w:rPr>
          <w:rFonts w:ascii="Arial" w:hAnsi="Arial" w:cs="Arial"/>
          <w:b/>
          <w:bCs/>
          <w:sz w:val="28"/>
          <w:szCs w:val="28"/>
        </w:rPr>
        <w:lastRenderedPageBreak/>
        <w:t>2. Metodické vysvětlivky k publikovaným údajům</w:t>
      </w:r>
    </w:p>
    <w:p w:rsidR="001B2640" w:rsidRDefault="00DF48FF" w:rsidP="001B2640">
      <w:pPr>
        <w:pStyle w:val="Zkladntext"/>
        <w:spacing w:after="240"/>
        <w:rPr>
          <w:rFonts w:ascii="Arial" w:hAnsi="Arial" w:cs="Arial"/>
          <w:b/>
          <w:bCs/>
        </w:rPr>
      </w:pPr>
      <w:r w:rsidRPr="00DF48FF">
        <w:rPr>
          <w:rFonts w:ascii="Arial" w:hAnsi="Arial" w:cs="Arial"/>
          <w:b/>
          <w:bCs/>
        </w:rPr>
        <w:t>2.1 Základní pojmy</w:t>
      </w:r>
    </w:p>
    <w:p w:rsidR="002A4577" w:rsidRPr="00F83D7E" w:rsidRDefault="00DF48FF">
      <w:pPr>
        <w:pStyle w:val="Zkladntext"/>
        <w:spacing w:after="120"/>
        <w:rPr>
          <w:rFonts w:ascii="Arial" w:hAnsi="Arial" w:cs="Arial"/>
          <w:sz w:val="20"/>
          <w:szCs w:val="20"/>
        </w:rPr>
      </w:pPr>
      <w:r w:rsidRPr="00DF48FF">
        <w:rPr>
          <w:rFonts w:ascii="Arial" w:hAnsi="Arial" w:cs="Arial"/>
          <w:sz w:val="20"/>
          <w:szCs w:val="20"/>
        </w:rPr>
        <w:tab/>
        <w:t xml:space="preserve">Publikace zahrnuje samostatné výsledky za </w:t>
      </w:r>
      <w:r w:rsidRPr="00DF48FF">
        <w:rPr>
          <w:rFonts w:ascii="Arial" w:hAnsi="Arial" w:cs="Arial"/>
          <w:sz w:val="20"/>
          <w:szCs w:val="20"/>
          <w:u w:val="single"/>
        </w:rPr>
        <w:t>hospodařící domácnosti a za jednotlivce - osoby 16leté a starší</w:t>
      </w:r>
      <w:r w:rsidRPr="00DF48FF">
        <w:rPr>
          <w:rFonts w:ascii="Arial" w:hAnsi="Arial" w:cs="Arial"/>
          <w:sz w:val="20"/>
          <w:szCs w:val="20"/>
        </w:rPr>
        <w:t>. Konstrukce hospodařící domácnosti je v duchu § 115 občanského zákoníku založena na prohlášení osob bydlících ve vybraném bytě, že spolu trvale žijí a společně hradí základní a provozní výdaje domácnosti. Mezi 16leté osoby byly zahrnuty osoby, které tento věk dovršily ke konci roku 201</w:t>
      </w:r>
      <w:r w:rsidR="0014539B">
        <w:rPr>
          <w:rFonts w:ascii="Arial" w:hAnsi="Arial" w:cs="Arial"/>
          <w:sz w:val="20"/>
          <w:szCs w:val="20"/>
        </w:rPr>
        <w:t>7</w:t>
      </w:r>
      <w:r w:rsidRPr="00DF48FF">
        <w:rPr>
          <w:rFonts w:ascii="Arial" w:hAnsi="Arial" w:cs="Arial"/>
          <w:sz w:val="20"/>
          <w:szCs w:val="20"/>
        </w:rPr>
        <w:t>.</w:t>
      </w:r>
    </w:p>
    <w:p w:rsidR="002A4577" w:rsidRPr="00F83D7E" w:rsidRDefault="00DF48FF">
      <w:pPr>
        <w:pStyle w:val="Zkladntext"/>
        <w:spacing w:after="120"/>
        <w:rPr>
          <w:rFonts w:ascii="Arial" w:hAnsi="Arial" w:cs="Arial"/>
          <w:sz w:val="20"/>
          <w:szCs w:val="20"/>
        </w:rPr>
      </w:pPr>
      <w:r w:rsidRPr="00DF48FF">
        <w:rPr>
          <w:rFonts w:ascii="Arial" w:hAnsi="Arial" w:cs="Arial"/>
          <w:sz w:val="20"/>
          <w:szCs w:val="20"/>
        </w:rPr>
        <w:t>Časové hledisko zjišťovaných údajů:</w:t>
      </w:r>
    </w:p>
    <w:p w:rsidR="002A4577" w:rsidRPr="00F83D7E" w:rsidRDefault="00DF48FF">
      <w:pPr>
        <w:pStyle w:val="Zkladntext"/>
        <w:numPr>
          <w:ilvl w:val="0"/>
          <w:numId w:val="25"/>
        </w:numPr>
        <w:spacing w:after="120"/>
        <w:rPr>
          <w:rFonts w:ascii="Arial" w:hAnsi="Arial" w:cs="Arial"/>
          <w:sz w:val="20"/>
          <w:szCs w:val="20"/>
        </w:rPr>
      </w:pPr>
      <w:r w:rsidRPr="00DF48FF">
        <w:rPr>
          <w:rFonts w:ascii="Arial" w:hAnsi="Arial" w:cs="Arial"/>
          <w:sz w:val="20"/>
          <w:szCs w:val="20"/>
        </w:rPr>
        <w:t>Demografické údaje (rodinný stav, vzdělání), údaje o bydlení a o současné finanční situaci domácnosti se zjišťovaly podle aktuálního stavu v okamžiku šetření.</w:t>
      </w:r>
    </w:p>
    <w:p w:rsidR="002A4577" w:rsidRPr="00F83D7E" w:rsidRDefault="00DF48FF">
      <w:pPr>
        <w:pStyle w:val="Zkladntext"/>
        <w:numPr>
          <w:ilvl w:val="0"/>
          <w:numId w:val="25"/>
        </w:numPr>
        <w:spacing w:after="120"/>
        <w:rPr>
          <w:rFonts w:ascii="Arial" w:hAnsi="Arial" w:cs="Arial"/>
          <w:sz w:val="20"/>
          <w:szCs w:val="20"/>
        </w:rPr>
      </w:pPr>
      <w:r w:rsidRPr="00DF48FF">
        <w:rPr>
          <w:rFonts w:ascii="Arial" w:hAnsi="Arial" w:cs="Arial"/>
          <w:sz w:val="20"/>
          <w:szCs w:val="20"/>
        </w:rPr>
        <w:t>Pracovní aktivita osob se zjišťovala za jednotlivé měsíce roku 201</w:t>
      </w:r>
      <w:r w:rsidR="0014539B">
        <w:rPr>
          <w:rFonts w:ascii="Arial" w:hAnsi="Arial" w:cs="Arial"/>
          <w:sz w:val="20"/>
          <w:szCs w:val="20"/>
        </w:rPr>
        <w:t>7</w:t>
      </w:r>
      <w:r w:rsidRPr="00DF48FF">
        <w:rPr>
          <w:rFonts w:ascii="Arial" w:hAnsi="Arial" w:cs="Arial"/>
          <w:sz w:val="20"/>
          <w:szCs w:val="20"/>
        </w:rPr>
        <w:t xml:space="preserve"> a za aktuální stav v době šetření. Pracovní aktivita vypovídá o „</w:t>
      </w:r>
      <w:proofErr w:type="spellStart"/>
      <w:r w:rsidRPr="00DF48FF">
        <w:rPr>
          <w:rFonts w:ascii="Arial" w:hAnsi="Arial" w:cs="Arial"/>
          <w:sz w:val="20"/>
          <w:szCs w:val="20"/>
        </w:rPr>
        <w:t>sebezařazení</w:t>
      </w:r>
      <w:proofErr w:type="spellEnd"/>
      <w:r w:rsidRPr="00DF48FF">
        <w:rPr>
          <w:rFonts w:ascii="Arial" w:hAnsi="Arial" w:cs="Arial"/>
          <w:sz w:val="20"/>
          <w:szCs w:val="20"/>
        </w:rPr>
        <w:t>“ respondenta, přičemž rozhodující pro její určení byly vykonávaná hlavní pracovní činnost a doba v ní strávená; v návaznosti na to, se zjišťovaly další údaje blíže charakterizující současnou případně bývalou pracovní aktivitu respondenta (postavení v zaměstnání, druh zaměstnání - profese, odvětví činnosti). Zároveň se zjišťovaly souběžné činnosti (další pracovní činnost, studium) a dále pobírání starobního nebo invalidního důchodu a rodičovského příspěvku v roce 201</w:t>
      </w:r>
      <w:r w:rsidR="0014539B">
        <w:rPr>
          <w:rFonts w:ascii="Arial" w:hAnsi="Arial" w:cs="Arial"/>
          <w:sz w:val="20"/>
          <w:szCs w:val="20"/>
        </w:rPr>
        <w:t>7</w:t>
      </w:r>
      <w:r w:rsidRPr="00DF48FF">
        <w:rPr>
          <w:rFonts w:ascii="Arial" w:hAnsi="Arial" w:cs="Arial"/>
          <w:sz w:val="20"/>
          <w:szCs w:val="20"/>
        </w:rPr>
        <w:t>.</w:t>
      </w:r>
    </w:p>
    <w:p w:rsidR="002A4577" w:rsidRPr="00F83D7E" w:rsidRDefault="00DF48FF">
      <w:pPr>
        <w:pStyle w:val="Zkladntext"/>
        <w:numPr>
          <w:ilvl w:val="0"/>
          <w:numId w:val="25"/>
        </w:numPr>
        <w:spacing w:after="120"/>
        <w:rPr>
          <w:rFonts w:ascii="Arial" w:hAnsi="Arial" w:cs="Arial"/>
          <w:sz w:val="20"/>
          <w:szCs w:val="20"/>
        </w:rPr>
      </w:pPr>
      <w:r w:rsidRPr="00DF48FF">
        <w:rPr>
          <w:rFonts w:ascii="Arial" w:hAnsi="Arial" w:cs="Arial"/>
          <w:sz w:val="20"/>
          <w:szCs w:val="20"/>
        </w:rPr>
        <w:t>Ekonomická aktivita osob se samostatně nezjišťovala, ale byla odvozena z pracovní aktivity. Rozhodující byl převažující stav v roce 201</w:t>
      </w:r>
      <w:r w:rsidR="0014539B">
        <w:rPr>
          <w:rFonts w:ascii="Arial" w:hAnsi="Arial" w:cs="Arial"/>
          <w:sz w:val="20"/>
          <w:szCs w:val="20"/>
        </w:rPr>
        <w:t>7</w:t>
      </w:r>
      <w:r w:rsidRPr="00DF48FF">
        <w:rPr>
          <w:rFonts w:ascii="Arial" w:hAnsi="Arial" w:cs="Arial"/>
          <w:sz w:val="20"/>
          <w:szCs w:val="20"/>
        </w:rPr>
        <w:t>, v případě rovnosti stav na konci roku. U osob, které v roce 201</w:t>
      </w:r>
      <w:r w:rsidR="00D51BDF">
        <w:rPr>
          <w:rFonts w:ascii="Arial" w:hAnsi="Arial" w:cs="Arial"/>
          <w:sz w:val="20"/>
          <w:szCs w:val="20"/>
        </w:rPr>
        <w:t>7</w:t>
      </w:r>
      <w:r w:rsidRPr="00DF48FF">
        <w:rPr>
          <w:rFonts w:ascii="Arial" w:hAnsi="Arial" w:cs="Arial"/>
          <w:sz w:val="20"/>
          <w:szCs w:val="20"/>
        </w:rPr>
        <w:t xml:space="preserve"> ukončily vzdělání, byl rozhodující převažující stav ve 2. pololetí. </w:t>
      </w:r>
    </w:p>
    <w:p w:rsidR="002A4577" w:rsidRPr="00F83D7E" w:rsidRDefault="00DF48FF">
      <w:pPr>
        <w:pStyle w:val="Zkladntext"/>
        <w:numPr>
          <w:ilvl w:val="0"/>
          <w:numId w:val="25"/>
        </w:numPr>
        <w:spacing w:after="120"/>
        <w:rPr>
          <w:rFonts w:ascii="Arial" w:hAnsi="Arial" w:cs="Arial"/>
          <w:sz w:val="20"/>
          <w:szCs w:val="20"/>
        </w:rPr>
      </w:pPr>
      <w:r w:rsidRPr="00DF48FF">
        <w:rPr>
          <w:rFonts w:ascii="Arial" w:hAnsi="Arial" w:cs="Arial"/>
          <w:sz w:val="20"/>
          <w:szCs w:val="20"/>
        </w:rPr>
        <w:t>Peněžní a naturální příjmy se zjišťovaly za celý rok 201</w:t>
      </w:r>
      <w:r w:rsidR="0014539B">
        <w:rPr>
          <w:rFonts w:ascii="Arial" w:hAnsi="Arial" w:cs="Arial"/>
          <w:sz w:val="20"/>
          <w:szCs w:val="20"/>
        </w:rPr>
        <w:t>7</w:t>
      </w:r>
      <w:r w:rsidRPr="00DF48FF">
        <w:rPr>
          <w:rFonts w:ascii="Arial" w:hAnsi="Arial" w:cs="Arial"/>
          <w:sz w:val="20"/>
          <w:szCs w:val="20"/>
        </w:rPr>
        <w:t>.</w:t>
      </w:r>
    </w:p>
    <w:p w:rsidR="002A4577" w:rsidRPr="00F83D7E" w:rsidRDefault="00DF48FF">
      <w:pPr>
        <w:pStyle w:val="Zkladntext"/>
        <w:numPr>
          <w:ilvl w:val="0"/>
          <w:numId w:val="25"/>
        </w:numPr>
        <w:spacing w:after="120"/>
        <w:rPr>
          <w:rFonts w:ascii="Arial" w:hAnsi="Arial" w:cs="Arial"/>
          <w:sz w:val="20"/>
          <w:szCs w:val="20"/>
        </w:rPr>
      </w:pPr>
      <w:r w:rsidRPr="00DF48FF">
        <w:rPr>
          <w:rFonts w:ascii="Arial" w:hAnsi="Arial" w:cs="Arial"/>
          <w:sz w:val="20"/>
          <w:szCs w:val="20"/>
        </w:rPr>
        <w:t>Subjektivní otázky, zaměřené u hospodařících domácností na problémy spojené s bydlením a finanční situací domácnosti, se týkaly vesměs současného stavu. Pouze u problémů s některými platbami za</w:t>
      </w:r>
      <w:r w:rsidR="00AF2337">
        <w:rPr>
          <w:rFonts w:ascii="Arial" w:hAnsi="Arial" w:cs="Arial"/>
          <w:sz w:val="20"/>
          <w:szCs w:val="20"/>
        </w:rPr>
        <w:t> </w:t>
      </w:r>
      <w:r w:rsidRPr="00DF48FF">
        <w:rPr>
          <w:rFonts w:ascii="Arial" w:hAnsi="Arial" w:cs="Arial"/>
          <w:sz w:val="20"/>
          <w:szCs w:val="20"/>
        </w:rPr>
        <w:t>bydlení a splátkami různých půjček byl dotaz na období předchozích 12 měsíců. U osob se subjektivně laděné dotazy týkaly aktuálního zdravotního stavu, zdravotních omezení trvajících nejméně 6 měsíců a návštěv lékařů za posledních 12 měsíců.</w:t>
      </w:r>
    </w:p>
    <w:p w:rsidR="002A4577" w:rsidRPr="00F83D7E" w:rsidRDefault="00DF48FF">
      <w:pPr>
        <w:pStyle w:val="Zkladntext"/>
        <w:numPr>
          <w:ilvl w:val="0"/>
          <w:numId w:val="25"/>
        </w:numPr>
        <w:spacing w:after="120"/>
        <w:ind w:left="357" w:hanging="357"/>
        <w:rPr>
          <w:rFonts w:ascii="Arial" w:hAnsi="Arial" w:cs="Arial"/>
          <w:sz w:val="20"/>
          <w:szCs w:val="20"/>
        </w:rPr>
      </w:pPr>
      <w:r w:rsidRPr="00DF48FF">
        <w:rPr>
          <w:rFonts w:ascii="Arial" w:hAnsi="Arial" w:cs="Arial"/>
          <w:sz w:val="20"/>
          <w:szCs w:val="20"/>
        </w:rPr>
        <w:t>Náklady na bydlení vyjadřovaly výši těchto nákladů v době šetření. Pravidelné měsíční platby se zapisovaly většinou podle zálohy za měsíc březen 201</w:t>
      </w:r>
      <w:r w:rsidR="0014539B">
        <w:rPr>
          <w:rFonts w:ascii="Arial" w:hAnsi="Arial" w:cs="Arial"/>
          <w:sz w:val="20"/>
          <w:szCs w:val="20"/>
        </w:rPr>
        <w:t>8</w:t>
      </w:r>
      <w:r w:rsidRPr="00DF48FF">
        <w:rPr>
          <w:rFonts w:ascii="Arial" w:hAnsi="Arial" w:cs="Arial"/>
          <w:sz w:val="20"/>
          <w:szCs w:val="20"/>
        </w:rPr>
        <w:t>. Výdaje na odvoz odpadků, paliva, běžnou údržbu, pojištění domu/bytu a ostatní nepravidelné náklady se uváděly za celý rok 201</w:t>
      </w:r>
      <w:r w:rsidR="0014539B">
        <w:rPr>
          <w:rFonts w:ascii="Arial" w:hAnsi="Arial" w:cs="Arial"/>
          <w:sz w:val="20"/>
          <w:szCs w:val="20"/>
        </w:rPr>
        <w:t>7</w:t>
      </w:r>
      <w:r w:rsidRPr="00DF48FF">
        <w:rPr>
          <w:rFonts w:ascii="Arial" w:hAnsi="Arial" w:cs="Arial"/>
          <w:sz w:val="20"/>
          <w:szCs w:val="20"/>
        </w:rPr>
        <w:t>.</w:t>
      </w:r>
    </w:p>
    <w:p w:rsidR="001502CE" w:rsidRPr="00F83D7E" w:rsidRDefault="001502CE" w:rsidP="00F64CC9">
      <w:pPr>
        <w:pStyle w:val="Zkladntext"/>
        <w:spacing w:after="120"/>
        <w:ind w:left="357"/>
        <w:rPr>
          <w:rFonts w:ascii="Arial" w:hAnsi="Arial" w:cs="Arial"/>
          <w:b/>
          <w:bCs/>
          <w:sz w:val="20"/>
          <w:szCs w:val="20"/>
        </w:rPr>
      </w:pPr>
    </w:p>
    <w:p w:rsidR="0070588E" w:rsidRDefault="00DF48FF" w:rsidP="0070588E">
      <w:pPr>
        <w:pStyle w:val="Zkladntext"/>
        <w:spacing w:after="240"/>
        <w:rPr>
          <w:rFonts w:ascii="Arial" w:hAnsi="Arial" w:cs="Arial"/>
          <w:b/>
          <w:bCs/>
        </w:rPr>
      </w:pPr>
      <w:r w:rsidRPr="00DF48FF">
        <w:rPr>
          <w:rFonts w:ascii="Arial" w:hAnsi="Arial" w:cs="Arial"/>
          <w:b/>
          <w:bCs/>
        </w:rPr>
        <w:t>2.2 Popis ukazatelů</w:t>
      </w:r>
    </w:p>
    <w:p w:rsidR="002A4577" w:rsidRPr="00F83D7E" w:rsidRDefault="00DF48FF">
      <w:pPr>
        <w:pStyle w:val="Zkladntext"/>
        <w:spacing w:after="120"/>
        <w:rPr>
          <w:rFonts w:ascii="Arial" w:hAnsi="Arial" w:cs="Arial"/>
          <w:sz w:val="20"/>
          <w:szCs w:val="20"/>
        </w:rPr>
      </w:pPr>
      <w:r w:rsidRPr="00DF48FF">
        <w:rPr>
          <w:rFonts w:ascii="Arial" w:hAnsi="Arial" w:cs="Arial"/>
          <w:b/>
          <w:bCs/>
          <w:sz w:val="20"/>
          <w:szCs w:val="20"/>
        </w:rPr>
        <w:t>2.2.1 Složení domácnosti</w:t>
      </w:r>
    </w:p>
    <w:p w:rsidR="002A4577" w:rsidRPr="00F83D7E" w:rsidRDefault="00DF48FF">
      <w:pPr>
        <w:pStyle w:val="Zkladntext"/>
        <w:numPr>
          <w:ilvl w:val="0"/>
          <w:numId w:val="8"/>
        </w:numPr>
        <w:spacing w:after="120"/>
        <w:rPr>
          <w:rFonts w:ascii="Arial" w:hAnsi="Arial" w:cs="Arial"/>
          <w:sz w:val="20"/>
          <w:szCs w:val="20"/>
          <w:u w:val="single"/>
        </w:rPr>
      </w:pPr>
      <w:r w:rsidRPr="00DF48FF">
        <w:rPr>
          <w:rFonts w:ascii="Arial" w:hAnsi="Arial" w:cs="Arial"/>
          <w:sz w:val="20"/>
          <w:szCs w:val="20"/>
          <w:u w:val="single"/>
        </w:rPr>
        <w:t>Počet členů</w:t>
      </w:r>
      <w:r w:rsidRPr="00DF48FF">
        <w:rPr>
          <w:rFonts w:ascii="Arial" w:hAnsi="Arial" w:cs="Arial"/>
          <w:sz w:val="20"/>
          <w:szCs w:val="20"/>
        </w:rPr>
        <w:t xml:space="preserve"> zahrnuje všechny osoby, pro něž byl v roce 201</w:t>
      </w:r>
      <w:r w:rsidR="0014539B">
        <w:rPr>
          <w:rFonts w:ascii="Arial" w:hAnsi="Arial" w:cs="Arial"/>
          <w:sz w:val="20"/>
          <w:szCs w:val="20"/>
        </w:rPr>
        <w:t>7</w:t>
      </w:r>
      <w:r w:rsidRPr="00DF48FF">
        <w:rPr>
          <w:rFonts w:ascii="Arial" w:hAnsi="Arial" w:cs="Arial"/>
          <w:sz w:val="20"/>
          <w:szCs w:val="20"/>
        </w:rPr>
        <w:t>, resp. na jaře 201</w:t>
      </w:r>
      <w:r w:rsidR="0014539B">
        <w:rPr>
          <w:rFonts w:ascii="Arial" w:hAnsi="Arial" w:cs="Arial"/>
          <w:sz w:val="20"/>
          <w:szCs w:val="20"/>
        </w:rPr>
        <w:t>8</w:t>
      </w:r>
      <w:r w:rsidRPr="00DF48FF">
        <w:rPr>
          <w:rFonts w:ascii="Arial" w:hAnsi="Arial" w:cs="Arial"/>
          <w:sz w:val="20"/>
          <w:szCs w:val="20"/>
        </w:rPr>
        <w:t xml:space="preserve"> vybraný byt obvyklým bydlištěm, a to včetně osob dočasně </w:t>
      </w:r>
      <w:r w:rsidRPr="00DF48FF">
        <w:rPr>
          <w:rFonts w:ascii="Arial" w:hAnsi="Arial" w:cs="Arial"/>
          <w:bCs/>
          <w:sz w:val="20"/>
          <w:szCs w:val="20"/>
        </w:rPr>
        <w:t>n</w:t>
      </w:r>
      <w:r w:rsidRPr="00DF48FF">
        <w:rPr>
          <w:rFonts w:ascii="Arial" w:hAnsi="Arial" w:cs="Arial"/>
          <w:sz w:val="20"/>
          <w:szCs w:val="20"/>
        </w:rPr>
        <w:t>epřítomných (dovolená, pobyt v nemocnici) a osob pracujících nebo studujících mimo domov, pokud měly na svou domácnost jasnou finanční vazbu a neměly žádné jiné obvyklé bydliště. Nejsou zahrnuty osoby dlouhodobě nepřítomné bez existenční vazby na vybranou domácnost a osoby dočasně přítomné v době šetření, které však mají svou vlastní domácnost jinde.</w:t>
      </w:r>
    </w:p>
    <w:p w:rsidR="002A4577" w:rsidRPr="00F83D7E" w:rsidRDefault="00DF48FF">
      <w:pPr>
        <w:pStyle w:val="Zkladntext"/>
        <w:numPr>
          <w:ilvl w:val="0"/>
          <w:numId w:val="8"/>
        </w:numPr>
        <w:spacing w:after="120"/>
        <w:rPr>
          <w:rFonts w:ascii="Arial" w:hAnsi="Arial" w:cs="Arial"/>
          <w:sz w:val="20"/>
          <w:szCs w:val="20"/>
        </w:rPr>
      </w:pPr>
      <w:r w:rsidRPr="00DF48FF">
        <w:rPr>
          <w:rFonts w:ascii="Arial" w:hAnsi="Arial" w:cs="Arial"/>
          <w:sz w:val="20"/>
          <w:szCs w:val="20"/>
        </w:rPr>
        <w:t xml:space="preserve">Za </w:t>
      </w:r>
      <w:r w:rsidRPr="00DF48FF">
        <w:rPr>
          <w:rFonts w:ascii="Arial" w:hAnsi="Arial" w:cs="Arial"/>
          <w:sz w:val="20"/>
          <w:szCs w:val="20"/>
          <w:u w:val="single"/>
        </w:rPr>
        <w:t>pracující</w:t>
      </w:r>
      <w:r w:rsidRPr="00DF48FF">
        <w:rPr>
          <w:rFonts w:ascii="Arial" w:hAnsi="Arial" w:cs="Arial"/>
          <w:sz w:val="20"/>
          <w:szCs w:val="20"/>
        </w:rPr>
        <w:t xml:space="preserve"> byly považovány osoby, u nichž v roce 201</w:t>
      </w:r>
      <w:r w:rsidR="0014539B">
        <w:rPr>
          <w:rFonts w:ascii="Arial" w:hAnsi="Arial" w:cs="Arial"/>
          <w:sz w:val="20"/>
          <w:szCs w:val="20"/>
        </w:rPr>
        <w:t>7</w:t>
      </w:r>
      <w:r w:rsidRPr="00DF48FF">
        <w:rPr>
          <w:rFonts w:ascii="Arial" w:hAnsi="Arial" w:cs="Arial"/>
          <w:sz w:val="20"/>
          <w:szCs w:val="20"/>
        </w:rPr>
        <w:t xml:space="preserve"> převažovala pracovní činnost, tj. osoby v</w:t>
      </w:r>
      <w:r w:rsidR="00AF2337">
        <w:rPr>
          <w:rFonts w:ascii="Arial" w:hAnsi="Arial" w:cs="Arial"/>
          <w:sz w:val="20"/>
          <w:szCs w:val="20"/>
        </w:rPr>
        <w:t> </w:t>
      </w:r>
      <w:r w:rsidRPr="00DF48FF">
        <w:rPr>
          <w:rFonts w:ascii="Arial" w:hAnsi="Arial" w:cs="Arial"/>
          <w:sz w:val="20"/>
          <w:szCs w:val="20"/>
        </w:rPr>
        <w:t>běžném pracovním poměru, členové produkčních družstev, osoby samostatně výdělečně činné a osoby pomáhající v rodinném podniku, které za svou práci nedostávaly odměnu. Za období pracovní činnosti se považovala též doba pobírání dávek nemocenského pojištění (např. nemoc, mateřská dovolená). Do pracujících osob byli započteni i studenti, kteří při studiu soustavně pracovali (v</w:t>
      </w:r>
      <w:r w:rsidR="00AF2337">
        <w:rPr>
          <w:rFonts w:ascii="Arial" w:hAnsi="Arial" w:cs="Arial"/>
          <w:sz w:val="20"/>
          <w:szCs w:val="20"/>
        </w:rPr>
        <w:t> </w:t>
      </w:r>
      <w:r w:rsidRPr="00DF48FF">
        <w:rPr>
          <w:rFonts w:ascii="Arial" w:hAnsi="Arial" w:cs="Arial"/>
          <w:sz w:val="20"/>
          <w:szCs w:val="20"/>
        </w:rPr>
        <w:t xml:space="preserve">pracovním poměru nebo v podnikání), dále důchodci a osoby, které pobíraly rodičovský příspěvek s pravidelnými příjmy ze závislé činnosti nebo podnikání. </w:t>
      </w:r>
    </w:p>
    <w:p w:rsidR="002A4577" w:rsidRPr="00F83D7E" w:rsidRDefault="00DF48FF">
      <w:pPr>
        <w:pStyle w:val="Zkladntext"/>
        <w:numPr>
          <w:ilvl w:val="0"/>
          <w:numId w:val="8"/>
        </w:numPr>
        <w:spacing w:after="120"/>
        <w:rPr>
          <w:rFonts w:ascii="Arial" w:hAnsi="Arial" w:cs="Arial"/>
          <w:sz w:val="20"/>
          <w:szCs w:val="20"/>
        </w:rPr>
      </w:pPr>
      <w:r w:rsidRPr="00DF48FF">
        <w:rPr>
          <w:rFonts w:ascii="Arial" w:hAnsi="Arial" w:cs="Arial"/>
          <w:sz w:val="20"/>
          <w:szCs w:val="20"/>
        </w:rPr>
        <w:t xml:space="preserve">Z celkového počtu pracujících byly zvlášť vyčísleny </w:t>
      </w:r>
      <w:r w:rsidRPr="00DF48FF">
        <w:rPr>
          <w:rFonts w:ascii="Arial" w:hAnsi="Arial" w:cs="Arial"/>
          <w:sz w:val="20"/>
          <w:szCs w:val="20"/>
          <w:u w:val="single"/>
        </w:rPr>
        <w:t>osoby samostatně výdělečně činné</w:t>
      </w:r>
      <w:r w:rsidRPr="00DF48FF">
        <w:rPr>
          <w:rFonts w:ascii="Arial" w:hAnsi="Arial" w:cs="Arial"/>
          <w:sz w:val="20"/>
          <w:szCs w:val="20"/>
        </w:rPr>
        <w:t>, tj. osoby, které podnikaly na základě živnostenského oprávnění nebo na základě zvláštních předpisů, účastníci společného podnikání na základě smlouvy (společnosti s ručením omezeným, obchodní společnosti), dále osoby vykonávající nezávislé povolání (lékaři, advokáti, daňoví poradci) a osoby pracující za</w:t>
      </w:r>
      <w:r w:rsidR="00AF2337">
        <w:rPr>
          <w:rFonts w:ascii="Arial" w:hAnsi="Arial" w:cs="Arial"/>
          <w:sz w:val="20"/>
          <w:szCs w:val="20"/>
        </w:rPr>
        <w:t> </w:t>
      </w:r>
      <w:r w:rsidRPr="00DF48FF">
        <w:rPr>
          <w:rFonts w:ascii="Arial" w:hAnsi="Arial" w:cs="Arial"/>
          <w:sz w:val="20"/>
          <w:szCs w:val="20"/>
        </w:rPr>
        <w:t xml:space="preserve">honoráře (umělci, tlumočníci). </w:t>
      </w:r>
    </w:p>
    <w:p w:rsidR="002A4577" w:rsidRPr="00F83D7E" w:rsidRDefault="00DF48FF">
      <w:pPr>
        <w:pStyle w:val="Zkladntext"/>
        <w:numPr>
          <w:ilvl w:val="0"/>
          <w:numId w:val="8"/>
        </w:numPr>
        <w:spacing w:after="120"/>
        <w:rPr>
          <w:rFonts w:ascii="Arial" w:hAnsi="Arial" w:cs="Arial"/>
          <w:sz w:val="20"/>
          <w:szCs w:val="20"/>
        </w:rPr>
      </w:pPr>
      <w:r w:rsidRPr="00DF48FF">
        <w:rPr>
          <w:rFonts w:ascii="Arial" w:hAnsi="Arial" w:cs="Arial"/>
          <w:sz w:val="20"/>
          <w:szCs w:val="20"/>
        </w:rPr>
        <w:t xml:space="preserve">Za </w:t>
      </w:r>
      <w:r w:rsidRPr="00DF48FF">
        <w:rPr>
          <w:rFonts w:ascii="Arial" w:hAnsi="Arial" w:cs="Arial"/>
          <w:sz w:val="20"/>
          <w:szCs w:val="20"/>
          <w:u w:val="single"/>
        </w:rPr>
        <w:t>vyživované děti</w:t>
      </w:r>
      <w:r w:rsidRPr="00DF48FF">
        <w:rPr>
          <w:rFonts w:ascii="Arial" w:hAnsi="Arial" w:cs="Arial"/>
          <w:sz w:val="20"/>
          <w:szCs w:val="20"/>
        </w:rPr>
        <w:t xml:space="preserve"> se považovaly děti do 25 let včetně, pokud se soustavně připravovaly na budoucí povolání, i když měly vlastní příjem (sirotčí důchod, stipendium, sociální dávky, příjmy z krátkodobé </w:t>
      </w:r>
      <w:r w:rsidRPr="00DF48FF">
        <w:rPr>
          <w:rFonts w:ascii="Arial" w:hAnsi="Arial" w:cs="Arial"/>
          <w:sz w:val="20"/>
          <w:szCs w:val="20"/>
        </w:rPr>
        <w:lastRenderedPageBreak/>
        <w:t>pracovní činnosti) a dále děti, které pro svůj duševní nebo tělesný stav nebyly schopny připravovat se na</w:t>
      </w:r>
      <w:r w:rsidR="00AF2337">
        <w:rPr>
          <w:rFonts w:ascii="Arial" w:hAnsi="Arial" w:cs="Arial"/>
          <w:sz w:val="20"/>
          <w:szCs w:val="20"/>
        </w:rPr>
        <w:t> </w:t>
      </w:r>
      <w:r w:rsidRPr="00DF48FF">
        <w:rPr>
          <w:rFonts w:ascii="Arial" w:hAnsi="Arial" w:cs="Arial"/>
          <w:sz w:val="20"/>
          <w:szCs w:val="20"/>
        </w:rPr>
        <w:t>budoucí povolání nebo si zajistit vlastní obživu a dosud nepobíraly invalidní důchod.</w:t>
      </w:r>
    </w:p>
    <w:p w:rsidR="002A4577" w:rsidRPr="00F83D7E" w:rsidRDefault="00DF48FF">
      <w:pPr>
        <w:pStyle w:val="Zkladntext"/>
        <w:numPr>
          <w:ilvl w:val="0"/>
          <w:numId w:val="8"/>
        </w:numPr>
        <w:spacing w:after="120"/>
        <w:rPr>
          <w:rFonts w:ascii="Arial" w:hAnsi="Arial" w:cs="Arial"/>
          <w:sz w:val="20"/>
          <w:szCs w:val="20"/>
        </w:rPr>
      </w:pPr>
      <w:r w:rsidRPr="00DF48FF">
        <w:rPr>
          <w:rFonts w:ascii="Arial" w:hAnsi="Arial" w:cs="Arial"/>
          <w:sz w:val="20"/>
          <w:szCs w:val="20"/>
          <w:u w:val="single"/>
        </w:rPr>
        <w:t>Nepracujícími důchodci</w:t>
      </w:r>
      <w:r w:rsidRPr="00DF48FF">
        <w:rPr>
          <w:rFonts w:ascii="Arial" w:hAnsi="Arial" w:cs="Arial"/>
          <w:sz w:val="20"/>
          <w:szCs w:val="20"/>
        </w:rPr>
        <w:t xml:space="preserve"> byly osoby, které pobíraly jakýkoliv důchod (kromě sirotčího) nebo osoby v důchodovém věku, které neměly nárok na žádný druh důchodu, a které zároveň nepracovaly buď vůbec anebo měla jejich pracovní činnost pouze omezený rozsah.</w:t>
      </w:r>
    </w:p>
    <w:p w:rsidR="002A4577" w:rsidRPr="00F83D7E" w:rsidRDefault="00DF48FF">
      <w:pPr>
        <w:pStyle w:val="Zkladntext"/>
        <w:numPr>
          <w:ilvl w:val="0"/>
          <w:numId w:val="8"/>
        </w:numPr>
        <w:spacing w:after="120"/>
        <w:rPr>
          <w:rFonts w:ascii="Arial" w:hAnsi="Arial" w:cs="Arial"/>
          <w:sz w:val="20"/>
          <w:szCs w:val="20"/>
        </w:rPr>
      </w:pPr>
      <w:r w:rsidRPr="00DF48FF">
        <w:rPr>
          <w:rFonts w:ascii="Arial" w:hAnsi="Arial" w:cs="Arial"/>
          <w:sz w:val="20"/>
          <w:szCs w:val="20"/>
        </w:rPr>
        <w:t xml:space="preserve">Za </w:t>
      </w:r>
      <w:r w:rsidRPr="00DF48FF">
        <w:rPr>
          <w:rFonts w:ascii="Arial" w:hAnsi="Arial" w:cs="Arial"/>
          <w:sz w:val="20"/>
          <w:szCs w:val="20"/>
          <w:u w:val="single"/>
        </w:rPr>
        <w:t>nezaměstnané</w:t>
      </w:r>
      <w:r w:rsidRPr="00DF48FF">
        <w:rPr>
          <w:rFonts w:ascii="Arial" w:hAnsi="Arial" w:cs="Arial"/>
          <w:sz w:val="20"/>
          <w:szCs w:val="20"/>
        </w:rPr>
        <w:t xml:space="preserve"> se považovaly osoby, které převažující část roku neměly zaměstnání ani nepodnikaly, ale pracovat by chtěly. Nemusely přitom splňovat striktní podmínky dané definicí Mezinárodní organizace práce (ILO) o aktivním způsobu hledání práce a připravenosti k nástupu do práce. </w:t>
      </w:r>
    </w:p>
    <w:p w:rsidR="002A4577" w:rsidRPr="00F83D7E" w:rsidRDefault="00DF48FF">
      <w:pPr>
        <w:pStyle w:val="Zkladntext"/>
        <w:numPr>
          <w:ilvl w:val="0"/>
          <w:numId w:val="8"/>
        </w:numPr>
        <w:spacing w:after="120"/>
        <w:rPr>
          <w:rFonts w:ascii="Arial" w:hAnsi="Arial" w:cs="Arial"/>
          <w:sz w:val="20"/>
          <w:szCs w:val="20"/>
        </w:rPr>
      </w:pPr>
      <w:r w:rsidRPr="00DF48FF">
        <w:rPr>
          <w:rFonts w:ascii="Arial" w:hAnsi="Arial" w:cs="Arial"/>
          <w:sz w:val="20"/>
          <w:szCs w:val="20"/>
        </w:rPr>
        <w:t xml:space="preserve">Mezi </w:t>
      </w:r>
      <w:r w:rsidRPr="00DF48FF">
        <w:rPr>
          <w:rFonts w:ascii="Arial" w:hAnsi="Arial" w:cs="Arial"/>
          <w:sz w:val="20"/>
          <w:szCs w:val="20"/>
          <w:u w:val="single"/>
        </w:rPr>
        <w:t>osoby pobírající rodičovský příspěvek</w:t>
      </w:r>
      <w:r w:rsidRPr="00DF48FF">
        <w:rPr>
          <w:rFonts w:ascii="Arial" w:hAnsi="Arial" w:cs="Arial"/>
          <w:sz w:val="20"/>
          <w:szCs w:val="20"/>
        </w:rPr>
        <w:t xml:space="preserve"> byly zařazeny osoby, které osobně a celodenně pečovaly alespoň o jedno dítě do 4 let (resp. do 7 let, bylo-li dítě dlouhodobě zdravotně postižené), a jejich hlavním zdrojem příjmu byl tento příspěvek. </w:t>
      </w:r>
    </w:p>
    <w:p w:rsidR="002A4577" w:rsidRPr="00F83D7E" w:rsidRDefault="00DF48FF">
      <w:pPr>
        <w:pStyle w:val="Zkladntext"/>
        <w:numPr>
          <w:ilvl w:val="0"/>
          <w:numId w:val="8"/>
        </w:numPr>
        <w:spacing w:after="120"/>
        <w:rPr>
          <w:rFonts w:ascii="Arial" w:hAnsi="Arial" w:cs="Arial"/>
          <w:sz w:val="20"/>
          <w:szCs w:val="20"/>
        </w:rPr>
      </w:pPr>
      <w:r w:rsidRPr="00DF48FF">
        <w:rPr>
          <w:rFonts w:ascii="Arial" w:hAnsi="Arial" w:cs="Arial"/>
          <w:sz w:val="20"/>
          <w:szCs w:val="20"/>
          <w:u w:val="single"/>
        </w:rPr>
        <w:t>Ostatní</w:t>
      </w:r>
      <w:r w:rsidRPr="00DF48FF">
        <w:rPr>
          <w:rFonts w:ascii="Arial" w:hAnsi="Arial" w:cs="Arial"/>
          <w:sz w:val="20"/>
          <w:szCs w:val="20"/>
        </w:rPr>
        <w:t xml:space="preserve"> - zahrnují osoby pečující o domácnost, o nemohoucího člena domácnosti nebo jinou blízkou osobu, osoby žijící z majetku a ostatní osoby bez vlastních příjmů, které nebylo možno zařadit do žádné z předchozích skupin.</w:t>
      </w:r>
    </w:p>
    <w:p w:rsidR="001B2640" w:rsidRDefault="00DF48FF" w:rsidP="001B2640">
      <w:pPr>
        <w:pStyle w:val="Zkladntext"/>
        <w:numPr>
          <w:ilvl w:val="0"/>
          <w:numId w:val="8"/>
        </w:numPr>
        <w:spacing w:after="240"/>
        <w:rPr>
          <w:rFonts w:ascii="Arial" w:hAnsi="Arial" w:cs="Arial"/>
          <w:sz w:val="20"/>
          <w:szCs w:val="20"/>
        </w:rPr>
      </w:pPr>
      <w:r w:rsidRPr="00DF48FF">
        <w:rPr>
          <w:rFonts w:ascii="Arial" w:hAnsi="Arial" w:cs="Arial"/>
          <w:sz w:val="20"/>
          <w:szCs w:val="20"/>
        </w:rPr>
        <w:t>Pro porovnávání úrovně příjmů různých typů domácností se zpravidla používají průměry na osobu (na</w:t>
      </w:r>
      <w:r w:rsidR="00AF2337">
        <w:rPr>
          <w:rFonts w:ascii="Arial" w:hAnsi="Arial" w:cs="Arial"/>
          <w:sz w:val="20"/>
          <w:szCs w:val="20"/>
        </w:rPr>
        <w:t> </w:t>
      </w:r>
      <w:r w:rsidRPr="00DF48FF">
        <w:rPr>
          <w:rFonts w:ascii="Arial" w:hAnsi="Arial" w:cs="Arial"/>
          <w:sz w:val="20"/>
          <w:szCs w:val="20"/>
        </w:rPr>
        <w:t xml:space="preserve">hlavu), příp. na domácnost a také výpočty průměrů na tzv. </w:t>
      </w:r>
      <w:r w:rsidRPr="00DF48FF">
        <w:rPr>
          <w:rFonts w:ascii="Arial" w:hAnsi="Arial" w:cs="Arial"/>
          <w:sz w:val="20"/>
          <w:szCs w:val="20"/>
          <w:u w:val="single"/>
        </w:rPr>
        <w:t>spotřební (ekvivalentní) jednotku</w:t>
      </w:r>
      <w:r w:rsidRPr="00DF48FF">
        <w:rPr>
          <w:rFonts w:ascii="Arial" w:hAnsi="Arial" w:cs="Arial"/>
          <w:sz w:val="20"/>
          <w:szCs w:val="20"/>
        </w:rPr>
        <w:t>. Přepočet na spotřební jednotku je vhodný proto, že bere v úvahu velikost a demografické složení domácnosti. Výpočet těchto jednotek je konstruován tak, aby odrážel tzv. úspory z počtu ve</w:t>
      </w:r>
      <w:r w:rsidR="00AF2337">
        <w:rPr>
          <w:rFonts w:ascii="Arial" w:hAnsi="Arial" w:cs="Arial"/>
          <w:sz w:val="20"/>
          <w:szCs w:val="20"/>
        </w:rPr>
        <w:t> </w:t>
      </w:r>
      <w:r w:rsidRPr="00DF48FF">
        <w:rPr>
          <w:rFonts w:ascii="Arial" w:hAnsi="Arial" w:cs="Arial"/>
          <w:sz w:val="20"/>
          <w:szCs w:val="20"/>
        </w:rPr>
        <w:t>vícečlenných domácnostech, tj. úspory na nákladech na předměty a služby, které slouží většímu počtu členů domácnosti. V této publikaci se používají dvě stupnice spotřebních jednotek. Stupnice spotřebních jednotek OECD (SJ OECD), která přiřazuje první dospělé osobě v domácnosti váhu 1,0, dalším osobám starším 13 let váhu 0,7 a dětem do 13 let včetně váhu 0,5. A modifikovaná stupnice spotřebních jednotek OECD (</w:t>
      </w:r>
      <w:proofErr w:type="spellStart"/>
      <w:r w:rsidRPr="00DF48FF">
        <w:rPr>
          <w:rFonts w:ascii="Arial" w:hAnsi="Arial" w:cs="Arial"/>
          <w:sz w:val="20"/>
          <w:szCs w:val="20"/>
        </w:rPr>
        <w:t>modif</w:t>
      </w:r>
      <w:proofErr w:type="spellEnd"/>
      <w:r w:rsidRPr="00DF48FF">
        <w:rPr>
          <w:rFonts w:ascii="Arial" w:hAnsi="Arial" w:cs="Arial"/>
          <w:sz w:val="20"/>
          <w:szCs w:val="20"/>
        </w:rPr>
        <w:t>. SJ OECD), kde jsou více zohledněny úspory z počtu, váhy pro výše uvedené skupiny osob jsou 1,0 – 0,5 – 0,3.</w:t>
      </w:r>
    </w:p>
    <w:p w:rsidR="002A4577" w:rsidRPr="00F83D7E" w:rsidRDefault="002A4577">
      <w:pPr>
        <w:pStyle w:val="Zkladntext"/>
        <w:rPr>
          <w:rFonts w:ascii="Arial" w:hAnsi="Arial" w:cs="Arial"/>
          <w:sz w:val="20"/>
          <w:szCs w:val="20"/>
        </w:rPr>
      </w:pPr>
    </w:p>
    <w:p w:rsidR="002A4577" w:rsidRPr="00F83D7E" w:rsidRDefault="00DF48FF">
      <w:pPr>
        <w:pStyle w:val="Zkladntext"/>
        <w:spacing w:after="120"/>
        <w:rPr>
          <w:rFonts w:ascii="Arial" w:hAnsi="Arial" w:cs="Arial"/>
          <w:b/>
          <w:bCs/>
          <w:sz w:val="20"/>
          <w:szCs w:val="20"/>
        </w:rPr>
      </w:pPr>
      <w:r w:rsidRPr="00DF48FF">
        <w:rPr>
          <w:rFonts w:ascii="Arial" w:hAnsi="Arial" w:cs="Arial"/>
          <w:b/>
          <w:bCs/>
          <w:sz w:val="20"/>
          <w:szCs w:val="20"/>
        </w:rPr>
        <w:t>2.2.2 Charakteristiky domácností</w:t>
      </w:r>
    </w:p>
    <w:p w:rsidR="002A4577" w:rsidRPr="00F83D7E" w:rsidRDefault="00DF48FF">
      <w:pPr>
        <w:pStyle w:val="Zkladntext"/>
        <w:numPr>
          <w:ilvl w:val="1"/>
          <w:numId w:val="13"/>
        </w:numPr>
        <w:spacing w:after="120"/>
        <w:rPr>
          <w:rFonts w:ascii="Arial" w:hAnsi="Arial" w:cs="Arial"/>
          <w:b/>
          <w:bCs/>
          <w:sz w:val="20"/>
          <w:szCs w:val="20"/>
          <w:u w:val="single"/>
        </w:rPr>
      </w:pPr>
      <w:r w:rsidRPr="00DF48FF">
        <w:rPr>
          <w:rFonts w:ascii="Arial" w:hAnsi="Arial" w:cs="Arial"/>
          <w:sz w:val="20"/>
          <w:szCs w:val="20"/>
          <w:u w:val="single"/>
        </w:rPr>
        <w:t>Osoba v čele domácnosti</w:t>
      </w:r>
      <w:r w:rsidRPr="00DF48FF">
        <w:rPr>
          <w:rFonts w:ascii="Arial" w:hAnsi="Arial" w:cs="Arial"/>
          <w:sz w:val="20"/>
          <w:szCs w:val="20"/>
        </w:rPr>
        <w:t xml:space="preserve"> - v úplných rodinách (manžel - manželka, druh - družka) je jí vždy muž, bez ohledu na jeho ekonomickou aktivitu. U neúplných rodin (jen jeden rodič s dětmi) a nerodinných domácností (osoby nespojené manželstvím nebo partnerským svazkem ani vztahem rodič - dítě) byla prvním hlediskem pro určení osoby v čele ekonomická aktivita a druhým výše peněžního příjmu jednotlivých členů domácnosti. Tato zásada byla uplatněna také u složitějších typů hospodařících domácností (např. při společném hospodaření více úplných rodin).</w:t>
      </w:r>
    </w:p>
    <w:p w:rsidR="002A4577" w:rsidRPr="00F83D7E" w:rsidRDefault="00DF48FF">
      <w:pPr>
        <w:pStyle w:val="Zkladntext"/>
        <w:numPr>
          <w:ilvl w:val="1"/>
          <w:numId w:val="12"/>
        </w:numPr>
        <w:spacing w:after="120"/>
        <w:rPr>
          <w:rFonts w:ascii="Arial" w:hAnsi="Arial" w:cs="Arial"/>
          <w:sz w:val="20"/>
          <w:szCs w:val="20"/>
        </w:rPr>
      </w:pPr>
      <w:r w:rsidRPr="00DF48FF">
        <w:rPr>
          <w:rFonts w:ascii="Arial" w:hAnsi="Arial" w:cs="Arial"/>
          <w:sz w:val="20"/>
          <w:szCs w:val="20"/>
          <w:u w:val="single"/>
        </w:rPr>
        <w:t>Druh domácnosti</w:t>
      </w:r>
      <w:r w:rsidRPr="00DF48FF">
        <w:rPr>
          <w:rFonts w:ascii="Arial" w:hAnsi="Arial" w:cs="Arial"/>
          <w:sz w:val="20"/>
          <w:szCs w:val="20"/>
        </w:rPr>
        <w:t xml:space="preserve"> byl zkonstruován na základě údajů za jednotlivé členy. V úplné rodině je základní jednotkou manželský (partnerský) pár s dětmi nebo bez dětí, v neúplné rodině je to jeden z rodičů a alespoň jedno dítě. Jestliže všechny děti jsou vyživované a v hospodařící domácnosti nežijí jiné osoby, jedná se o tzv. čistou rodinu. Ve smíšené úplné rodině žijí kromě partnerského páru i jiné osoby než vyživované děti (tedy např. i děti již nevyživované), ve smíšené neúplné rodině žije buď jeden z rodičů s vyživovaným dítětem a další osobou (včetně již nevyživovaného dítěte), nebo pouze jeden rodič s nevyživovaným dítětem. V nerodinné domácnosti žijí dvě nebo více osob, příbuzných i nepříbuzných, které netvoří rodinnou domácnost.</w:t>
      </w:r>
    </w:p>
    <w:p w:rsidR="002A4577" w:rsidRPr="00F83D7E" w:rsidRDefault="00DF48FF">
      <w:pPr>
        <w:pStyle w:val="Zkladntext"/>
        <w:numPr>
          <w:ilvl w:val="0"/>
          <w:numId w:val="9"/>
        </w:numPr>
        <w:rPr>
          <w:rFonts w:ascii="Arial" w:hAnsi="Arial" w:cs="Arial"/>
          <w:sz w:val="20"/>
          <w:szCs w:val="20"/>
        </w:rPr>
      </w:pPr>
      <w:r w:rsidRPr="00DF48FF">
        <w:rPr>
          <w:rFonts w:ascii="Arial" w:hAnsi="Arial" w:cs="Arial"/>
          <w:sz w:val="20"/>
          <w:szCs w:val="20"/>
          <w:u w:val="single"/>
        </w:rPr>
        <w:t>Druh domácnosti EU</w:t>
      </w:r>
      <w:r w:rsidRPr="00DF48FF">
        <w:rPr>
          <w:rFonts w:ascii="Arial" w:hAnsi="Arial" w:cs="Arial"/>
          <w:sz w:val="20"/>
          <w:szCs w:val="20"/>
        </w:rPr>
        <w:t xml:space="preserve"> byl vytvořen podle metodiky </w:t>
      </w:r>
      <w:proofErr w:type="spellStart"/>
      <w:r w:rsidRPr="00DF48FF">
        <w:rPr>
          <w:rFonts w:ascii="Arial" w:hAnsi="Arial" w:cs="Arial"/>
          <w:sz w:val="20"/>
          <w:szCs w:val="20"/>
        </w:rPr>
        <w:t>Eurostatu</w:t>
      </w:r>
      <w:proofErr w:type="spellEnd"/>
      <w:r w:rsidRPr="00DF48FF">
        <w:rPr>
          <w:rFonts w:ascii="Arial" w:hAnsi="Arial" w:cs="Arial"/>
          <w:sz w:val="20"/>
          <w:szCs w:val="20"/>
        </w:rPr>
        <w:t xml:space="preserve">. Na rozdíl od národní definice v předchozím odstavci není tato definice založena přímo na rodinných vztazích, ale jedná se spíše o typologii založenou na počtu dospělých a počtu závislých dětí v dané domácnosti. </w:t>
      </w:r>
    </w:p>
    <w:p w:rsidR="002A4577" w:rsidRPr="00F83D7E" w:rsidRDefault="00DF48FF">
      <w:pPr>
        <w:pStyle w:val="Zkladntext"/>
        <w:ind w:left="360"/>
        <w:rPr>
          <w:rFonts w:ascii="Arial" w:hAnsi="Arial" w:cs="Arial"/>
          <w:sz w:val="20"/>
          <w:szCs w:val="20"/>
        </w:rPr>
      </w:pPr>
      <w:r w:rsidRPr="00DF48FF">
        <w:rPr>
          <w:rFonts w:ascii="Arial" w:hAnsi="Arial" w:cs="Arial"/>
          <w:sz w:val="20"/>
          <w:szCs w:val="20"/>
        </w:rPr>
        <w:t>Kategorie "závislé dítě", se liší od v ČR používané kategorie "vyživované dítě" (viz kap. 2.2.1). Za závislé děti jsou považovány všechny děti do 17 let včetně a dále děti ve věku 18 - 24 let, pokud v době šetření nepracovaly, nehledaly práci ani nebyly připraveny nastoupit do práce a žily v hospodařící domácnosti s alespoň jedním rodičem.</w:t>
      </w:r>
    </w:p>
    <w:p w:rsidR="002A4577" w:rsidRPr="00F83D7E" w:rsidRDefault="00DF48FF">
      <w:pPr>
        <w:pStyle w:val="Zkladntext"/>
        <w:spacing w:after="120"/>
        <w:ind w:left="357"/>
        <w:rPr>
          <w:rFonts w:ascii="Arial" w:hAnsi="Arial" w:cs="Arial"/>
          <w:sz w:val="20"/>
          <w:szCs w:val="20"/>
        </w:rPr>
      </w:pPr>
      <w:r w:rsidRPr="00DF48FF">
        <w:rPr>
          <w:rFonts w:ascii="Arial" w:hAnsi="Arial" w:cs="Arial"/>
          <w:sz w:val="20"/>
          <w:szCs w:val="20"/>
        </w:rPr>
        <w:t>Domácnosti jednotlivců a bezdětných dvojic byly ještě rozděleny do dvou skupin podle věku (do 64 let včetně - první skupina a 65 a více let - druhá skupina). Ve dvoučlenné domácnosti pro zařazení do první skupiny museli být oba partneři mladší 65 let; jestliže alespoň jeden z partnerů dosáhl věku 65 let, byla domácnost zařazena do skupiny druhé.</w:t>
      </w:r>
    </w:p>
    <w:p w:rsidR="002A4577" w:rsidRPr="00F83D7E" w:rsidRDefault="00DF48FF">
      <w:pPr>
        <w:pStyle w:val="Zkladntext"/>
        <w:numPr>
          <w:ilvl w:val="0"/>
          <w:numId w:val="9"/>
        </w:numPr>
        <w:spacing w:after="120"/>
        <w:rPr>
          <w:rFonts w:ascii="Arial" w:hAnsi="Arial" w:cs="Arial"/>
          <w:sz w:val="20"/>
          <w:szCs w:val="20"/>
        </w:rPr>
      </w:pPr>
      <w:r w:rsidRPr="00DF48FF">
        <w:rPr>
          <w:rFonts w:ascii="Arial" w:hAnsi="Arial" w:cs="Arial"/>
          <w:sz w:val="20"/>
          <w:szCs w:val="20"/>
          <w:u w:val="single"/>
        </w:rPr>
        <w:t>Stáří manželství</w:t>
      </w:r>
      <w:r w:rsidRPr="00DF48FF">
        <w:rPr>
          <w:rFonts w:ascii="Arial" w:hAnsi="Arial" w:cs="Arial"/>
          <w:sz w:val="20"/>
          <w:szCs w:val="20"/>
        </w:rPr>
        <w:t xml:space="preserve"> se zjišťovalo jen u manželských párů společně bydlících a hospodařících ve vybraném bytě; faktická manželství jsou soužití osob různého pohlaví nepotvrzená sňatkem (druh, družka).</w:t>
      </w:r>
    </w:p>
    <w:p w:rsidR="002A4577" w:rsidRPr="00F83D7E" w:rsidRDefault="00DF48FF">
      <w:pPr>
        <w:pStyle w:val="Zkladntext"/>
        <w:numPr>
          <w:ilvl w:val="0"/>
          <w:numId w:val="9"/>
        </w:numPr>
        <w:spacing w:after="120"/>
        <w:rPr>
          <w:rFonts w:ascii="Arial" w:hAnsi="Arial" w:cs="Arial"/>
          <w:sz w:val="20"/>
          <w:szCs w:val="20"/>
        </w:rPr>
      </w:pPr>
      <w:r w:rsidRPr="00DF48FF">
        <w:rPr>
          <w:rFonts w:ascii="Arial" w:hAnsi="Arial" w:cs="Arial"/>
          <w:sz w:val="20"/>
          <w:szCs w:val="20"/>
          <w:u w:val="single"/>
        </w:rPr>
        <w:t>Vzdělání</w:t>
      </w:r>
      <w:r w:rsidRPr="00DF48FF">
        <w:rPr>
          <w:rFonts w:ascii="Arial" w:hAnsi="Arial" w:cs="Arial"/>
          <w:sz w:val="20"/>
          <w:szCs w:val="20"/>
        </w:rPr>
        <w:t xml:space="preserve"> bylo rozděleno do 4 stupňů: základní (vč. neukončeného), vyučení, úplné střední a vysokoškolské. Úplné střední vzdělání zahrnuje též vyučení s maturitou a pomaturitní studium. </w:t>
      </w:r>
      <w:r w:rsidRPr="00DF48FF">
        <w:rPr>
          <w:rFonts w:ascii="Arial" w:hAnsi="Arial" w:cs="Arial"/>
          <w:sz w:val="20"/>
          <w:szCs w:val="20"/>
        </w:rPr>
        <w:lastRenderedPageBreak/>
        <w:t xml:space="preserve">Absolvování vyšší odborné školy je zařazeno do vysokoškolského vzdělání. To dále zahrnuje především všechny programy vysokoškolského studia, včetně bakalářského a doktorského. </w:t>
      </w:r>
    </w:p>
    <w:p w:rsidR="002A4577" w:rsidRPr="00F83D7E" w:rsidRDefault="00DF48FF">
      <w:pPr>
        <w:pStyle w:val="Zkladntext"/>
        <w:numPr>
          <w:ilvl w:val="0"/>
          <w:numId w:val="9"/>
        </w:numPr>
        <w:spacing w:after="120"/>
        <w:rPr>
          <w:rFonts w:ascii="Arial" w:hAnsi="Arial" w:cs="Arial"/>
          <w:sz w:val="20"/>
          <w:szCs w:val="20"/>
        </w:rPr>
      </w:pPr>
      <w:r w:rsidRPr="00DF48FF">
        <w:rPr>
          <w:rFonts w:ascii="Arial" w:hAnsi="Arial" w:cs="Arial"/>
          <w:sz w:val="20"/>
          <w:szCs w:val="20"/>
          <w:u w:val="single"/>
        </w:rPr>
        <w:t>Zaměstnání</w:t>
      </w:r>
      <w:r w:rsidRPr="00DF48FF">
        <w:rPr>
          <w:rFonts w:ascii="Arial" w:hAnsi="Arial" w:cs="Arial"/>
          <w:sz w:val="20"/>
          <w:szCs w:val="20"/>
        </w:rPr>
        <w:t xml:space="preserve"> bylo u pracujících osob vyznačeno dvoumístným kódem podle klasifikace CZ-ISCO. Tato klasifikace nahradila klasifikaci zaměstnání KZAM používanou do roku 2011. Údaje v publikaci jsou agregované za 9 hlavních tříd a vztahují se k osobě v čele domácnosti. Příslušníci armády byli zařazeni do třídy 1 - zákonodárci a řídící pracovníci. </w:t>
      </w:r>
    </w:p>
    <w:p w:rsidR="002A4577" w:rsidRPr="00F83D7E" w:rsidRDefault="00DF48FF">
      <w:pPr>
        <w:pStyle w:val="Zkladntext"/>
        <w:numPr>
          <w:ilvl w:val="0"/>
          <w:numId w:val="9"/>
        </w:numPr>
        <w:spacing w:after="120"/>
        <w:ind w:left="357" w:hanging="357"/>
        <w:rPr>
          <w:rFonts w:ascii="Arial" w:hAnsi="Arial" w:cs="Arial"/>
          <w:sz w:val="20"/>
          <w:szCs w:val="20"/>
          <w:u w:val="single"/>
        </w:rPr>
      </w:pPr>
      <w:r w:rsidRPr="00DF48FF">
        <w:rPr>
          <w:rFonts w:ascii="Arial" w:hAnsi="Arial" w:cs="Arial"/>
          <w:sz w:val="20"/>
          <w:szCs w:val="20"/>
          <w:u w:val="single"/>
        </w:rPr>
        <w:t>Skupiny domácností</w:t>
      </w:r>
      <w:r w:rsidRPr="00DF48FF">
        <w:rPr>
          <w:rFonts w:ascii="Arial" w:hAnsi="Arial" w:cs="Arial"/>
          <w:sz w:val="20"/>
          <w:szCs w:val="20"/>
        </w:rPr>
        <w:t xml:space="preserve"> jsou odvozeny od postavení osoby v čele této domácnosti. </w:t>
      </w:r>
    </w:p>
    <w:p w:rsidR="002A4577" w:rsidRPr="00F83D7E" w:rsidRDefault="00DF48FF">
      <w:pPr>
        <w:pStyle w:val="Zkladntext"/>
        <w:numPr>
          <w:ilvl w:val="0"/>
          <w:numId w:val="15"/>
        </w:numPr>
        <w:tabs>
          <w:tab w:val="clear" w:pos="1069"/>
          <w:tab w:val="num" w:pos="720"/>
        </w:tabs>
        <w:ind w:left="700"/>
        <w:rPr>
          <w:rFonts w:ascii="Arial" w:hAnsi="Arial" w:cs="Arial"/>
          <w:sz w:val="20"/>
          <w:szCs w:val="20"/>
        </w:rPr>
      </w:pPr>
      <w:r w:rsidRPr="00DF48FF">
        <w:rPr>
          <w:rFonts w:ascii="Arial" w:hAnsi="Arial" w:cs="Arial"/>
          <w:b/>
          <w:bCs/>
          <w:i/>
          <w:iCs/>
          <w:sz w:val="20"/>
          <w:szCs w:val="20"/>
        </w:rPr>
        <w:t>domácnosti celkem</w:t>
      </w:r>
      <w:r w:rsidRPr="00DF48FF">
        <w:rPr>
          <w:rFonts w:ascii="Arial" w:hAnsi="Arial" w:cs="Arial"/>
          <w:i/>
          <w:iCs/>
          <w:sz w:val="20"/>
          <w:szCs w:val="20"/>
        </w:rPr>
        <w:t xml:space="preserve"> - </w:t>
      </w:r>
      <w:r w:rsidRPr="00DF48FF">
        <w:rPr>
          <w:rFonts w:ascii="Arial" w:hAnsi="Arial" w:cs="Arial"/>
          <w:sz w:val="20"/>
          <w:szCs w:val="20"/>
        </w:rPr>
        <w:t>reprezentují průměrnou domácnost v ČR,</w:t>
      </w:r>
    </w:p>
    <w:p w:rsidR="002A4577" w:rsidRPr="00F83D7E" w:rsidRDefault="00DF48FF">
      <w:pPr>
        <w:pStyle w:val="Zkladntext"/>
        <w:numPr>
          <w:ilvl w:val="0"/>
          <w:numId w:val="16"/>
        </w:numPr>
        <w:tabs>
          <w:tab w:val="clear" w:pos="1069"/>
          <w:tab w:val="num" w:pos="720"/>
        </w:tabs>
        <w:ind w:left="700"/>
        <w:rPr>
          <w:rFonts w:ascii="Arial" w:hAnsi="Arial" w:cs="Arial"/>
          <w:sz w:val="20"/>
          <w:szCs w:val="20"/>
        </w:rPr>
      </w:pPr>
      <w:r w:rsidRPr="00DF48FF">
        <w:rPr>
          <w:rFonts w:ascii="Arial" w:hAnsi="Arial" w:cs="Arial"/>
          <w:b/>
          <w:bCs/>
          <w:i/>
          <w:iCs/>
          <w:sz w:val="20"/>
          <w:szCs w:val="20"/>
        </w:rPr>
        <w:t>domácnosti zaměstnanců</w:t>
      </w:r>
      <w:r w:rsidRPr="00DF48FF">
        <w:rPr>
          <w:rFonts w:ascii="Arial" w:hAnsi="Arial" w:cs="Arial"/>
          <w:sz w:val="20"/>
          <w:szCs w:val="20"/>
        </w:rPr>
        <w:t xml:space="preserve"> - osoba v čele byla v pracovním nebo služebním poměru, příp. vykonávala funkci, do níž byla zvolena či jmenována; podle nejvyššího dosaženého vzdělání osoby v čele se tyto domácnosti člení </w:t>
      </w:r>
      <w:proofErr w:type="gramStart"/>
      <w:r w:rsidRPr="00DF48FF">
        <w:rPr>
          <w:rFonts w:ascii="Arial" w:hAnsi="Arial" w:cs="Arial"/>
          <w:sz w:val="20"/>
          <w:szCs w:val="20"/>
        </w:rPr>
        <w:t>na</w:t>
      </w:r>
      <w:proofErr w:type="gramEnd"/>
      <w:r w:rsidRPr="00DF48FF">
        <w:rPr>
          <w:rFonts w:ascii="Arial" w:hAnsi="Arial" w:cs="Arial"/>
          <w:sz w:val="20"/>
          <w:szCs w:val="20"/>
        </w:rPr>
        <w:t>:</w:t>
      </w:r>
    </w:p>
    <w:p w:rsidR="002A4577" w:rsidRPr="00F83D7E" w:rsidRDefault="00DF48FF">
      <w:pPr>
        <w:pStyle w:val="Zkladntext"/>
        <w:numPr>
          <w:ilvl w:val="0"/>
          <w:numId w:val="20"/>
        </w:numPr>
        <w:tabs>
          <w:tab w:val="clear" w:pos="1418"/>
          <w:tab w:val="num" w:pos="1069"/>
        </w:tabs>
        <w:ind w:left="1069"/>
        <w:rPr>
          <w:rFonts w:ascii="Arial" w:hAnsi="Arial" w:cs="Arial"/>
          <w:sz w:val="20"/>
          <w:szCs w:val="20"/>
        </w:rPr>
      </w:pPr>
      <w:r w:rsidRPr="00DF48FF">
        <w:rPr>
          <w:rFonts w:ascii="Arial" w:hAnsi="Arial" w:cs="Arial"/>
          <w:i/>
          <w:iCs/>
          <w:sz w:val="20"/>
          <w:szCs w:val="20"/>
        </w:rPr>
        <w:t>domácnosti zaměstnanců s nižším vzděláním</w:t>
      </w:r>
      <w:r w:rsidRPr="00DF48FF">
        <w:rPr>
          <w:rFonts w:ascii="Arial" w:hAnsi="Arial" w:cs="Arial"/>
          <w:sz w:val="20"/>
          <w:szCs w:val="20"/>
        </w:rPr>
        <w:t xml:space="preserve">, jestliže osoba v čele měla základní vzdělání nebo byla vyučená (bez maturity) a </w:t>
      </w:r>
    </w:p>
    <w:p w:rsidR="002A4577" w:rsidRPr="00F83D7E" w:rsidRDefault="00DF48FF">
      <w:pPr>
        <w:pStyle w:val="Zkladntext"/>
        <w:numPr>
          <w:ilvl w:val="0"/>
          <w:numId w:val="21"/>
        </w:numPr>
        <w:tabs>
          <w:tab w:val="clear" w:pos="1418"/>
          <w:tab w:val="num" w:pos="1069"/>
        </w:tabs>
        <w:ind w:left="1069"/>
        <w:rPr>
          <w:rFonts w:ascii="Arial" w:hAnsi="Arial" w:cs="Arial"/>
          <w:sz w:val="20"/>
          <w:szCs w:val="20"/>
        </w:rPr>
      </w:pPr>
      <w:r w:rsidRPr="00DF48FF">
        <w:rPr>
          <w:rFonts w:ascii="Arial" w:hAnsi="Arial" w:cs="Arial"/>
          <w:i/>
          <w:iCs/>
          <w:sz w:val="20"/>
          <w:szCs w:val="20"/>
        </w:rPr>
        <w:t>domácnosti zaměstnanců s vyšším vzděláním,</w:t>
      </w:r>
      <w:r w:rsidRPr="00DF48FF">
        <w:rPr>
          <w:rFonts w:ascii="Arial" w:hAnsi="Arial" w:cs="Arial"/>
          <w:sz w:val="20"/>
          <w:szCs w:val="20"/>
        </w:rPr>
        <w:t xml:space="preserve"> kde osoba v čele dokončila úplné střední vzdělání (s maturitou) nebo vyšší,</w:t>
      </w:r>
    </w:p>
    <w:p w:rsidR="002A4577" w:rsidRPr="00F83D7E" w:rsidRDefault="00DF48FF">
      <w:pPr>
        <w:pStyle w:val="Zkladntext"/>
        <w:numPr>
          <w:ilvl w:val="0"/>
          <w:numId w:val="17"/>
        </w:numPr>
        <w:tabs>
          <w:tab w:val="clear" w:pos="1069"/>
          <w:tab w:val="num" w:pos="720"/>
        </w:tabs>
        <w:ind w:left="700"/>
        <w:rPr>
          <w:rFonts w:ascii="Arial" w:hAnsi="Arial" w:cs="Arial"/>
          <w:sz w:val="20"/>
          <w:szCs w:val="20"/>
        </w:rPr>
      </w:pPr>
      <w:r w:rsidRPr="00DF48FF">
        <w:rPr>
          <w:rFonts w:ascii="Arial" w:hAnsi="Arial" w:cs="Arial"/>
          <w:b/>
          <w:bCs/>
          <w:i/>
          <w:iCs/>
          <w:sz w:val="20"/>
          <w:szCs w:val="20"/>
        </w:rPr>
        <w:t>domácnosti samostatně činných osob</w:t>
      </w:r>
      <w:r w:rsidRPr="00DF48FF">
        <w:rPr>
          <w:rFonts w:ascii="Arial" w:hAnsi="Arial" w:cs="Arial"/>
          <w:sz w:val="20"/>
          <w:szCs w:val="20"/>
        </w:rPr>
        <w:t xml:space="preserve"> - osoba v čele domácnosti se zabývala podnikáním nebo vykonávala nezávislé povolání v jakémkoliv oboru, včetně odvětví zemědělství, lesnictví a rybolovu,</w:t>
      </w:r>
    </w:p>
    <w:p w:rsidR="002A4577" w:rsidRPr="00F83D7E" w:rsidRDefault="00DF48FF">
      <w:pPr>
        <w:pStyle w:val="Zkladntext"/>
        <w:numPr>
          <w:ilvl w:val="0"/>
          <w:numId w:val="17"/>
        </w:numPr>
        <w:tabs>
          <w:tab w:val="clear" w:pos="1069"/>
          <w:tab w:val="num" w:pos="720"/>
        </w:tabs>
        <w:ind w:left="700"/>
        <w:rPr>
          <w:rFonts w:ascii="Arial" w:hAnsi="Arial" w:cs="Arial"/>
          <w:sz w:val="20"/>
          <w:szCs w:val="20"/>
        </w:rPr>
      </w:pPr>
      <w:r w:rsidRPr="00DF48FF">
        <w:rPr>
          <w:rFonts w:ascii="Arial" w:hAnsi="Arial" w:cs="Arial"/>
          <w:b/>
          <w:bCs/>
          <w:i/>
          <w:iCs/>
          <w:sz w:val="20"/>
          <w:szCs w:val="20"/>
        </w:rPr>
        <w:t>domácnosti důchodců</w:t>
      </w:r>
      <w:r w:rsidRPr="00DF48FF">
        <w:rPr>
          <w:rFonts w:ascii="Arial" w:hAnsi="Arial" w:cs="Arial"/>
          <w:sz w:val="20"/>
          <w:szCs w:val="20"/>
        </w:rPr>
        <w:t xml:space="preserve"> - v čele domácnosti byl nepracující důchodce; dělily se na dva podtypy - domácnosti s pracujícími členy a domácnosti bez pracujících členů - podle toho, zda některá z dalších osob v domácnosti byla pracující,</w:t>
      </w:r>
    </w:p>
    <w:p w:rsidR="002A4577" w:rsidRPr="00F83D7E" w:rsidRDefault="00DF48FF">
      <w:pPr>
        <w:pStyle w:val="Zkladntext"/>
        <w:numPr>
          <w:ilvl w:val="0"/>
          <w:numId w:val="18"/>
        </w:numPr>
        <w:tabs>
          <w:tab w:val="clear" w:pos="1069"/>
          <w:tab w:val="num" w:pos="720"/>
        </w:tabs>
        <w:ind w:left="700"/>
        <w:rPr>
          <w:rFonts w:ascii="Arial" w:hAnsi="Arial" w:cs="Arial"/>
          <w:sz w:val="20"/>
          <w:szCs w:val="20"/>
        </w:rPr>
      </w:pPr>
      <w:r w:rsidRPr="00DF48FF">
        <w:rPr>
          <w:rFonts w:ascii="Arial" w:hAnsi="Arial" w:cs="Arial"/>
          <w:b/>
          <w:bCs/>
          <w:i/>
          <w:iCs/>
          <w:sz w:val="20"/>
          <w:szCs w:val="20"/>
        </w:rPr>
        <w:t>domácnosti nezaměstnaných</w:t>
      </w:r>
      <w:r w:rsidRPr="00DF48FF">
        <w:rPr>
          <w:rFonts w:ascii="Arial" w:hAnsi="Arial" w:cs="Arial"/>
          <w:sz w:val="20"/>
          <w:szCs w:val="20"/>
        </w:rPr>
        <w:t xml:space="preserve"> - osoba v čele domácnosti byla vyznačena jako nezaměstnaná (v úplných rodinách manželka nebo děti mohly pracovat), </w:t>
      </w:r>
    </w:p>
    <w:p w:rsidR="002A4577" w:rsidRPr="00F83D7E" w:rsidRDefault="00DF48FF">
      <w:pPr>
        <w:pStyle w:val="Zkladntext"/>
        <w:numPr>
          <w:ilvl w:val="0"/>
          <w:numId w:val="19"/>
        </w:numPr>
        <w:tabs>
          <w:tab w:val="clear" w:pos="1069"/>
          <w:tab w:val="num" w:pos="720"/>
        </w:tabs>
        <w:spacing w:after="120"/>
        <w:ind w:left="700"/>
        <w:rPr>
          <w:rFonts w:ascii="Arial" w:hAnsi="Arial" w:cs="Arial"/>
          <w:sz w:val="20"/>
          <w:szCs w:val="20"/>
        </w:rPr>
      </w:pPr>
      <w:r w:rsidRPr="00DF48FF">
        <w:rPr>
          <w:rFonts w:ascii="Arial" w:hAnsi="Arial" w:cs="Arial"/>
          <w:b/>
          <w:bCs/>
          <w:i/>
          <w:iCs/>
          <w:sz w:val="20"/>
          <w:szCs w:val="20"/>
        </w:rPr>
        <w:t>ostatní domácnosti</w:t>
      </w:r>
      <w:r w:rsidRPr="00DF48FF">
        <w:rPr>
          <w:rFonts w:ascii="Arial" w:hAnsi="Arial" w:cs="Arial"/>
          <w:sz w:val="20"/>
          <w:szCs w:val="20"/>
        </w:rPr>
        <w:t xml:space="preserve"> - osoba v čele nebyla ekonomicky aktivní ani nepobírala důchod; byly to např. osoby pobírající rodičovský příspěvek, studenti, osoby žijící z majetku.</w:t>
      </w:r>
    </w:p>
    <w:p w:rsidR="002A4577" w:rsidRPr="00F83D7E" w:rsidRDefault="00DF48FF">
      <w:pPr>
        <w:pStyle w:val="Zkladntext"/>
        <w:numPr>
          <w:ilvl w:val="0"/>
          <w:numId w:val="9"/>
        </w:numPr>
        <w:tabs>
          <w:tab w:val="clear" w:pos="360"/>
        </w:tabs>
        <w:spacing w:after="120"/>
        <w:rPr>
          <w:rFonts w:ascii="Arial" w:hAnsi="Arial" w:cs="Arial"/>
          <w:sz w:val="20"/>
          <w:szCs w:val="20"/>
        </w:rPr>
      </w:pPr>
      <w:r w:rsidRPr="00DF48FF">
        <w:rPr>
          <w:rFonts w:ascii="Arial" w:hAnsi="Arial" w:cs="Arial"/>
          <w:sz w:val="20"/>
          <w:szCs w:val="20"/>
          <w:u w:val="single"/>
        </w:rPr>
        <w:t>Životní minimum</w:t>
      </w:r>
      <w:r w:rsidRPr="00DF48FF">
        <w:rPr>
          <w:rFonts w:ascii="Arial" w:hAnsi="Arial" w:cs="Arial"/>
          <w:sz w:val="20"/>
          <w:szCs w:val="20"/>
        </w:rPr>
        <w:t xml:space="preserve"> je po nabytí platnosti zákona o životním a existenčním minimu od roku 2007 jednosložkové, stanovují se pouze částky životního minima pro osoby. Životní minimum bylo vypočteno pro každou samostatně hospodařící domácnost zvlášť na základě jejího složení, věku dětí a zákonných částek životního minima platných v roce 201</w:t>
      </w:r>
      <w:r w:rsidR="0014539B">
        <w:rPr>
          <w:rFonts w:ascii="Arial" w:hAnsi="Arial" w:cs="Arial"/>
          <w:sz w:val="20"/>
          <w:szCs w:val="20"/>
        </w:rPr>
        <w:t>7</w:t>
      </w:r>
      <w:r w:rsidRPr="00DF48FF">
        <w:rPr>
          <w:rFonts w:ascii="Arial" w:hAnsi="Arial" w:cs="Arial"/>
          <w:sz w:val="20"/>
          <w:szCs w:val="20"/>
        </w:rPr>
        <w:t>. Děti byly do věkových kategorií zařazeny podle věku dokončeného v roce 201</w:t>
      </w:r>
      <w:r w:rsidR="0014539B">
        <w:rPr>
          <w:rFonts w:ascii="Arial" w:hAnsi="Arial" w:cs="Arial"/>
          <w:sz w:val="20"/>
          <w:szCs w:val="20"/>
        </w:rPr>
        <w:t>7</w:t>
      </w:r>
      <w:r w:rsidRPr="00DF48FF">
        <w:rPr>
          <w:rFonts w:ascii="Arial" w:hAnsi="Arial" w:cs="Arial"/>
          <w:sz w:val="20"/>
          <w:szCs w:val="20"/>
        </w:rPr>
        <w:t xml:space="preserve">. </w:t>
      </w:r>
    </w:p>
    <w:p w:rsidR="002A4577" w:rsidRDefault="00DF48FF">
      <w:pPr>
        <w:pStyle w:val="Zkladntext"/>
        <w:spacing w:after="120"/>
        <w:rPr>
          <w:rFonts w:ascii="Arial" w:hAnsi="Arial" w:cs="Arial"/>
          <w:sz w:val="20"/>
          <w:szCs w:val="20"/>
        </w:rPr>
      </w:pPr>
      <w:r w:rsidRPr="00DF48FF">
        <w:rPr>
          <w:rFonts w:ascii="Arial" w:hAnsi="Arial" w:cs="Arial"/>
          <w:sz w:val="20"/>
          <w:szCs w:val="20"/>
        </w:rPr>
        <w:t>Částky životního minima v Kč na měsíc platné pro rok 201</w:t>
      </w:r>
      <w:r w:rsidR="0014539B">
        <w:rPr>
          <w:rFonts w:ascii="Arial" w:hAnsi="Arial" w:cs="Arial"/>
          <w:sz w:val="20"/>
          <w:szCs w:val="20"/>
        </w:rPr>
        <w:t>7</w:t>
      </w:r>
      <w:r w:rsidRPr="00DF48FF">
        <w:rPr>
          <w:rFonts w:ascii="Arial" w:hAnsi="Arial" w:cs="Arial"/>
          <w:sz w:val="20"/>
          <w:szCs w:val="20"/>
        </w:rPr>
        <w:t xml:space="preserve"> byly následující:</w:t>
      </w:r>
    </w:p>
    <w:p w:rsidR="00811140" w:rsidRDefault="00F37D3F">
      <w:pPr>
        <w:pStyle w:val="Zkladntext"/>
        <w:rPr>
          <w:rFonts w:ascii="Arial" w:hAnsi="Arial" w:cs="Arial"/>
          <w:b/>
          <w:sz w:val="20"/>
          <w:szCs w:val="20"/>
        </w:rPr>
      </w:pPr>
      <w:r>
        <w:rPr>
          <w:rFonts w:ascii="Arial" w:hAnsi="Arial" w:cs="Arial"/>
          <w:sz w:val="20"/>
          <w:szCs w:val="20"/>
        </w:rPr>
        <w:t xml:space="preserve">      </w:t>
      </w:r>
      <w:r w:rsidR="00DF48FF" w:rsidRPr="00DF48FF">
        <w:rPr>
          <w:rFonts w:ascii="Arial" w:hAnsi="Arial" w:cs="Arial"/>
          <w:b/>
          <w:sz w:val="20"/>
          <w:szCs w:val="20"/>
        </w:rPr>
        <w:t>Tab. 3 Životní minimum</w:t>
      </w:r>
      <w:r w:rsidR="00380A77">
        <w:rPr>
          <w:rFonts w:ascii="Arial" w:hAnsi="Arial" w:cs="Arial"/>
          <w:b/>
          <w:sz w:val="20"/>
          <w:szCs w:val="20"/>
        </w:rPr>
        <w:t xml:space="preserve"> v roce</w:t>
      </w:r>
      <w:r w:rsidR="006F5513">
        <w:rPr>
          <w:rFonts w:ascii="Arial" w:hAnsi="Arial" w:cs="Arial"/>
          <w:b/>
          <w:sz w:val="20"/>
          <w:szCs w:val="20"/>
        </w:rPr>
        <w:t xml:space="preserve"> 201</w:t>
      </w:r>
      <w:r w:rsidR="0014539B">
        <w:rPr>
          <w:rFonts w:ascii="Arial" w:hAnsi="Arial" w:cs="Arial"/>
          <w:b/>
          <w:sz w:val="20"/>
          <w:szCs w:val="20"/>
        </w:rPr>
        <w:t>7</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40"/>
        <w:gridCol w:w="1080"/>
        <w:gridCol w:w="2760"/>
        <w:gridCol w:w="1101"/>
      </w:tblGrid>
      <w:tr w:rsidR="002A4577" w:rsidRPr="00F37D3F" w:rsidTr="00DB41B7">
        <w:trPr>
          <w:cantSplit/>
          <w:trHeight w:val="369"/>
        </w:trPr>
        <w:tc>
          <w:tcPr>
            <w:tcW w:w="8781" w:type="dxa"/>
            <w:gridSpan w:val="4"/>
            <w:shd w:val="clear" w:color="auto" w:fill="D9D9D9"/>
          </w:tcPr>
          <w:p w:rsidR="00DF48FF" w:rsidRPr="00DF48FF" w:rsidRDefault="00DF48FF" w:rsidP="00DF48FF">
            <w:pPr>
              <w:pStyle w:val="Zkladntext"/>
              <w:spacing w:line="276" w:lineRule="auto"/>
              <w:jc w:val="center"/>
              <w:rPr>
                <w:rFonts w:ascii="Arial" w:hAnsi="Arial" w:cs="Arial"/>
                <w:b/>
                <w:sz w:val="8"/>
                <w:szCs w:val="8"/>
              </w:rPr>
            </w:pPr>
          </w:p>
          <w:p w:rsidR="00DF48FF" w:rsidRPr="00DF48FF" w:rsidRDefault="0024739A" w:rsidP="00DF48FF">
            <w:pPr>
              <w:pStyle w:val="Zkladntext"/>
              <w:tabs>
                <w:tab w:val="left" w:pos="288"/>
                <w:tab w:val="center" w:pos="4320"/>
              </w:tabs>
              <w:spacing w:line="276" w:lineRule="auto"/>
              <w:jc w:val="left"/>
              <w:rPr>
                <w:rFonts w:ascii="Arial" w:hAnsi="Arial" w:cs="Arial"/>
                <w:b/>
                <w:sz w:val="16"/>
                <w:szCs w:val="16"/>
              </w:rPr>
            </w:pPr>
            <w:r w:rsidRPr="00DB41B7">
              <w:rPr>
                <w:rFonts w:ascii="Arial" w:hAnsi="Arial" w:cs="Arial"/>
                <w:b/>
                <w:sz w:val="16"/>
                <w:szCs w:val="16"/>
                <w:shd w:val="clear" w:color="auto" w:fill="D9D9D9"/>
              </w:rPr>
              <w:tab/>
            </w:r>
            <w:r w:rsidRPr="00DB41B7">
              <w:rPr>
                <w:rFonts w:ascii="Arial" w:hAnsi="Arial" w:cs="Arial"/>
                <w:b/>
                <w:sz w:val="16"/>
                <w:szCs w:val="16"/>
                <w:shd w:val="clear" w:color="auto" w:fill="D9D9D9"/>
              </w:rPr>
              <w:tab/>
            </w:r>
            <w:r w:rsidR="00DF48FF" w:rsidRPr="00DB41B7">
              <w:rPr>
                <w:rFonts w:ascii="Arial" w:hAnsi="Arial" w:cs="Arial"/>
                <w:b/>
                <w:sz w:val="16"/>
                <w:szCs w:val="16"/>
                <w:shd w:val="clear" w:color="auto" w:fill="D9D9D9"/>
              </w:rPr>
              <w:t>Částky životního minima v Kč na měsíc</w:t>
            </w:r>
          </w:p>
        </w:tc>
      </w:tr>
      <w:tr w:rsidR="002A4577" w:rsidRPr="00F37D3F" w:rsidTr="006F5513">
        <w:trPr>
          <w:trHeight w:val="1254"/>
        </w:trPr>
        <w:tc>
          <w:tcPr>
            <w:tcW w:w="3840" w:type="dxa"/>
          </w:tcPr>
          <w:p w:rsidR="006F5513" w:rsidRPr="006F5513" w:rsidRDefault="006F5513">
            <w:pPr>
              <w:pStyle w:val="Zkladntext"/>
              <w:rPr>
                <w:rFonts w:ascii="Arial" w:hAnsi="Arial" w:cs="Arial"/>
                <w:sz w:val="10"/>
                <w:szCs w:val="10"/>
              </w:rPr>
            </w:pPr>
          </w:p>
          <w:p w:rsidR="002A4577" w:rsidRPr="00F37D3F" w:rsidRDefault="00DF48FF">
            <w:pPr>
              <w:pStyle w:val="Zkladntext"/>
              <w:rPr>
                <w:rFonts w:ascii="Arial" w:hAnsi="Arial" w:cs="Arial"/>
                <w:sz w:val="16"/>
                <w:szCs w:val="16"/>
              </w:rPr>
            </w:pPr>
            <w:r w:rsidRPr="00DF48FF">
              <w:rPr>
                <w:rFonts w:ascii="Arial" w:hAnsi="Arial" w:cs="Arial"/>
                <w:sz w:val="16"/>
                <w:szCs w:val="16"/>
              </w:rPr>
              <w:t>Jednotlivec</w:t>
            </w:r>
          </w:p>
          <w:p w:rsidR="002A4577" w:rsidRPr="00F37D3F" w:rsidRDefault="00DF48FF">
            <w:pPr>
              <w:pStyle w:val="Zkladntext"/>
              <w:rPr>
                <w:rFonts w:ascii="Arial" w:hAnsi="Arial" w:cs="Arial"/>
                <w:sz w:val="16"/>
                <w:szCs w:val="16"/>
              </w:rPr>
            </w:pPr>
            <w:r w:rsidRPr="00DF48FF">
              <w:rPr>
                <w:rFonts w:ascii="Arial" w:hAnsi="Arial" w:cs="Arial"/>
                <w:sz w:val="16"/>
                <w:szCs w:val="16"/>
              </w:rPr>
              <w:t>Společně posuzované osoby:</w:t>
            </w:r>
          </w:p>
          <w:p w:rsidR="002A4577" w:rsidRPr="00F37D3F" w:rsidRDefault="00DF48FF">
            <w:pPr>
              <w:pStyle w:val="Zkladntext"/>
              <w:rPr>
                <w:rFonts w:ascii="Arial" w:hAnsi="Arial" w:cs="Arial"/>
                <w:sz w:val="16"/>
                <w:szCs w:val="16"/>
              </w:rPr>
            </w:pPr>
            <w:r w:rsidRPr="00DF48FF">
              <w:rPr>
                <w:rFonts w:ascii="Arial" w:hAnsi="Arial" w:cs="Arial"/>
                <w:sz w:val="16"/>
                <w:szCs w:val="16"/>
              </w:rPr>
              <w:t xml:space="preserve">  pro první osobu v domácnosti</w:t>
            </w:r>
          </w:p>
          <w:p w:rsidR="002A4577" w:rsidRPr="00F37D3F" w:rsidRDefault="00DF48FF">
            <w:pPr>
              <w:pStyle w:val="Zkladntext"/>
              <w:rPr>
                <w:rFonts w:ascii="Arial" w:hAnsi="Arial" w:cs="Arial"/>
                <w:sz w:val="16"/>
                <w:szCs w:val="16"/>
              </w:rPr>
            </w:pPr>
            <w:r w:rsidRPr="00DF48FF">
              <w:rPr>
                <w:rFonts w:ascii="Arial" w:hAnsi="Arial" w:cs="Arial"/>
                <w:sz w:val="16"/>
                <w:szCs w:val="16"/>
              </w:rPr>
              <w:t xml:space="preserve">  pro druhou a další osoby   </w:t>
            </w:r>
          </w:p>
          <w:p w:rsidR="002A4577" w:rsidRPr="00F37D3F" w:rsidRDefault="00DF48FF">
            <w:pPr>
              <w:pStyle w:val="Zkladntext"/>
              <w:rPr>
                <w:rFonts w:ascii="Arial" w:hAnsi="Arial" w:cs="Arial"/>
                <w:sz w:val="16"/>
                <w:szCs w:val="16"/>
              </w:rPr>
            </w:pPr>
            <w:r w:rsidRPr="00DF48FF">
              <w:rPr>
                <w:rFonts w:ascii="Arial" w:hAnsi="Arial" w:cs="Arial"/>
                <w:sz w:val="16"/>
                <w:szCs w:val="16"/>
              </w:rPr>
              <w:t xml:space="preserve">        v domácnosti, které nejsou </w:t>
            </w:r>
          </w:p>
          <w:p w:rsidR="002A4577" w:rsidRPr="00F37D3F" w:rsidRDefault="00DF48FF" w:rsidP="00615FD1">
            <w:pPr>
              <w:pStyle w:val="Zkladntext"/>
              <w:rPr>
                <w:rFonts w:ascii="Arial" w:hAnsi="Arial" w:cs="Arial"/>
                <w:sz w:val="16"/>
                <w:szCs w:val="16"/>
              </w:rPr>
            </w:pPr>
            <w:r w:rsidRPr="00DF48FF">
              <w:rPr>
                <w:rFonts w:ascii="Arial" w:hAnsi="Arial" w:cs="Arial"/>
                <w:sz w:val="16"/>
                <w:szCs w:val="16"/>
              </w:rPr>
              <w:t xml:space="preserve">        vyživovaným dítětem</w:t>
            </w:r>
          </w:p>
        </w:tc>
        <w:tc>
          <w:tcPr>
            <w:tcW w:w="1080" w:type="dxa"/>
          </w:tcPr>
          <w:p w:rsidR="006F5513" w:rsidRPr="006F5513" w:rsidRDefault="006F5513">
            <w:pPr>
              <w:pStyle w:val="Zkladntext"/>
              <w:ind w:right="113"/>
              <w:jc w:val="right"/>
              <w:rPr>
                <w:rFonts w:ascii="Arial" w:hAnsi="Arial" w:cs="Arial"/>
                <w:sz w:val="10"/>
                <w:szCs w:val="10"/>
              </w:rPr>
            </w:pPr>
          </w:p>
          <w:p w:rsidR="002A4577" w:rsidRPr="00F37D3F" w:rsidRDefault="00DF48FF">
            <w:pPr>
              <w:pStyle w:val="Zkladntext"/>
              <w:ind w:right="113"/>
              <w:jc w:val="right"/>
              <w:rPr>
                <w:rFonts w:ascii="Arial" w:hAnsi="Arial" w:cs="Arial"/>
                <w:sz w:val="16"/>
                <w:szCs w:val="16"/>
              </w:rPr>
            </w:pPr>
            <w:r w:rsidRPr="00DF48FF">
              <w:rPr>
                <w:rFonts w:ascii="Arial" w:hAnsi="Arial" w:cs="Arial"/>
                <w:sz w:val="16"/>
                <w:szCs w:val="16"/>
              </w:rPr>
              <w:t xml:space="preserve">3 410  </w:t>
            </w:r>
          </w:p>
          <w:p w:rsidR="002A4577" w:rsidRPr="00F37D3F" w:rsidRDefault="002A4577">
            <w:pPr>
              <w:pStyle w:val="Zkladntext"/>
              <w:ind w:right="113"/>
              <w:jc w:val="right"/>
              <w:rPr>
                <w:rFonts w:ascii="Arial" w:hAnsi="Arial" w:cs="Arial"/>
                <w:sz w:val="16"/>
                <w:szCs w:val="16"/>
              </w:rPr>
            </w:pPr>
          </w:p>
          <w:p w:rsidR="002A4577" w:rsidRPr="00F37D3F" w:rsidRDefault="00DF48FF">
            <w:pPr>
              <w:pStyle w:val="Zkladntext"/>
              <w:ind w:right="113"/>
              <w:jc w:val="right"/>
              <w:rPr>
                <w:rFonts w:ascii="Arial" w:hAnsi="Arial" w:cs="Arial"/>
                <w:sz w:val="16"/>
                <w:szCs w:val="16"/>
              </w:rPr>
            </w:pPr>
            <w:r w:rsidRPr="00DF48FF">
              <w:rPr>
                <w:rFonts w:ascii="Arial" w:hAnsi="Arial" w:cs="Arial"/>
                <w:sz w:val="16"/>
                <w:szCs w:val="16"/>
              </w:rPr>
              <w:t>3 140</w:t>
            </w:r>
          </w:p>
          <w:p w:rsidR="002A4577" w:rsidRPr="00F37D3F" w:rsidRDefault="00DF48FF" w:rsidP="005A0688">
            <w:pPr>
              <w:pStyle w:val="Zkladntext"/>
              <w:ind w:right="113"/>
              <w:jc w:val="right"/>
              <w:rPr>
                <w:rFonts w:ascii="Arial" w:hAnsi="Arial" w:cs="Arial"/>
                <w:sz w:val="16"/>
                <w:szCs w:val="16"/>
              </w:rPr>
            </w:pPr>
            <w:r w:rsidRPr="00DF48FF">
              <w:rPr>
                <w:rFonts w:ascii="Arial" w:hAnsi="Arial" w:cs="Arial"/>
                <w:sz w:val="16"/>
                <w:szCs w:val="16"/>
              </w:rPr>
              <w:t>2</w:t>
            </w:r>
            <w:r w:rsidR="006F5513">
              <w:rPr>
                <w:rFonts w:ascii="Arial" w:hAnsi="Arial" w:cs="Arial"/>
                <w:sz w:val="16"/>
                <w:szCs w:val="16"/>
              </w:rPr>
              <w:t> </w:t>
            </w:r>
            <w:r w:rsidRPr="00DF48FF">
              <w:rPr>
                <w:rFonts w:ascii="Arial" w:hAnsi="Arial" w:cs="Arial"/>
                <w:sz w:val="16"/>
                <w:szCs w:val="16"/>
              </w:rPr>
              <w:t>830</w:t>
            </w:r>
          </w:p>
        </w:tc>
        <w:tc>
          <w:tcPr>
            <w:tcW w:w="2760" w:type="dxa"/>
          </w:tcPr>
          <w:p w:rsidR="006F5513" w:rsidRPr="006F5513" w:rsidRDefault="006F5513">
            <w:pPr>
              <w:pStyle w:val="Zkladntext"/>
              <w:rPr>
                <w:rFonts w:ascii="Arial" w:hAnsi="Arial" w:cs="Arial"/>
                <w:sz w:val="10"/>
                <w:szCs w:val="10"/>
              </w:rPr>
            </w:pPr>
          </w:p>
          <w:p w:rsidR="002A4577" w:rsidRPr="00F37D3F" w:rsidRDefault="00DF48FF">
            <w:pPr>
              <w:pStyle w:val="Zkladntext"/>
              <w:rPr>
                <w:rFonts w:ascii="Arial" w:hAnsi="Arial" w:cs="Arial"/>
                <w:sz w:val="16"/>
                <w:szCs w:val="16"/>
              </w:rPr>
            </w:pPr>
            <w:r w:rsidRPr="00DF48FF">
              <w:rPr>
                <w:rFonts w:ascii="Arial" w:hAnsi="Arial" w:cs="Arial"/>
                <w:sz w:val="16"/>
                <w:szCs w:val="16"/>
              </w:rPr>
              <w:t>Vyživované děti:</w:t>
            </w:r>
          </w:p>
          <w:p w:rsidR="002A4577" w:rsidRPr="00F37D3F" w:rsidRDefault="00DF48FF">
            <w:pPr>
              <w:pStyle w:val="Zkladntext"/>
              <w:rPr>
                <w:rFonts w:ascii="Arial" w:hAnsi="Arial" w:cs="Arial"/>
                <w:sz w:val="16"/>
                <w:szCs w:val="16"/>
              </w:rPr>
            </w:pPr>
            <w:r w:rsidRPr="00DF48FF">
              <w:rPr>
                <w:rFonts w:ascii="Arial" w:hAnsi="Arial" w:cs="Arial"/>
                <w:sz w:val="16"/>
                <w:szCs w:val="16"/>
              </w:rPr>
              <w:t xml:space="preserve">  do 6 let</w:t>
            </w:r>
          </w:p>
          <w:p w:rsidR="002A4577" w:rsidRPr="00F37D3F" w:rsidRDefault="00DF48FF">
            <w:pPr>
              <w:pStyle w:val="Zkladntext"/>
              <w:rPr>
                <w:rFonts w:ascii="Arial" w:hAnsi="Arial" w:cs="Arial"/>
                <w:sz w:val="16"/>
                <w:szCs w:val="16"/>
              </w:rPr>
            </w:pPr>
            <w:r w:rsidRPr="00DF48FF">
              <w:rPr>
                <w:rFonts w:ascii="Arial" w:hAnsi="Arial" w:cs="Arial"/>
                <w:sz w:val="16"/>
                <w:szCs w:val="16"/>
              </w:rPr>
              <w:t xml:space="preserve">  6 až 15 let</w:t>
            </w:r>
          </w:p>
          <w:p w:rsidR="002A4577" w:rsidRPr="00F37D3F" w:rsidRDefault="00DF48FF">
            <w:pPr>
              <w:pStyle w:val="Zkladntext"/>
              <w:rPr>
                <w:rFonts w:ascii="Arial" w:hAnsi="Arial" w:cs="Arial"/>
                <w:sz w:val="16"/>
                <w:szCs w:val="16"/>
              </w:rPr>
            </w:pPr>
            <w:r w:rsidRPr="00DF48FF">
              <w:rPr>
                <w:rFonts w:ascii="Arial" w:hAnsi="Arial" w:cs="Arial"/>
                <w:sz w:val="16"/>
                <w:szCs w:val="16"/>
              </w:rPr>
              <w:t xml:space="preserve">  15 až 26 let</w:t>
            </w:r>
          </w:p>
        </w:tc>
        <w:tc>
          <w:tcPr>
            <w:tcW w:w="1101" w:type="dxa"/>
          </w:tcPr>
          <w:p w:rsidR="002A4577" w:rsidRPr="006F5513" w:rsidRDefault="002A4577">
            <w:pPr>
              <w:pStyle w:val="Zkladntext"/>
              <w:rPr>
                <w:rFonts w:ascii="Arial" w:hAnsi="Arial" w:cs="Arial"/>
                <w:sz w:val="10"/>
                <w:szCs w:val="10"/>
              </w:rPr>
            </w:pPr>
          </w:p>
          <w:p w:rsidR="006F5513" w:rsidRDefault="006F5513">
            <w:pPr>
              <w:pStyle w:val="Zkladntext"/>
              <w:ind w:right="113"/>
              <w:jc w:val="right"/>
              <w:rPr>
                <w:rFonts w:ascii="Arial" w:hAnsi="Arial" w:cs="Arial"/>
                <w:sz w:val="16"/>
                <w:szCs w:val="16"/>
              </w:rPr>
            </w:pPr>
          </w:p>
          <w:p w:rsidR="002A4577" w:rsidRPr="00F37D3F" w:rsidRDefault="00DF48FF">
            <w:pPr>
              <w:pStyle w:val="Zkladntext"/>
              <w:ind w:right="113"/>
              <w:jc w:val="right"/>
              <w:rPr>
                <w:rFonts w:ascii="Arial" w:hAnsi="Arial" w:cs="Arial"/>
                <w:sz w:val="16"/>
                <w:szCs w:val="16"/>
              </w:rPr>
            </w:pPr>
            <w:r w:rsidRPr="00DF48FF">
              <w:rPr>
                <w:rFonts w:ascii="Arial" w:hAnsi="Arial" w:cs="Arial"/>
                <w:sz w:val="16"/>
                <w:szCs w:val="16"/>
              </w:rPr>
              <w:t>1 740</w:t>
            </w:r>
          </w:p>
          <w:p w:rsidR="002A4577" w:rsidRPr="00F37D3F" w:rsidRDefault="00DF48FF">
            <w:pPr>
              <w:pStyle w:val="Zkladntext"/>
              <w:ind w:right="113"/>
              <w:jc w:val="right"/>
              <w:rPr>
                <w:rFonts w:ascii="Arial" w:hAnsi="Arial" w:cs="Arial"/>
                <w:sz w:val="16"/>
                <w:szCs w:val="16"/>
              </w:rPr>
            </w:pPr>
            <w:r w:rsidRPr="00DF48FF">
              <w:rPr>
                <w:rFonts w:ascii="Arial" w:hAnsi="Arial" w:cs="Arial"/>
                <w:sz w:val="16"/>
                <w:szCs w:val="16"/>
              </w:rPr>
              <w:t xml:space="preserve">2 140 </w:t>
            </w:r>
          </w:p>
          <w:p w:rsidR="002A4577" w:rsidRPr="00F37D3F" w:rsidRDefault="00DF48FF" w:rsidP="005A0688">
            <w:pPr>
              <w:pStyle w:val="Zkladntext"/>
              <w:ind w:right="113"/>
              <w:jc w:val="right"/>
              <w:rPr>
                <w:rFonts w:ascii="Arial" w:hAnsi="Arial" w:cs="Arial"/>
                <w:sz w:val="16"/>
                <w:szCs w:val="16"/>
              </w:rPr>
            </w:pPr>
            <w:r w:rsidRPr="00DF48FF">
              <w:rPr>
                <w:rFonts w:ascii="Arial" w:hAnsi="Arial" w:cs="Arial"/>
                <w:sz w:val="16"/>
                <w:szCs w:val="16"/>
              </w:rPr>
              <w:t>2 450</w:t>
            </w:r>
          </w:p>
        </w:tc>
      </w:tr>
    </w:tbl>
    <w:p w:rsidR="001B2640" w:rsidRDefault="00E37136" w:rsidP="001B2640">
      <w:pPr>
        <w:pStyle w:val="Zkladntext"/>
        <w:spacing w:after="240"/>
        <w:rPr>
          <w:rFonts w:ascii="Arial" w:hAnsi="Arial" w:cs="Arial"/>
          <w:sz w:val="14"/>
          <w:szCs w:val="14"/>
        </w:rPr>
      </w:pPr>
      <w:r>
        <w:rPr>
          <w:rFonts w:ascii="Arial" w:hAnsi="Arial" w:cs="Arial"/>
          <w:sz w:val="20"/>
          <w:szCs w:val="20"/>
        </w:rPr>
        <w:t xml:space="preserve">      </w:t>
      </w:r>
      <w:r w:rsidR="00DF48FF" w:rsidRPr="00DF48FF">
        <w:rPr>
          <w:rFonts w:ascii="Arial" w:hAnsi="Arial" w:cs="Arial"/>
          <w:sz w:val="14"/>
          <w:szCs w:val="14"/>
        </w:rPr>
        <w:t xml:space="preserve">Zdroj: </w:t>
      </w:r>
      <w:r>
        <w:rPr>
          <w:rFonts w:ascii="Arial" w:hAnsi="Arial" w:cs="Arial"/>
          <w:sz w:val="14"/>
          <w:szCs w:val="14"/>
        </w:rPr>
        <w:t>MPSV</w:t>
      </w:r>
    </w:p>
    <w:p w:rsidR="002A4577" w:rsidRPr="00F83D7E" w:rsidRDefault="00DF48FF">
      <w:pPr>
        <w:pStyle w:val="Zkladntext"/>
        <w:spacing w:before="120" w:after="120"/>
        <w:rPr>
          <w:rFonts w:ascii="Arial" w:hAnsi="Arial" w:cs="Arial"/>
          <w:sz w:val="20"/>
          <w:szCs w:val="20"/>
        </w:rPr>
      </w:pPr>
      <w:r w:rsidRPr="00DF48FF">
        <w:rPr>
          <w:rFonts w:ascii="Arial" w:hAnsi="Arial" w:cs="Arial"/>
          <w:b/>
          <w:bCs/>
          <w:sz w:val="20"/>
          <w:szCs w:val="20"/>
        </w:rPr>
        <w:t>2.2.3 Peněžní a naturální příjmy</w:t>
      </w:r>
      <w:r w:rsidRPr="00DF48FF">
        <w:rPr>
          <w:rFonts w:ascii="Arial" w:hAnsi="Arial" w:cs="Arial"/>
          <w:sz w:val="20"/>
          <w:szCs w:val="20"/>
        </w:rPr>
        <w:t xml:space="preserve"> </w:t>
      </w:r>
    </w:p>
    <w:p w:rsidR="002A4577" w:rsidRPr="00F83D7E" w:rsidRDefault="00DF48FF">
      <w:pPr>
        <w:pStyle w:val="Zkladntext"/>
        <w:spacing w:after="120"/>
        <w:rPr>
          <w:rFonts w:ascii="Arial" w:hAnsi="Arial" w:cs="Arial"/>
          <w:sz w:val="20"/>
          <w:szCs w:val="20"/>
        </w:rPr>
      </w:pPr>
      <w:r w:rsidRPr="00DF48FF">
        <w:rPr>
          <w:rFonts w:ascii="Arial" w:hAnsi="Arial" w:cs="Arial"/>
          <w:sz w:val="20"/>
          <w:szCs w:val="20"/>
        </w:rPr>
        <w:tab/>
        <w:t>Příjmy vážící se k domácnosti byly zjišťovány za domácnost jako celek. Šlo zejména o měsíčně vyplácené dávky státní sociální podpory a dávky pomoci v hmotné nouzi, pro jejichž přiznání se posuzují příjmy celé domácnosti, a dále jednorázově vyplácené porodné a pohřebné. U domácnosti jako celku se zjišťovaly také příjmy z pronájmů nemovitostí a movitých věcí, které nebyly podnikatelskou činností.</w:t>
      </w:r>
    </w:p>
    <w:p w:rsidR="002A4577" w:rsidRPr="00F83D7E" w:rsidRDefault="00DF48FF">
      <w:pPr>
        <w:pStyle w:val="Zkladntext"/>
        <w:spacing w:after="120"/>
        <w:ind w:firstLine="708"/>
        <w:rPr>
          <w:rFonts w:ascii="Arial" w:hAnsi="Arial" w:cs="Arial"/>
          <w:sz w:val="20"/>
          <w:szCs w:val="20"/>
        </w:rPr>
      </w:pPr>
      <w:r w:rsidRPr="00DF48FF">
        <w:rPr>
          <w:rFonts w:ascii="Arial" w:hAnsi="Arial" w:cs="Arial"/>
          <w:sz w:val="20"/>
          <w:szCs w:val="20"/>
        </w:rPr>
        <w:t>U jednotlivých osob pak byly zjišťovány příjmy z hlavního a vedlejšího pracovního poměru vč. dalších příjmů s nimi souvisejících (odměny, podíly, příplatky), příjmy z dohod, příjmy z podnikání a jiné samostatně výdělečné činnosti, dávky nemocenského a důchodového pojištění, podpora v nezaměstnanosti, sociální dávky určené konkrétním osobám (rodičovský příspěvek, příspěvek na péči či jednorázové a opakované dávky pro zdravotně postižené) a také ostatní příjmy pocházející z kapitálového majetku, prodeje přebytků z vlastní samovýroby, z životního pojištění a penzijního připojištění.</w:t>
      </w:r>
    </w:p>
    <w:p w:rsidR="002A4577" w:rsidRPr="00F83D7E" w:rsidRDefault="00DF48FF">
      <w:pPr>
        <w:pStyle w:val="Zkladntext"/>
        <w:spacing w:after="120"/>
        <w:ind w:firstLine="708"/>
        <w:rPr>
          <w:rFonts w:ascii="Arial" w:hAnsi="Arial" w:cs="Arial"/>
          <w:sz w:val="20"/>
          <w:szCs w:val="20"/>
        </w:rPr>
      </w:pPr>
      <w:r w:rsidRPr="00DF48FF">
        <w:rPr>
          <w:rFonts w:ascii="Arial" w:hAnsi="Arial" w:cs="Arial"/>
          <w:sz w:val="20"/>
          <w:szCs w:val="20"/>
        </w:rPr>
        <w:t>Příjmy ze závislé činnosti (hlavní i event. další pracovní poměr) se zjišťovaly jako hrubé nebo čisté, příjmy z dohod o provedení práce a dohod o pracovní činnosti pouze jako hrubé. Osoby zabývající se podnikáním měly několik možností pro vyjádření výsledku svého hospodaření. Mohly uvést výši hrubého zisku/ztráty podle daňového přiznání či vlastní odhad hrubého nebo čistého zisku příp. ztráty. U</w:t>
      </w:r>
      <w:r w:rsidR="00AF2337">
        <w:rPr>
          <w:rFonts w:ascii="Arial" w:hAnsi="Arial" w:cs="Arial"/>
          <w:sz w:val="20"/>
          <w:szCs w:val="20"/>
        </w:rPr>
        <w:t> </w:t>
      </w:r>
      <w:r w:rsidRPr="00DF48FF">
        <w:rPr>
          <w:rFonts w:ascii="Arial" w:hAnsi="Arial" w:cs="Arial"/>
          <w:sz w:val="20"/>
          <w:szCs w:val="20"/>
        </w:rPr>
        <w:t xml:space="preserve">spolupracujících osob v podnikání se zjišťovala částka příjmů rozepsaná na tyto osoby. </w:t>
      </w:r>
    </w:p>
    <w:p w:rsidR="002A4577" w:rsidRPr="00F83D7E" w:rsidRDefault="00DF48FF">
      <w:pPr>
        <w:pStyle w:val="Zkladntext"/>
        <w:spacing w:after="120"/>
        <w:ind w:firstLine="708"/>
        <w:rPr>
          <w:rFonts w:ascii="Arial" w:hAnsi="Arial" w:cs="Arial"/>
          <w:sz w:val="20"/>
          <w:szCs w:val="20"/>
        </w:rPr>
      </w:pPr>
      <w:r w:rsidRPr="00DF48FF">
        <w:rPr>
          <w:rFonts w:ascii="Arial" w:hAnsi="Arial" w:cs="Arial"/>
          <w:sz w:val="20"/>
          <w:szCs w:val="20"/>
        </w:rPr>
        <w:lastRenderedPageBreak/>
        <w:t>Příjmy z pronájmu se šetřily buď hrubé, nebo čisté podle toho, který údaj byla domácnost schopna poskytnout. Všechny ostatní druhy příjmů byly zjišťovány jako čisté a teprve při zpracování z nich byly podle platných daňových předpisů odhadnuty příslušné hrubé částky. Protože byly u jednotlivých osob zapisovány odčitatelné položky z příjmů a uplatněné slevy na dani, bylo možné dopočítat odpovídající částky na</w:t>
      </w:r>
      <w:r w:rsidR="00AF2337">
        <w:rPr>
          <w:rFonts w:ascii="Arial" w:hAnsi="Arial" w:cs="Arial"/>
          <w:sz w:val="20"/>
          <w:szCs w:val="20"/>
        </w:rPr>
        <w:t> </w:t>
      </w:r>
      <w:r w:rsidRPr="00DF48FF">
        <w:rPr>
          <w:rFonts w:ascii="Arial" w:hAnsi="Arial" w:cs="Arial"/>
          <w:sz w:val="20"/>
          <w:szCs w:val="20"/>
        </w:rPr>
        <w:t xml:space="preserve">zdravotní a sociální pojištění a daň z příjmů fyzických osob, jejichž odečtením vznikl za každou osobu čistý příjem. Z dílčích čistých příjmů za osoby a za domácnost byl vytvořen hlavní národní ukazatel - </w:t>
      </w:r>
      <w:r w:rsidRPr="00DF48FF">
        <w:rPr>
          <w:rFonts w:ascii="Arial" w:hAnsi="Arial" w:cs="Arial"/>
          <w:sz w:val="20"/>
          <w:szCs w:val="20"/>
          <w:u w:val="single"/>
        </w:rPr>
        <w:t>čistý peněžní příjem domácnosti</w:t>
      </w:r>
      <w:r w:rsidRPr="00DF48FF">
        <w:rPr>
          <w:rFonts w:ascii="Arial" w:hAnsi="Arial" w:cs="Arial"/>
          <w:sz w:val="20"/>
          <w:szCs w:val="20"/>
        </w:rPr>
        <w:t>.</w:t>
      </w:r>
    </w:p>
    <w:p w:rsidR="002A4577" w:rsidRPr="00F83D7E" w:rsidRDefault="00DF48FF">
      <w:pPr>
        <w:pStyle w:val="Zkladntext"/>
        <w:spacing w:after="120"/>
        <w:ind w:firstLine="708"/>
        <w:rPr>
          <w:rFonts w:ascii="Arial" w:hAnsi="Arial" w:cs="Arial"/>
          <w:sz w:val="20"/>
          <w:szCs w:val="20"/>
        </w:rPr>
      </w:pPr>
      <w:r w:rsidRPr="00DF48FF">
        <w:rPr>
          <w:rFonts w:ascii="Arial" w:hAnsi="Arial" w:cs="Arial"/>
          <w:sz w:val="20"/>
          <w:szCs w:val="20"/>
        </w:rPr>
        <w:t xml:space="preserve">Vedle tohoto národního ukazatele o příjmu domácnosti bylo třeba zkonstruovat podle metodiky stanovené </w:t>
      </w:r>
      <w:proofErr w:type="spellStart"/>
      <w:r w:rsidRPr="00DF48FF">
        <w:rPr>
          <w:rFonts w:ascii="Arial" w:hAnsi="Arial" w:cs="Arial"/>
          <w:sz w:val="20"/>
          <w:szCs w:val="20"/>
        </w:rPr>
        <w:t>Eurostatem</w:t>
      </w:r>
      <w:proofErr w:type="spellEnd"/>
      <w:r w:rsidRPr="00DF48FF">
        <w:rPr>
          <w:rFonts w:ascii="Arial" w:hAnsi="Arial" w:cs="Arial"/>
          <w:sz w:val="20"/>
          <w:szCs w:val="20"/>
        </w:rPr>
        <w:t xml:space="preserve"> pro potřeby mezinárodního porovnání a pro výpočet ukazatelů (indikátorů) hodnotících míru chudoby tzv. </w:t>
      </w:r>
      <w:r w:rsidRPr="00DF48FF">
        <w:rPr>
          <w:rFonts w:ascii="Arial" w:hAnsi="Arial" w:cs="Arial"/>
          <w:sz w:val="20"/>
          <w:szCs w:val="20"/>
          <w:u w:val="single"/>
        </w:rPr>
        <w:t>disponibilní příjem domácnosti</w:t>
      </w:r>
      <w:r w:rsidRPr="00DF48FF">
        <w:rPr>
          <w:rFonts w:ascii="Arial" w:hAnsi="Arial" w:cs="Arial"/>
          <w:sz w:val="20"/>
          <w:szCs w:val="20"/>
        </w:rPr>
        <w:t xml:space="preserve">. Rozdíl mezi oběma uvedenými příjmovými ukazateli spočívá v zahrnutí, resp. vyloučení některých dílčích příjmů příp. výdajů domácností. Konkrétně se jedná o pravidelně vydávané peněžní transfery mezi domácnostmi, naturální požitky a daň z nemovitosti. </w:t>
      </w:r>
    </w:p>
    <w:p w:rsidR="002A4577" w:rsidRPr="00F83D7E" w:rsidRDefault="00DF48FF">
      <w:pPr>
        <w:pStyle w:val="Zkladntextodsazen3"/>
        <w:spacing w:after="120"/>
        <w:rPr>
          <w:rFonts w:ascii="Arial" w:hAnsi="Arial" w:cs="Arial"/>
          <w:sz w:val="20"/>
          <w:szCs w:val="20"/>
        </w:rPr>
      </w:pPr>
      <w:r w:rsidRPr="00DF48FF">
        <w:rPr>
          <w:rFonts w:ascii="Arial" w:hAnsi="Arial" w:cs="Arial"/>
          <w:sz w:val="20"/>
          <w:szCs w:val="20"/>
        </w:rPr>
        <w:t>Naturální příjmy domácnosti tvoří jednak spotřeba potravin, ostatních výrobků a služeb z vlastního hospodářství nebo podniku (např. potraviny a užitková zvířata z vlastního hospodářství, hodnota jídel z vlastní restaurace nebo hodnota dřeva z vlastního lesa) a jednak požitky poskytované zaměstnavateli. Do nich jsou zahrnuty - bezplatné používání služebního vozidla pro soukromé účely, příspěvky zaměstnavatele na stravování a hodnota dalších výhod a nepeněžních služeb (např. jazykové kurzy, slevy na firemní zboží nebo služby, příspěvky na sportovní vyžití, dovolenou). Hodnota spotřebovaných potravin z vlastního hospodářství nebo podniku, zahrnutá do naturálních příjmů, byla vypočtena na základě uvedeného množství a průměrných cen těchto jednotlivých komodit. Do naturálních příjmů zaměstnance byla za každý měsíc používání služebního vozidla připočtena částka 3 000 Kč. Výše příspěvku zaměstnavatele na stravování byla vypočtena ze zjištěného počtu příspěvků, jejich hodnoty a ceny, kterou za ně zaměstnanec uhradil. Protože se jedná o významnou část příjmů zaměstnanců, jsou částky na užívání služebního auta a na</w:t>
      </w:r>
      <w:r w:rsidR="00AF2337">
        <w:rPr>
          <w:rFonts w:ascii="Arial" w:hAnsi="Arial" w:cs="Arial"/>
          <w:sz w:val="20"/>
          <w:szCs w:val="20"/>
        </w:rPr>
        <w:t> </w:t>
      </w:r>
      <w:r w:rsidRPr="00DF48FF">
        <w:rPr>
          <w:rFonts w:ascii="Arial" w:hAnsi="Arial" w:cs="Arial"/>
          <w:sz w:val="20"/>
          <w:szCs w:val="20"/>
        </w:rPr>
        <w:t>stravování v Tab. 1a) uvedeny samostatně.</w:t>
      </w:r>
    </w:p>
    <w:p w:rsidR="002A4577" w:rsidRPr="00F83D7E" w:rsidRDefault="00DF48FF">
      <w:pPr>
        <w:pStyle w:val="Zkladntext"/>
        <w:spacing w:after="120"/>
        <w:ind w:firstLine="708"/>
        <w:rPr>
          <w:rFonts w:ascii="Arial" w:hAnsi="Arial" w:cs="Arial"/>
          <w:sz w:val="20"/>
          <w:szCs w:val="20"/>
        </w:rPr>
      </w:pPr>
      <w:r w:rsidRPr="00DF48FF">
        <w:rPr>
          <w:rFonts w:ascii="Arial" w:hAnsi="Arial" w:cs="Arial"/>
          <w:sz w:val="20"/>
          <w:szCs w:val="20"/>
        </w:rPr>
        <w:t>Podrobné členění peněžních příjmů je uvedeno pouze v Tab. 1, pro ostatní tabulky byla zvolena legenda stručnější. Podrobnější členění je uváděno pro hrubé příjmy.</w:t>
      </w:r>
    </w:p>
    <w:p w:rsidR="002A4577" w:rsidRPr="00F83D7E" w:rsidRDefault="00DF48FF">
      <w:pPr>
        <w:pStyle w:val="Zkladntext"/>
        <w:spacing w:after="120"/>
        <w:ind w:firstLine="708"/>
        <w:rPr>
          <w:rFonts w:ascii="Arial" w:hAnsi="Arial" w:cs="Arial"/>
          <w:sz w:val="20"/>
          <w:szCs w:val="20"/>
        </w:rPr>
      </w:pPr>
      <w:r w:rsidRPr="00DF48FF">
        <w:rPr>
          <w:rFonts w:ascii="Arial" w:hAnsi="Arial" w:cs="Arial"/>
          <w:sz w:val="20"/>
          <w:szCs w:val="20"/>
        </w:rPr>
        <w:t>Vysvětlivky k některým položkám:</w:t>
      </w:r>
    </w:p>
    <w:p w:rsidR="002A4577" w:rsidRPr="00F83D7E" w:rsidRDefault="00DF48FF">
      <w:pPr>
        <w:pStyle w:val="Zkladntext"/>
        <w:numPr>
          <w:ilvl w:val="0"/>
          <w:numId w:val="10"/>
        </w:numPr>
        <w:spacing w:after="120"/>
        <w:rPr>
          <w:rFonts w:ascii="Arial" w:hAnsi="Arial" w:cs="Arial"/>
          <w:sz w:val="20"/>
          <w:szCs w:val="20"/>
        </w:rPr>
      </w:pPr>
      <w:r w:rsidRPr="00DF48FF">
        <w:rPr>
          <w:rFonts w:ascii="Arial" w:hAnsi="Arial" w:cs="Arial"/>
          <w:sz w:val="20"/>
          <w:szCs w:val="20"/>
          <w:u w:val="single"/>
        </w:rPr>
        <w:t>Příjmy ze závislé činnosti</w:t>
      </w:r>
      <w:r w:rsidRPr="00DF48FF">
        <w:rPr>
          <w:rFonts w:ascii="Arial" w:hAnsi="Arial" w:cs="Arial"/>
          <w:sz w:val="20"/>
          <w:szCs w:val="20"/>
        </w:rPr>
        <w:t xml:space="preserve"> byly definovány v duchu zákona o dani z příjmů fyzických osob, tj. zahrnují peněžní příjmy z pracovně-právního, služebního nebo obdobného poměru mezi zaměstnancem a zaměstnavatelem, dále příjmy členů, společníků, jednatelů různých společností za práce vykonávané pro danou společnost, odměny členů statutárních orgánů a dalších orgánů právnických osob, funkční požitky, odměny učňů za práci konanou v praktické části výuky, odměny plynoucí z dohod o práci. Součástí příjmů ze závislé činnosti jsou i naturální příjmy od zaměstnavatele v podobě užívání služebního auta i pro soukromé účely.</w:t>
      </w:r>
    </w:p>
    <w:p w:rsidR="002A4577" w:rsidRPr="00F83D7E" w:rsidRDefault="00DF48FF">
      <w:pPr>
        <w:pStyle w:val="Zkladntext"/>
        <w:numPr>
          <w:ilvl w:val="0"/>
          <w:numId w:val="10"/>
        </w:numPr>
        <w:spacing w:after="120"/>
        <w:rPr>
          <w:rFonts w:ascii="Arial" w:hAnsi="Arial" w:cs="Arial"/>
          <w:sz w:val="20"/>
          <w:szCs w:val="20"/>
        </w:rPr>
      </w:pPr>
      <w:r w:rsidRPr="00DF48FF">
        <w:rPr>
          <w:rFonts w:ascii="Arial" w:hAnsi="Arial" w:cs="Arial"/>
          <w:sz w:val="20"/>
          <w:szCs w:val="20"/>
          <w:u w:val="single"/>
        </w:rPr>
        <w:t>Příjmy z podnikání</w:t>
      </w:r>
      <w:r w:rsidRPr="00DF48FF">
        <w:rPr>
          <w:rFonts w:ascii="Arial" w:hAnsi="Arial" w:cs="Arial"/>
          <w:sz w:val="20"/>
          <w:szCs w:val="20"/>
        </w:rPr>
        <w:t xml:space="preserve"> zahrnují příjmy ze zemědělské výroby, lesního a vodního hospodářství, příjmy ze</w:t>
      </w:r>
      <w:r w:rsidR="00AF2337">
        <w:rPr>
          <w:rFonts w:ascii="Arial" w:hAnsi="Arial" w:cs="Arial"/>
          <w:sz w:val="20"/>
          <w:szCs w:val="20"/>
        </w:rPr>
        <w:t> </w:t>
      </w:r>
      <w:r w:rsidRPr="00DF48FF">
        <w:rPr>
          <w:rFonts w:ascii="Arial" w:hAnsi="Arial" w:cs="Arial"/>
          <w:sz w:val="20"/>
          <w:szCs w:val="20"/>
        </w:rPr>
        <w:t>živnosti, z podnikání podle zvláštních předpisů, z výkonu nezávislého povolání, z autorských práv vč. práv příbuzných právu autorskému. Do těchto příjmů jsou zařazeny i příjmy z prodeje přebytků z vlastního hospodářství, které jsou v Tab. 1a) uvedeny samostatně.</w:t>
      </w:r>
    </w:p>
    <w:p w:rsidR="002A4577" w:rsidRPr="00F83D7E" w:rsidRDefault="00DF48FF">
      <w:pPr>
        <w:pStyle w:val="Zkladntext"/>
        <w:spacing w:after="120"/>
        <w:ind w:firstLine="360"/>
        <w:rPr>
          <w:rFonts w:ascii="Arial" w:hAnsi="Arial" w:cs="Arial"/>
          <w:sz w:val="20"/>
          <w:szCs w:val="20"/>
        </w:rPr>
      </w:pPr>
      <w:r w:rsidRPr="00DF48FF">
        <w:rPr>
          <w:rFonts w:ascii="Arial" w:hAnsi="Arial" w:cs="Arial"/>
          <w:sz w:val="20"/>
          <w:szCs w:val="20"/>
        </w:rPr>
        <w:t xml:space="preserve">Do </w:t>
      </w:r>
      <w:r w:rsidRPr="00DF48FF">
        <w:rPr>
          <w:rFonts w:ascii="Arial" w:hAnsi="Arial" w:cs="Arial"/>
          <w:sz w:val="20"/>
          <w:szCs w:val="20"/>
          <w:u w:val="single"/>
        </w:rPr>
        <w:t>příjmů z hlavního zaměstnání</w:t>
      </w:r>
      <w:r w:rsidRPr="00DF48FF">
        <w:rPr>
          <w:rFonts w:ascii="Arial" w:hAnsi="Arial" w:cs="Arial"/>
          <w:sz w:val="20"/>
          <w:szCs w:val="20"/>
        </w:rPr>
        <w:t xml:space="preserve"> byly zařazovány příjmy ze závislé činnosti, kterou dotazovaný vykonával jako svůj jediný nebo hlavní pracovní poměr. Rozhodnutí, co označit jako hlavní pracovní poměr, záleželo na dotazovaném. </w:t>
      </w:r>
    </w:p>
    <w:p w:rsidR="002A4577" w:rsidRPr="00F83D7E" w:rsidRDefault="00DF48FF">
      <w:pPr>
        <w:pStyle w:val="Zkladntext"/>
        <w:spacing w:after="120"/>
        <w:ind w:firstLine="360"/>
        <w:rPr>
          <w:rFonts w:ascii="Arial" w:hAnsi="Arial" w:cs="Arial"/>
          <w:sz w:val="20"/>
          <w:szCs w:val="20"/>
        </w:rPr>
      </w:pPr>
      <w:r w:rsidRPr="00DF48FF">
        <w:rPr>
          <w:rFonts w:ascii="Arial" w:hAnsi="Arial" w:cs="Arial"/>
          <w:sz w:val="20"/>
          <w:szCs w:val="20"/>
          <w:u w:val="single"/>
        </w:rPr>
        <w:t>Ostatní příjmy ze závislé činnosti</w:t>
      </w:r>
      <w:r w:rsidRPr="00DF48FF">
        <w:rPr>
          <w:rFonts w:ascii="Arial" w:hAnsi="Arial" w:cs="Arial"/>
          <w:sz w:val="20"/>
          <w:szCs w:val="20"/>
        </w:rPr>
        <w:t xml:space="preserve"> zahrnují mzdy a platy z dalšího pracovního poměru, vykonávaného souběžně s hlavním pracovním poměrem, resp. souběžně s podnikáním jako hlavní činností, dále příjmy plynoucí z dohod o pracovní činnosti nebo z dohod o provedení práce, popř. příjmy za příležitostné práce bez smlouvy. </w:t>
      </w:r>
    </w:p>
    <w:p w:rsidR="002A4577" w:rsidRPr="00F83D7E" w:rsidRDefault="00DF48FF">
      <w:pPr>
        <w:pStyle w:val="Zkladntext"/>
        <w:spacing w:after="120"/>
        <w:ind w:firstLine="360"/>
        <w:rPr>
          <w:rFonts w:ascii="Arial" w:hAnsi="Arial" w:cs="Arial"/>
          <w:sz w:val="20"/>
          <w:szCs w:val="20"/>
        </w:rPr>
      </w:pPr>
      <w:r w:rsidRPr="00DF48FF">
        <w:rPr>
          <w:rFonts w:ascii="Arial" w:hAnsi="Arial" w:cs="Arial"/>
          <w:sz w:val="20"/>
          <w:szCs w:val="20"/>
        </w:rPr>
        <w:t xml:space="preserve">Analogicky do </w:t>
      </w:r>
      <w:r w:rsidRPr="00DF48FF">
        <w:rPr>
          <w:rFonts w:ascii="Arial" w:hAnsi="Arial" w:cs="Arial"/>
          <w:sz w:val="20"/>
          <w:szCs w:val="20"/>
          <w:u w:val="single"/>
        </w:rPr>
        <w:t>ostatních příjmů z podnikání</w:t>
      </w:r>
      <w:r w:rsidRPr="00DF48FF">
        <w:rPr>
          <w:rFonts w:ascii="Arial" w:hAnsi="Arial" w:cs="Arial"/>
          <w:sz w:val="20"/>
          <w:szCs w:val="20"/>
        </w:rPr>
        <w:t xml:space="preserve"> byly zařazeny příjmy z podnikání vykonávaného jako vedlejší činnost (dotazovaný jako hlavní uvedl pracovní poměr). </w:t>
      </w:r>
    </w:p>
    <w:p w:rsidR="002A4577" w:rsidRPr="00F83D7E" w:rsidRDefault="00DF48FF">
      <w:pPr>
        <w:pStyle w:val="Zkladntext"/>
        <w:numPr>
          <w:ilvl w:val="0"/>
          <w:numId w:val="11"/>
        </w:numPr>
        <w:spacing w:after="120"/>
        <w:rPr>
          <w:rFonts w:ascii="Arial" w:hAnsi="Arial" w:cs="Arial"/>
          <w:sz w:val="20"/>
          <w:szCs w:val="20"/>
          <w:u w:val="single"/>
        </w:rPr>
      </w:pPr>
      <w:r w:rsidRPr="00DF48FF">
        <w:rPr>
          <w:rFonts w:ascii="Arial" w:hAnsi="Arial" w:cs="Arial"/>
          <w:sz w:val="20"/>
          <w:szCs w:val="20"/>
          <w:u w:val="single"/>
        </w:rPr>
        <w:t>Sociální příjmy</w:t>
      </w:r>
      <w:r w:rsidRPr="00DF48FF">
        <w:rPr>
          <w:rFonts w:ascii="Arial" w:hAnsi="Arial" w:cs="Arial"/>
          <w:sz w:val="20"/>
          <w:szCs w:val="20"/>
        </w:rPr>
        <w:t xml:space="preserve"> jsou v podstatě čisté. Hrubou částkou do nich byly započteny důchody převyšující hranici příjmu osvobozeného od daně, u nichž bylo provedeno zdanění částky nad stanovený limit </w:t>
      </w:r>
      <w:r w:rsidRPr="000C6B51">
        <w:rPr>
          <w:rFonts w:ascii="Arial" w:hAnsi="Arial" w:cs="Arial"/>
          <w:sz w:val="20"/>
          <w:szCs w:val="20"/>
        </w:rPr>
        <w:t>(</w:t>
      </w:r>
      <w:r w:rsidR="00CC7B38" w:rsidRPr="000C6B51">
        <w:rPr>
          <w:rFonts w:ascii="Arial" w:hAnsi="Arial" w:cs="Arial"/>
          <w:sz w:val="20"/>
          <w:szCs w:val="20"/>
        </w:rPr>
        <w:t>3</w:t>
      </w:r>
      <w:r w:rsidR="000C6B51" w:rsidRPr="00786FD5">
        <w:rPr>
          <w:rFonts w:ascii="Arial" w:hAnsi="Arial" w:cs="Arial"/>
          <w:sz w:val="20"/>
          <w:szCs w:val="20"/>
        </w:rPr>
        <w:t>9</w:t>
      </w:r>
      <w:r w:rsidR="00CC7B38" w:rsidRPr="000C6B51">
        <w:rPr>
          <w:rFonts w:ascii="Arial" w:hAnsi="Arial" w:cs="Arial"/>
          <w:sz w:val="20"/>
          <w:szCs w:val="20"/>
        </w:rPr>
        <w:t xml:space="preserve">6 </w:t>
      </w:r>
      <w:r w:rsidR="000C6B51" w:rsidRPr="00786FD5">
        <w:rPr>
          <w:rFonts w:ascii="Arial" w:hAnsi="Arial" w:cs="Arial"/>
          <w:sz w:val="20"/>
          <w:szCs w:val="20"/>
        </w:rPr>
        <w:t>0</w:t>
      </w:r>
      <w:r w:rsidR="00CC7B38" w:rsidRPr="000C6B51">
        <w:rPr>
          <w:rFonts w:ascii="Arial" w:hAnsi="Arial" w:cs="Arial"/>
          <w:sz w:val="20"/>
          <w:szCs w:val="20"/>
        </w:rPr>
        <w:t>00</w:t>
      </w:r>
      <w:r w:rsidR="000C6B51">
        <w:rPr>
          <w:rFonts w:ascii="Arial" w:hAnsi="Arial" w:cs="Arial"/>
          <w:sz w:val="20"/>
          <w:szCs w:val="20"/>
        </w:rPr>
        <w:t> </w:t>
      </w:r>
      <w:r w:rsidRPr="00DF48FF">
        <w:rPr>
          <w:rFonts w:ascii="Arial" w:hAnsi="Arial" w:cs="Arial"/>
          <w:sz w:val="20"/>
          <w:szCs w:val="20"/>
        </w:rPr>
        <w:t>Kč).</w:t>
      </w:r>
    </w:p>
    <w:p w:rsidR="002A4577" w:rsidRPr="00F83D7E" w:rsidRDefault="00DF48FF">
      <w:pPr>
        <w:pStyle w:val="Zkladntext"/>
        <w:spacing w:after="120"/>
        <w:ind w:firstLine="360"/>
        <w:rPr>
          <w:rFonts w:ascii="Arial" w:hAnsi="Arial" w:cs="Arial"/>
          <w:sz w:val="20"/>
          <w:szCs w:val="20"/>
        </w:rPr>
      </w:pPr>
      <w:r w:rsidRPr="00DF48FF">
        <w:rPr>
          <w:rFonts w:ascii="Arial" w:hAnsi="Arial" w:cs="Arial"/>
          <w:sz w:val="20"/>
          <w:szCs w:val="20"/>
        </w:rPr>
        <w:t xml:space="preserve">V položce </w:t>
      </w:r>
      <w:r w:rsidRPr="00DF48FF">
        <w:rPr>
          <w:rFonts w:ascii="Arial" w:hAnsi="Arial" w:cs="Arial"/>
          <w:sz w:val="20"/>
          <w:szCs w:val="20"/>
          <w:u w:val="single"/>
        </w:rPr>
        <w:t>nemocenské</w:t>
      </w:r>
      <w:r w:rsidRPr="00DF48FF">
        <w:rPr>
          <w:rFonts w:ascii="Arial" w:hAnsi="Arial" w:cs="Arial"/>
          <w:sz w:val="20"/>
          <w:szCs w:val="20"/>
        </w:rPr>
        <w:t xml:space="preserve"> jsou všechny druhy dávek nemocenského pojištění, tzn. i peněžitá pomoc v</w:t>
      </w:r>
      <w:r w:rsidR="00AF2337">
        <w:rPr>
          <w:rFonts w:ascii="Arial" w:hAnsi="Arial" w:cs="Arial"/>
          <w:sz w:val="20"/>
          <w:szCs w:val="20"/>
        </w:rPr>
        <w:t> </w:t>
      </w:r>
      <w:r w:rsidRPr="00DF48FF">
        <w:rPr>
          <w:rFonts w:ascii="Arial" w:hAnsi="Arial" w:cs="Arial"/>
          <w:sz w:val="20"/>
          <w:szCs w:val="20"/>
        </w:rPr>
        <w:t>mateřství, podpora při ošetřování člena rodiny a také náhrady mzdy při pracovní neschopnosti, které vyplácí zaměstnavatel.</w:t>
      </w:r>
    </w:p>
    <w:p w:rsidR="002A4577" w:rsidRPr="00F83D7E" w:rsidRDefault="00DF48FF">
      <w:pPr>
        <w:pStyle w:val="Zkladntext"/>
        <w:spacing w:after="120"/>
        <w:ind w:firstLine="360"/>
        <w:rPr>
          <w:rFonts w:ascii="Arial" w:hAnsi="Arial" w:cs="Arial"/>
          <w:sz w:val="20"/>
          <w:szCs w:val="20"/>
        </w:rPr>
      </w:pPr>
      <w:r w:rsidRPr="00DF48FF">
        <w:rPr>
          <w:rFonts w:ascii="Arial" w:hAnsi="Arial" w:cs="Arial"/>
          <w:sz w:val="20"/>
          <w:szCs w:val="20"/>
          <w:u w:val="single"/>
        </w:rPr>
        <w:t>Ostatní dávky státní sociální podpory</w:t>
      </w:r>
      <w:r w:rsidRPr="00DF48FF">
        <w:rPr>
          <w:rFonts w:ascii="Arial" w:hAnsi="Arial" w:cs="Arial"/>
          <w:sz w:val="20"/>
          <w:szCs w:val="20"/>
        </w:rPr>
        <w:t xml:space="preserve"> zahrnují dávky pěstounské péče, porodné a pohřebné. </w:t>
      </w:r>
    </w:p>
    <w:p w:rsidR="002A4577" w:rsidRPr="00F83D7E" w:rsidRDefault="00DF48FF">
      <w:pPr>
        <w:pStyle w:val="Zkladntext"/>
        <w:spacing w:after="120"/>
        <w:ind w:firstLine="360"/>
        <w:rPr>
          <w:rFonts w:ascii="Arial" w:hAnsi="Arial" w:cs="Arial"/>
          <w:sz w:val="20"/>
          <w:szCs w:val="20"/>
        </w:rPr>
      </w:pPr>
      <w:r w:rsidRPr="00DF48FF">
        <w:rPr>
          <w:rFonts w:ascii="Arial" w:hAnsi="Arial" w:cs="Arial"/>
          <w:sz w:val="20"/>
          <w:szCs w:val="20"/>
          <w:u w:val="single"/>
        </w:rPr>
        <w:t>Jiné sociální příjmy</w:t>
      </w:r>
      <w:r w:rsidRPr="00DF48FF">
        <w:rPr>
          <w:rFonts w:ascii="Arial" w:hAnsi="Arial" w:cs="Arial"/>
          <w:sz w:val="20"/>
          <w:szCs w:val="20"/>
        </w:rPr>
        <w:t xml:space="preserve"> zahrnují vedle dávek pomoci v hmotné nouzi rovněž odchodné a výsluhové příspěvky vyplácené u některých druhů povolání, příspěvek na péči podle zákona o sociálních službách a </w:t>
      </w:r>
      <w:r w:rsidRPr="00DF48FF">
        <w:rPr>
          <w:rFonts w:ascii="Arial" w:hAnsi="Arial" w:cs="Arial"/>
          <w:sz w:val="20"/>
          <w:szCs w:val="20"/>
        </w:rPr>
        <w:lastRenderedPageBreak/>
        <w:t>další dávky a příspěvky pro rodiny s dětmi, staré a těžce zdravotně postižené občany vyplácené většinou obecními úřady.</w:t>
      </w:r>
    </w:p>
    <w:p w:rsidR="002A4577" w:rsidRPr="00F83D7E" w:rsidRDefault="00DF48FF">
      <w:pPr>
        <w:pStyle w:val="Zkladntext"/>
        <w:spacing w:after="120"/>
        <w:ind w:firstLine="360"/>
        <w:rPr>
          <w:rFonts w:ascii="Arial" w:hAnsi="Arial" w:cs="Arial"/>
          <w:sz w:val="20"/>
          <w:szCs w:val="20"/>
        </w:rPr>
      </w:pPr>
      <w:r w:rsidRPr="00DF48FF">
        <w:rPr>
          <w:rFonts w:ascii="Arial" w:hAnsi="Arial" w:cs="Arial"/>
          <w:sz w:val="20"/>
          <w:szCs w:val="20"/>
          <w:u w:val="single"/>
        </w:rPr>
        <w:t>Dávky pomoci v hmotné nouzi</w:t>
      </w:r>
      <w:r w:rsidRPr="00DF48FF">
        <w:rPr>
          <w:rFonts w:ascii="Arial" w:hAnsi="Arial" w:cs="Arial"/>
          <w:sz w:val="20"/>
          <w:szCs w:val="20"/>
        </w:rPr>
        <w:t xml:space="preserve"> zahrnují pravidelné i jednorázové peněžní částky vyplacené domácnostem ve formě příspěvku na živobytí, doplatku na bydlení či mimořádné okamžité pomoci.</w:t>
      </w:r>
    </w:p>
    <w:p w:rsidR="00DF566F" w:rsidRPr="00F83D7E" w:rsidRDefault="00DF48FF">
      <w:pPr>
        <w:pStyle w:val="Zkladntext"/>
        <w:spacing w:after="120"/>
        <w:ind w:firstLine="360"/>
        <w:rPr>
          <w:rFonts w:ascii="Arial" w:hAnsi="Arial" w:cs="Arial"/>
          <w:sz w:val="20"/>
          <w:szCs w:val="20"/>
        </w:rPr>
      </w:pPr>
      <w:r w:rsidRPr="00DF48FF">
        <w:rPr>
          <w:rFonts w:ascii="Arial" w:hAnsi="Arial" w:cs="Arial"/>
          <w:sz w:val="20"/>
          <w:szCs w:val="20"/>
          <w:u w:val="single"/>
        </w:rPr>
        <w:t>Stipendia</w:t>
      </w:r>
      <w:r w:rsidRPr="00DF48FF">
        <w:rPr>
          <w:rFonts w:ascii="Arial" w:hAnsi="Arial" w:cs="Arial"/>
          <w:sz w:val="20"/>
          <w:szCs w:val="20"/>
        </w:rPr>
        <w:t xml:space="preserve"> zahrnují všechny druhy stipendií vyplácené školou a dále kapesné učňů vyplácené školou či budoucím zaměstnavatelem.</w:t>
      </w:r>
    </w:p>
    <w:p w:rsidR="002A4577" w:rsidRPr="00F83D7E" w:rsidRDefault="00DF48FF">
      <w:pPr>
        <w:pStyle w:val="Zkladntext"/>
        <w:spacing w:after="120"/>
        <w:ind w:firstLine="360"/>
        <w:rPr>
          <w:rFonts w:ascii="Arial" w:hAnsi="Arial" w:cs="Arial"/>
          <w:sz w:val="20"/>
          <w:szCs w:val="20"/>
          <w:u w:val="single"/>
        </w:rPr>
      </w:pPr>
      <w:r w:rsidRPr="00DF48FF">
        <w:rPr>
          <w:rFonts w:ascii="Arial" w:hAnsi="Arial" w:cs="Arial"/>
          <w:sz w:val="20"/>
          <w:szCs w:val="20"/>
        </w:rPr>
        <w:t>Sociální příjmy, které ve výjimečných případech pocházejí ze zahraničí, jsou zařazeny do položky odpovídající typu dávky, přestože nejsou výdajem státu - jednalo se především o důchody a přídavky na děti.</w:t>
      </w:r>
    </w:p>
    <w:p w:rsidR="002A4577" w:rsidRPr="00F83D7E" w:rsidRDefault="00DF48FF">
      <w:pPr>
        <w:pStyle w:val="Zkladntext"/>
        <w:numPr>
          <w:ilvl w:val="0"/>
          <w:numId w:val="11"/>
        </w:numPr>
        <w:spacing w:after="120"/>
        <w:rPr>
          <w:rFonts w:ascii="Arial" w:hAnsi="Arial" w:cs="Arial"/>
          <w:sz w:val="20"/>
          <w:szCs w:val="20"/>
        </w:rPr>
      </w:pPr>
      <w:r w:rsidRPr="00DF48FF">
        <w:rPr>
          <w:rFonts w:ascii="Arial" w:hAnsi="Arial" w:cs="Arial"/>
          <w:sz w:val="20"/>
          <w:szCs w:val="20"/>
          <w:u w:val="single"/>
        </w:rPr>
        <w:t xml:space="preserve">Ostatní příjmy </w:t>
      </w:r>
    </w:p>
    <w:p w:rsidR="002A4577" w:rsidRPr="00F83D7E" w:rsidRDefault="00DF48FF">
      <w:pPr>
        <w:pStyle w:val="Zkladntext"/>
        <w:spacing w:after="120"/>
        <w:ind w:firstLine="360"/>
        <w:rPr>
          <w:rFonts w:ascii="Arial" w:hAnsi="Arial" w:cs="Arial"/>
          <w:sz w:val="20"/>
          <w:szCs w:val="20"/>
        </w:rPr>
      </w:pPr>
      <w:r w:rsidRPr="00DF48FF">
        <w:rPr>
          <w:rFonts w:ascii="Arial" w:hAnsi="Arial" w:cs="Arial"/>
          <w:sz w:val="20"/>
          <w:szCs w:val="20"/>
          <w:u w:val="single"/>
        </w:rPr>
        <w:t>Příjmy z kapitálového majetku</w:t>
      </w:r>
      <w:r w:rsidRPr="00DF48FF">
        <w:rPr>
          <w:rFonts w:ascii="Arial" w:hAnsi="Arial" w:cs="Arial"/>
          <w:sz w:val="20"/>
          <w:szCs w:val="20"/>
        </w:rPr>
        <w:t xml:space="preserve"> zahrnují úroky z vkladů, výnosy z dluhopisů, vkladových a podílových listů, dividendy z akcií, podíly na zisku společností s.r.o., komanditních společností, příjmy z kapitálového majetku ze zahraničí.</w:t>
      </w:r>
    </w:p>
    <w:p w:rsidR="002A4577" w:rsidRPr="00F83D7E" w:rsidRDefault="00DF48FF" w:rsidP="00C87765">
      <w:pPr>
        <w:pStyle w:val="Zkladntext"/>
        <w:spacing w:after="120"/>
        <w:ind w:firstLine="360"/>
        <w:rPr>
          <w:rFonts w:ascii="Arial" w:hAnsi="Arial" w:cs="Arial"/>
          <w:sz w:val="20"/>
          <w:szCs w:val="20"/>
        </w:rPr>
      </w:pPr>
      <w:r w:rsidRPr="00DF48FF">
        <w:rPr>
          <w:rFonts w:ascii="Arial" w:hAnsi="Arial" w:cs="Arial"/>
          <w:sz w:val="20"/>
          <w:szCs w:val="20"/>
        </w:rPr>
        <w:t xml:space="preserve">Další příjmové položky zahrnují příjmy z pronájmu, příjmy z životního pojištění a penzijního připojištění a přijaté peněžní transfery od osob žijících v jiné domácnosti (výživné, příspěvky dětem nebo manželce/manželovi žijícím odděleně). </w:t>
      </w:r>
    </w:p>
    <w:p w:rsidR="002A4577" w:rsidRPr="00F83D7E" w:rsidRDefault="002A4577">
      <w:pPr>
        <w:pStyle w:val="Zkladntext"/>
        <w:ind w:firstLine="357"/>
        <w:rPr>
          <w:rFonts w:ascii="Arial" w:hAnsi="Arial" w:cs="Arial"/>
          <w:sz w:val="20"/>
          <w:szCs w:val="20"/>
        </w:rPr>
      </w:pPr>
    </w:p>
    <w:p w:rsidR="00315362" w:rsidRDefault="00DF48FF">
      <w:pPr>
        <w:pStyle w:val="Zkladntext"/>
        <w:spacing w:after="120"/>
        <w:rPr>
          <w:rFonts w:ascii="Arial" w:hAnsi="Arial" w:cs="Arial"/>
          <w:b/>
          <w:bCs/>
          <w:sz w:val="20"/>
          <w:szCs w:val="20"/>
        </w:rPr>
      </w:pPr>
      <w:r w:rsidRPr="00DF48FF">
        <w:rPr>
          <w:rFonts w:ascii="Arial" w:hAnsi="Arial" w:cs="Arial"/>
          <w:b/>
          <w:bCs/>
          <w:sz w:val="20"/>
          <w:szCs w:val="20"/>
        </w:rPr>
        <w:t>2.2.</w:t>
      </w:r>
      <w:r w:rsidR="00F5613E">
        <w:rPr>
          <w:rFonts w:ascii="Arial" w:hAnsi="Arial" w:cs="Arial"/>
          <w:b/>
          <w:bCs/>
          <w:sz w:val="20"/>
          <w:szCs w:val="20"/>
        </w:rPr>
        <w:t>4</w:t>
      </w:r>
      <w:r w:rsidRPr="00DF48FF">
        <w:rPr>
          <w:rFonts w:ascii="Arial" w:hAnsi="Arial" w:cs="Arial"/>
          <w:b/>
          <w:bCs/>
          <w:sz w:val="20"/>
          <w:szCs w:val="20"/>
        </w:rPr>
        <w:t xml:space="preserve"> Výdaje na bydlení</w:t>
      </w:r>
    </w:p>
    <w:p w:rsidR="002A4577" w:rsidRPr="00F83D7E" w:rsidRDefault="00DF48FF">
      <w:pPr>
        <w:pStyle w:val="Zkladntext"/>
        <w:spacing w:after="120"/>
        <w:ind w:firstLine="708"/>
        <w:rPr>
          <w:rFonts w:ascii="Arial" w:hAnsi="Arial" w:cs="Arial"/>
          <w:sz w:val="20"/>
          <w:szCs w:val="20"/>
        </w:rPr>
      </w:pPr>
      <w:r w:rsidRPr="00DF48FF">
        <w:rPr>
          <w:rFonts w:ascii="Arial" w:hAnsi="Arial" w:cs="Arial"/>
          <w:sz w:val="20"/>
          <w:szCs w:val="20"/>
        </w:rPr>
        <w:t>V případech, kdy ve vybraném bytu bydlely 2 nebo více hospodařících domácností, rozepisovaly se výdaje na bydlení podle jejich podílu na úhradě.</w:t>
      </w:r>
    </w:p>
    <w:p w:rsidR="002A4577" w:rsidRPr="00F83D7E" w:rsidRDefault="00DF48FF">
      <w:pPr>
        <w:spacing w:after="120"/>
        <w:ind w:firstLine="709"/>
        <w:jc w:val="both"/>
        <w:rPr>
          <w:rFonts w:ascii="Arial" w:hAnsi="Arial" w:cs="Arial"/>
          <w:sz w:val="20"/>
          <w:szCs w:val="20"/>
        </w:rPr>
      </w:pPr>
      <w:r w:rsidRPr="00DF48FF">
        <w:rPr>
          <w:rFonts w:ascii="Arial" w:hAnsi="Arial" w:cs="Arial"/>
          <w:sz w:val="20"/>
          <w:szCs w:val="20"/>
        </w:rPr>
        <w:t xml:space="preserve">Pokud domácnost uvedla některé výdaje na bydlení pouze souhrnně, jako součást nájemného (detailní rozpis neznala), byly dílčí částky nákladů na bydlení odhadnuty podle údajů za domácnosti, které podrobné údaje sdělily. Ke konstrukci odhadů byly použity regresní modely zohledňující druh domu (rodinné domky a jiné), typ nájemného (tržní a snížené), počet členů domácnosti a místně (v rámci obce, resp. sčítacího obvodu) obvyklé náklady. </w:t>
      </w:r>
    </w:p>
    <w:p w:rsidR="00DF48FF" w:rsidRPr="00DF48FF" w:rsidRDefault="00DF48FF" w:rsidP="00DF48FF">
      <w:pPr>
        <w:pStyle w:val="Zkladntext"/>
        <w:spacing w:after="120"/>
        <w:rPr>
          <w:rFonts w:ascii="Arial" w:hAnsi="Arial" w:cs="Arial"/>
          <w:sz w:val="20"/>
          <w:szCs w:val="20"/>
        </w:rPr>
      </w:pPr>
    </w:p>
    <w:p w:rsidR="001B2640" w:rsidRDefault="00DF48FF" w:rsidP="001B2640">
      <w:pPr>
        <w:pStyle w:val="Zkladntext"/>
        <w:spacing w:after="240" w:line="360" w:lineRule="auto"/>
        <w:rPr>
          <w:rFonts w:ascii="Arial" w:hAnsi="Arial" w:cs="Arial"/>
          <w:b/>
          <w:bCs/>
        </w:rPr>
      </w:pPr>
      <w:r w:rsidRPr="00DF48FF">
        <w:rPr>
          <w:rFonts w:ascii="Arial" w:hAnsi="Arial" w:cs="Arial"/>
          <w:b/>
          <w:bCs/>
        </w:rPr>
        <w:t>2.3. Popis a vysvětlivky k tabulkám</w:t>
      </w:r>
    </w:p>
    <w:p w:rsidR="002A4577" w:rsidRPr="00F83D7E" w:rsidRDefault="00DF48FF">
      <w:pPr>
        <w:pStyle w:val="Zkladntext"/>
        <w:spacing w:after="120"/>
        <w:rPr>
          <w:rFonts w:ascii="Arial" w:hAnsi="Arial" w:cs="Arial"/>
          <w:sz w:val="20"/>
          <w:szCs w:val="20"/>
        </w:rPr>
      </w:pPr>
      <w:r w:rsidRPr="00DF48FF">
        <w:rPr>
          <w:rFonts w:ascii="Arial" w:hAnsi="Arial" w:cs="Arial"/>
          <w:sz w:val="20"/>
          <w:szCs w:val="20"/>
        </w:rPr>
        <w:tab/>
        <w:t xml:space="preserve">Publikace obsahuje tabulky za hospodařící domácnosti (Tab. 1 až 15), tabulky za osoby 16leté a starší (Tab. 16 až 18) a tabulky za ukazatele míry příjmové chudoby, míry materiální deprivace a míry pracovní intenzity (Tab. 19 až 21). </w:t>
      </w:r>
    </w:p>
    <w:p w:rsidR="002A4577" w:rsidRDefault="00DF48FF">
      <w:pPr>
        <w:pStyle w:val="Zkladntext"/>
        <w:spacing w:after="120"/>
        <w:ind w:firstLine="709"/>
        <w:rPr>
          <w:rFonts w:ascii="Arial" w:hAnsi="Arial" w:cs="Arial"/>
          <w:sz w:val="20"/>
          <w:szCs w:val="20"/>
        </w:rPr>
      </w:pPr>
      <w:r w:rsidRPr="00DF48FF">
        <w:rPr>
          <w:rFonts w:ascii="Arial" w:hAnsi="Arial" w:cs="Arial"/>
          <w:sz w:val="20"/>
          <w:szCs w:val="20"/>
        </w:rPr>
        <w:t>Údaje v jednotlivých políčkách tabulek byly vypočteny z prvotních dat a zaokrouhleny. Z toho vyplývá, že počet domácností nebo osob celkem nemusí být vždy roven součtu četností v daném třídění, obdobně u údajů za struktury z důvodu zaokrouhlování není vždy součet roven 100.</w:t>
      </w:r>
    </w:p>
    <w:p w:rsidR="00E477A0" w:rsidRPr="00F83D7E" w:rsidRDefault="00E477A0">
      <w:pPr>
        <w:pStyle w:val="Zkladntext"/>
        <w:spacing w:after="120"/>
        <w:ind w:firstLine="709"/>
        <w:rPr>
          <w:rFonts w:ascii="Arial" w:hAnsi="Arial" w:cs="Arial"/>
          <w:sz w:val="20"/>
          <w:szCs w:val="20"/>
        </w:rPr>
      </w:pPr>
      <w:r>
        <w:rPr>
          <w:rFonts w:ascii="Arial" w:hAnsi="Arial" w:cs="Arial"/>
          <w:sz w:val="20"/>
          <w:szCs w:val="20"/>
        </w:rPr>
        <w:t xml:space="preserve">Použití značek v tabulkách má svá ustálená pravidla. Nula (0) je používána pro označení číselných údajů menších než polovina zvolené měřící jednotky, </w:t>
      </w:r>
      <w:r w:rsidR="00AA092D">
        <w:rPr>
          <w:rFonts w:ascii="Arial" w:hAnsi="Arial" w:cs="Arial"/>
          <w:sz w:val="20"/>
          <w:szCs w:val="20"/>
        </w:rPr>
        <w:t>pomlčka</w:t>
      </w:r>
      <w:r>
        <w:rPr>
          <w:rFonts w:ascii="Arial" w:hAnsi="Arial" w:cs="Arial"/>
          <w:sz w:val="20"/>
          <w:szCs w:val="20"/>
        </w:rPr>
        <w:t xml:space="preserve"> (-) je použita v případě, že se jev nevyskytoval. </w:t>
      </w:r>
      <w:proofErr w:type="gramStart"/>
      <w:r>
        <w:rPr>
          <w:rFonts w:ascii="Arial" w:hAnsi="Arial" w:cs="Arial"/>
          <w:sz w:val="20"/>
          <w:szCs w:val="20"/>
        </w:rPr>
        <w:t>Tečka (.) znamená</w:t>
      </w:r>
      <w:proofErr w:type="gramEnd"/>
      <w:r>
        <w:rPr>
          <w:rFonts w:ascii="Arial" w:hAnsi="Arial" w:cs="Arial"/>
          <w:sz w:val="20"/>
          <w:szCs w:val="20"/>
        </w:rPr>
        <w:t xml:space="preserve">, že údaj není k dispozici a křížek (x) značí, že zápis není možný z logických důvodů. </w:t>
      </w:r>
    </w:p>
    <w:p w:rsidR="002A4577" w:rsidRPr="00F83D7E" w:rsidRDefault="00DF48FF">
      <w:pPr>
        <w:pStyle w:val="Zkladntext"/>
        <w:spacing w:after="120"/>
        <w:ind w:firstLine="709"/>
        <w:rPr>
          <w:rFonts w:ascii="Arial" w:hAnsi="Arial" w:cs="Arial"/>
          <w:sz w:val="20"/>
          <w:szCs w:val="20"/>
        </w:rPr>
      </w:pPr>
      <w:r w:rsidRPr="00DF48FF">
        <w:rPr>
          <w:rFonts w:ascii="Arial" w:hAnsi="Arial" w:cs="Arial"/>
          <w:sz w:val="20"/>
          <w:szCs w:val="20"/>
        </w:rPr>
        <w:t>Pokud se v hlavičce, příp. legendě, používá výraz "děti", míní se tím vždy vyživované děti podle definice v kap. 2.2.1. Výjimkou jsou tabulky 9, 19, 20 a 21, kde pro děti platí evropská definice závislého dítěte uvedená v kap. 2.2.2. Při třídění domácností podle výše peněžních příjmů byl vždy použit čistý příjem.</w:t>
      </w:r>
    </w:p>
    <w:p w:rsidR="002A4577" w:rsidRPr="00F83D7E" w:rsidRDefault="00DF48FF">
      <w:pPr>
        <w:pStyle w:val="Zkladntext"/>
        <w:spacing w:after="120"/>
        <w:ind w:firstLine="708"/>
        <w:rPr>
          <w:rFonts w:ascii="Arial" w:hAnsi="Arial" w:cs="Arial"/>
          <w:sz w:val="20"/>
          <w:szCs w:val="20"/>
        </w:rPr>
      </w:pPr>
      <w:r w:rsidRPr="00DF48FF">
        <w:rPr>
          <w:rFonts w:ascii="Arial" w:hAnsi="Arial" w:cs="Arial"/>
          <w:sz w:val="20"/>
          <w:szCs w:val="20"/>
        </w:rPr>
        <w:t xml:space="preserve">Publikační tabulky za hospodařící domácnosti navazují na publikace z předchozích šetření </w:t>
      </w:r>
      <w:r w:rsidRPr="00DF48FF">
        <w:rPr>
          <w:rFonts w:ascii="Arial" w:hAnsi="Arial" w:cs="Arial"/>
          <w:i/>
          <w:iCs/>
          <w:sz w:val="20"/>
          <w:szCs w:val="20"/>
        </w:rPr>
        <w:t>Životní podmínky</w:t>
      </w:r>
      <w:r w:rsidRPr="00DF48FF">
        <w:rPr>
          <w:rFonts w:ascii="Arial" w:hAnsi="Arial" w:cs="Arial"/>
          <w:sz w:val="20"/>
          <w:szCs w:val="20"/>
        </w:rPr>
        <w:t>, aby bylo možné hodnotit údaje v delším časovém období. Ze záhlaví jednotlivých tabulek je zřejmé, za jaké soubory (resp. podsoubory) domácností jsou údaje zpracovány. Tabulky mají vesměs 5 částí (označených názvem a písmeny a) až e)), které mají samostatné legendy:</w:t>
      </w:r>
    </w:p>
    <w:p w:rsidR="002A4577" w:rsidRPr="00F83D7E" w:rsidRDefault="00DF48FF">
      <w:pPr>
        <w:pStyle w:val="Zkladntext"/>
        <w:numPr>
          <w:ilvl w:val="0"/>
          <w:numId w:val="14"/>
        </w:numPr>
        <w:spacing w:after="120"/>
        <w:rPr>
          <w:rFonts w:ascii="Arial" w:hAnsi="Arial" w:cs="Arial"/>
          <w:sz w:val="20"/>
          <w:szCs w:val="20"/>
        </w:rPr>
      </w:pPr>
      <w:r w:rsidRPr="00DF48FF">
        <w:rPr>
          <w:rFonts w:ascii="Arial" w:hAnsi="Arial" w:cs="Arial"/>
          <w:sz w:val="20"/>
          <w:szCs w:val="20"/>
        </w:rPr>
        <w:t xml:space="preserve">Základní údaje o složení domácností a jejich příjmech. Údaje o peněžních příjmech jsou publikovány převážně jako průměry na osobu, ve vybraných tabulkách byly příjmy přepočteny na </w:t>
      </w:r>
      <w:proofErr w:type="spellStart"/>
      <w:r w:rsidRPr="00DF48FF">
        <w:rPr>
          <w:rFonts w:ascii="Arial" w:hAnsi="Arial" w:cs="Arial"/>
          <w:sz w:val="20"/>
          <w:szCs w:val="20"/>
        </w:rPr>
        <w:t>modif</w:t>
      </w:r>
      <w:proofErr w:type="spellEnd"/>
      <w:r w:rsidRPr="00DF48FF">
        <w:rPr>
          <w:rFonts w:ascii="Arial" w:hAnsi="Arial" w:cs="Arial"/>
          <w:sz w:val="20"/>
          <w:szCs w:val="20"/>
        </w:rPr>
        <w:t xml:space="preserve">. SJ OECD. Průměrný počet spotřebních jednotek na domácnost uvedený ve všech tabulkách umožní uživatelům po jednoduchém přepočtu získat průměry na spotřební jednotku také u ostatních publikovaných třídění. V Tab. 1 jsou údaje o peněžních příjmech v podrobnějším členění, v ostatních tabulkách je legenda omezena jen na hlavní zdroje příjmů. Položka „daňový bonus“ zahrnuje částky z daňového zvýhodnění „nízkopříjmových“ domácností s dětmi, takže čisté příjmy </w:t>
      </w:r>
      <w:r w:rsidRPr="00DF48FF">
        <w:rPr>
          <w:rFonts w:ascii="Arial" w:hAnsi="Arial" w:cs="Arial"/>
          <w:sz w:val="20"/>
          <w:szCs w:val="20"/>
        </w:rPr>
        <w:lastRenderedPageBreak/>
        <w:t xml:space="preserve">některých domácností jsou v důsledku obdrženého bonusu většinou vyšší než příjmy hrubé. Mezi hrubými a čistými příjmy v případě výskytu bonusu platí vztah: hrubé příjmy - pojištění - daň z příjmu + daňový bonus se rovná čistý příjem. </w:t>
      </w:r>
    </w:p>
    <w:p w:rsidR="002A4577" w:rsidRPr="00F83D7E" w:rsidRDefault="00DF48FF">
      <w:pPr>
        <w:pStyle w:val="Zkladntext"/>
        <w:numPr>
          <w:ilvl w:val="0"/>
          <w:numId w:val="14"/>
        </w:numPr>
        <w:spacing w:after="120"/>
        <w:rPr>
          <w:rFonts w:ascii="Arial" w:hAnsi="Arial" w:cs="Arial"/>
          <w:sz w:val="20"/>
          <w:szCs w:val="20"/>
        </w:rPr>
      </w:pPr>
      <w:r w:rsidRPr="00DF48FF">
        <w:rPr>
          <w:rFonts w:ascii="Arial" w:hAnsi="Arial" w:cs="Arial"/>
          <w:sz w:val="20"/>
          <w:szCs w:val="20"/>
        </w:rPr>
        <w:t xml:space="preserve">Informace o příjmovém rozdělení domácností a osob podle pevně stanovených příjmových skupin. Intervaly příjmových skupin jsou upravené tak, aby odrážely příjmové rozdělení čistého měsíčního příjmu na osobu, resp. disponibilního měsíčního příjmu na spotřební jednotku </w:t>
      </w:r>
      <w:proofErr w:type="spellStart"/>
      <w:r w:rsidRPr="00DF48FF">
        <w:rPr>
          <w:rFonts w:ascii="Arial" w:hAnsi="Arial" w:cs="Arial"/>
          <w:sz w:val="20"/>
          <w:szCs w:val="20"/>
        </w:rPr>
        <w:t>modif</w:t>
      </w:r>
      <w:proofErr w:type="spellEnd"/>
      <w:r w:rsidRPr="00DF48FF">
        <w:rPr>
          <w:rFonts w:ascii="Arial" w:hAnsi="Arial" w:cs="Arial"/>
          <w:sz w:val="20"/>
          <w:szCs w:val="20"/>
        </w:rPr>
        <w:t xml:space="preserve">. OECD. Příjmy domácností jsou dále vztaženy k násobkům mediánu průměrného příjmu na osobu zjištěného z příjmového rozdělení za úhrn domácností. Část b) tabulky není zařazena tam, kde peněžní příjmy na osobu byly použity jako třídící hledisko. </w:t>
      </w:r>
    </w:p>
    <w:p w:rsidR="002A4577" w:rsidRPr="00F83D7E" w:rsidRDefault="00DF48FF">
      <w:pPr>
        <w:pStyle w:val="Zkladntext"/>
        <w:numPr>
          <w:ilvl w:val="0"/>
          <w:numId w:val="14"/>
        </w:numPr>
        <w:spacing w:after="120"/>
        <w:rPr>
          <w:rFonts w:ascii="Arial" w:hAnsi="Arial" w:cs="Arial"/>
          <w:sz w:val="20"/>
          <w:szCs w:val="20"/>
        </w:rPr>
      </w:pPr>
      <w:r w:rsidRPr="00DF48FF">
        <w:rPr>
          <w:rFonts w:ascii="Arial" w:hAnsi="Arial" w:cs="Arial"/>
          <w:sz w:val="20"/>
          <w:szCs w:val="20"/>
        </w:rPr>
        <w:t>Charakteristiky domácností, které udávají jejich strukturu podle nejrůznějších třídících znaků a tak doplňují, resp. vysvětlují údaje o příjmech.</w:t>
      </w:r>
    </w:p>
    <w:p w:rsidR="002A4577" w:rsidRPr="00F83D7E" w:rsidRDefault="00DF48FF">
      <w:pPr>
        <w:pStyle w:val="Zkladntext"/>
        <w:numPr>
          <w:ilvl w:val="0"/>
          <w:numId w:val="14"/>
        </w:numPr>
        <w:spacing w:after="120"/>
        <w:rPr>
          <w:rFonts w:ascii="Arial" w:hAnsi="Arial" w:cs="Arial"/>
          <w:sz w:val="20"/>
          <w:szCs w:val="20"/>
        </w:rPr>
      </w:pPr>
      <w:r w:rsidRPr="00DF48FF">
        <w:rPr>
          <w:rFonts w:ascii="Arial" w:hAnsi="Arial" w:cs="Arial"/>
          <w:sz w:val="20"/>
          <w:szCs w:val="20"/>
        </w:rPr>
        <w:t>Charakteristiky bydlení u daných skupin domácností, jejich vybavenost vybranými předměty</w:t>
      </w:r>
      <w:r w:rsidR="00E926D0">
        <w:rPr>
          <w:rFonts w:ascii="Arial" w:hAnsi="Arial" w:cs="Arial"/>
          <w:sz w:val="20"/>
          <w:szCs w:val="20"/>
        </w:rPr>
        <w:t xml:space="preserve"> </w:t>
      </w:r>
      <w:r w:rsidRPr="00DF48FF">
        <w:rPr>
          <w:rFonts w:ascii="Arial" w:hAnsi="Arial" w:cs="Arial"/>
          <w:sz w:val="20"/>
          <w:szCs w:val="20"/>
        </w:rPr>
        <w:t>a náklady na bydlení, které jsou vyjádřeny jako měsíční průměry za domácnost. Údaje o typu nájemného se vztahují pouze k nájemním bytům a podnájmům. Jiné formy úhrady, jako např. úhrada za užívání bytu u družstevních bytů, jsou zahrnuty v položce “neplatí nájem“.</w:t>
      </w:r>
      <w:r w:rsidR="00E926D0">
        <w:rPr>
          <w:rFonts w:ascii="Arial" w:hAnsi="Arial" w:cs="Arial"/>
          <w:sz w:val="20"/>
          <w:szCs w:val="20"/>
        </w:rPr>
        <w:t xml:space="preserve"> V roce 2017 bylo</w:t>
      </w:r>
      <w:r w:rsidR="0085012C">
        <w:rPr>
          <w:rFonts w:ascii="Arial" w:hAnsi="Arial" w:cs="Arial"/>
          <w:sz w:val="20"/>
          <w:szCs w:val="20"/>
        </w:rPr>
        <w:t xml:space="preserve"> v tabulce</w:t>
      </w:r>
      <w:r w:rsidR="00E926D0">
        <w:rPr>
          <w:rFonts w:ascii="Arial" w:hAnsi="Arial" w:cs="Arial"/>
          <w:sz w:val="20"/>
          <w:szCs w:val="20"/>
        </w:rPr>
        <w:t xml:space="preserve"> doplněno hledisko převažujícího způsobu vytápění</w:t>
      </w:r>
      <w:r w:rsidR="004902EB">
        <w:rPr>
          <w:rFonts w:ascii="Arial" w:hAnsi="Arial" w:cs="Arial"/>
          <w:sz w:val="20"/>
          <w:szCs w:val="20"/>
        </w:rPr>
        <w:t xml:space="preserve">. U vybavení byla nově zařazena sušička prádla, myčka nádobí a naopak vypuštěn byl barevný televizor. </w:t>
      </w:r>
    </w:p>
    <w:p w:rsidR="002A4577" w:rsidRPr="00F83D7E" w:rsidRDefault="00DF48FF">
      <w:pPr>
        <w:pStyle w:val="Zkladntext"/>
        <w:numPr>
          <w:ilvl w:val="0"/>
          <w:numId w:val="14"/>
        </w:numPr>
        <w:spacing w:after="120"/>
        <w:rPr>
          <w:rFonts w:ascii="Arial" w:hAnsi="Arial" w:cs="Arial"/>
          <w:sz w:val="20"/>
          <w:szCs w:val="20"/>
        </w:rPr>
      </w:pPr>
      <w:r w:rsidRPr="00DF48FF">
        <w:rPr>
          <w:rFonts w:ascii="Arial" w:hAnsi="Arial" w:cs="Arial"/>
          <w:sz w:val="20"/>
          <w:szCs w:val="20"/>
        </w:rPr>
        <w:t>Subjektivní vyjádření domácností k úrovni jejich bydlení, problémy finančního charakteru, např. ve</w:t>
      </w:r>
      <w:r w:rsidR="00AF2337">
        <w:rPr>
          <w:rFonts w:ascii="Arial" w:hAnsi="Arial" w:cs="Arial"/>
          <w:sz w:val="20"/>
          <w:szCs w:val="20"/>
        </w:rPr>
        <w:t> </w:t>
      </w:r>
      <w:r w:rsidRPr="00DF48FF">
        <w:rPr>
          <w:rFonts w:ascii="Arial" w:hAnsi="Arial" w:cs="Arial"/>
          <w:sz w:val="20"/>
          <w:szCs w:val="20"/>
        </w:rPr>
        <w:t>spojení s úhradou nákladů na bydlení, splácení půjček, hospodaření s příjmem domácnosti.</w:t>
      </w:r>
    </w:p>
    <w:p w:rsidR="002A4577" w:rsidRPr="00F83D7E" w:rsidRDefault="002A4577">
      <w:pPr>
        <w:pStyle w:val="Zkladntext"/>
        <w:rPr>
          <w:rFonts w:ascii="Arial" w:hAnsi="Arial" w:cs="Arial"/>
          <w:sz w:val="20"/>
          <w:szCs w:val="20"/>
        </w:rPr>
      </w:pPr>
    </w:p>
    <w:p w:rsidR="002A4577" w:rsidRPr="00F83D7E" w:rsidRDefault="00DF48FF">
      <w:pPr>
        <w:pStyle w:val="Zkladntext"/>
        <w:spacing w:after="120"/>
        <w:rPr>
          <w:rFonts w:ascii="Arial" w:hAnsi="Arial" w:cs="Arial"/>
          <w:b/>
          <w:bCs/>
          <w:sz w:val="20"/>
          <w:szCs w:val="20"/>
        </w:rPr>
      </w:pPr>
      <w:r w:rsidRPr="00DF48FF">
        <w:rPr>
          <w:rFonts w:ascii="Arial" w:hAnsi="Arial" w:cs="Arial"/>
          <w:b/>
          <w:bCs/>
          <w:sz w:val="20"/>
          <w:szCs w:val="20"/>
        </w:rPr>
        <w:t>2.3.1 Poznámky k některým tabulkám za hospodařící domácnosti</w:t>
      </w:r>
    </w:p>
    <w:p w:rsidR="002A4577" w:rsidRPr="00F83D7E" w:rsidRDefault="00DF48FF">
      <w:pPr>
        <w:pStyle w:val="Zkladntext"/>
        <w:spacing w:after="120"/>
        <w:rPr>
          <w:rFonts w:ascii="Arial" w:hAnsi="Arial" w:cs="Arial"/>
          <w:sz w:val="20"/>
          <w:szCs w:val="20"/>
        </w:rPr>
      </w:pPr>
      <w:r w:rsidRPr="00DF48FF">
        <w:rPr>
          <w:rFonts w:ascii="Arial" w:hAnsi="Arial" w:cs="Arial"/>
          <w:sz w:val="20"/>
          <w:szCs w:val="20"/>
          <w:u w:val="single"/>
        </w:rPr>
        <w:t>Tab. 1</w:t>
      </w:r>
      <w:r w:rsidRPr="00DF48FF">
        <w:rPr>
          <w:rFonts w:ascii="Arial" w:hAnsi="Arial" w:cs="Arial"/>
          <w:sz w:val="20"/>
          <w:szCs w:val="20"/>
        </w:rPr>
        <w:t xml:space="preserve"> poskytuje údaje za jednotlivé skupiny domácností, které jsou srovnatelné v dlouh</w:t>
      </w:r>
      <w:r w:rsidR="00F937BC">
        <w:rPr>
          <w:rFonts w:ascii="Arial" w:hAnsi="Arial" w:cs="Arial"/>
          <w:sz w:val="20"/>
          <w:szCs w:val="20"/>
        </w:rPr>
        <w:t>odob</w:t>
      </w:r>
      <w:r w:rsidRPr="00DF48FF">
        <w:rPr>
          <w:rFonts w:ascii="Arial" w:hAnsi="Arial" w:cs="Arial"/>
          <w:sz w:val="20"/>
          <w:szCs w:val="20"/>
        </w:rPr>
        <w:t>é časové řadě. Nabízí pohled na změny ve skladbě domácností ČR, změny jejich demografických charakteristik a vývoj příjmů.</w:t>
      </w:r>
    </w:p>
    <w:p w:rsidR="002A4577" w:rsidRPr="00F83D7E" w:rsidRDefault="00DF48FF">
      <w:pPr>
        <w:pStyle w:val="Zkladntext"/>
        <w:spacing w:after="120"/>
        <w:rPr>
          <w:rFonts w:ascii="Arial" w:hAnsi="Arial" w:cs="Arial"/>
          <w:sz w:val="20"/>
          <w:szCs w:val="20"/>
        </w:rPr>
      </w:pPr>
      <w:r w:rsidRPr="00DF48FF">
        <w:rPr>
          <w:rFonts w:ascii="Arial" w:hAnsi="Arial" w:cs="Arial"/>
          <w:sz w:val="20"/>
          <w:szCs w:val="20"/>
          <w:u w:val="single"/>
        </w:rPr>
        <w:t>Tab. 2, 3 a 4</w:t>
      </w:r>
      <w:r w:rsidRPr="00DF48FF">
        <w:rPr>
          <w:rFonts w:ascii="Arial" w:hAnsi="Arial" w:cs="Arial"/>
          <w:sz w:val="20"/>
          <w:szCs w:val="20"/>
        </w:rPr>
        <w:t xml:space="preserve"> - decilové rozdělení úhrnu domácností podle čistého peněžního příjmu na osobu a na </w:t>
      </w:r>
      <w:proofErr w:type="spellStart"/>
      <w:r w:rsidRPr="00DF48FF">
        <w:rPr>
          <w:rFonts w:ascii="Arial" w:hAnsi="Arial" w:cs="Arial"/>
          <w:sz w:val="20"/>
          <w:szCs w:val="20"/>
        </w:rPr>
        <w:t>modif</w:t>
      </w:r>
      <w:proofErr w:type="spellEnd"/>
      <w:r w:rsidRPr="00DF48FF">
        <w:rPr>
          <w:rFonts w:ascii="Arial" w:hAnsi="Arial" w:cs="Arial"/>
          <w:sz w:val="20"/>
          <w:szCs w:val="20"/>
        </w:rPr>
        <w:t xml:space="preserve">. SJ OECD a </w:t>
      </w:r>
      <w:proofErr w:type="spellStart"/>
      <w:r w:rsidRPr="00DF48FF">
        <w:rPr>
          <w:rFonts w:ascii="Arial" w:hAnsi="Arial" w:cs="Arial"/>
          <w:sz w:val="20"/>
          <w:szCs w:val="20"/>
        </w:rPr>
        <w:t>kvintilové</w:t>
      </w:r>
      <w:proofErr w:type="spellEnd"/>
      <w:r w:rsidRPr="00DF48FF">
        <w:rPr>
          <w:rFonts w:ascii="Arial" w:hAnsi="Arial" w:cs="Arial"/>
          <w:sz w:val="20"/>
          <w:szCs w:val="20"/>
        </w:rPr>
        <w:t xml:space="preserve"> rozdělení domácností zaměstnanců a důchodců bez ekonomicky aktivních členů podle čistého peněžního příjmu na osobu. Příslušné domácnosti byly setříděny podle výše čistého peněžního příjmu na osobu, resp. na </w:t>
      </w:r>
      <w:proofErr w:type="spellStart"/>
      <w:r w:rsidRPr="00DF48FF">
        <w:rPr>
          <w:rFonts w:ascii="Arial" w:hAnsi="Arial" w:cs="Arial"/>
          <w:sz w:val="20"/>
          <w:szCs w:val="20"/>
        </w:rPr>
        <w:t>modif</w:t>
      </w:r>
      <w:proofErr w:type="spellEnd"/>
      <w:r w:rsidRPr="00DF48FF">
        <w:rPr>
          <w:rFonts w:ascii="Arial" w:hAnsi="Arial" w:cs="Arial"/>
          <w:sz w:val="20"/>
          <w:szCs w:val="20"/>
        </w:rPr>
        <w:t>. SJ OECD a následně rozděleny v případě decilů do 10 a u </w:t>
      </w:r>
      <w:proofErr w:type="spellStart"/>
      <w:r w:rsidRPr="00DF48FF">
        <w:rPr>
          <w:rFonts w:ascii="Arial" w:hAnsi="Arial" w:cs="Arial"/>
          <w:sz w:val="20"/>
          <w:szCs w:val="20"/>
        </w:rPr>
        <w:t>kvintilů</w:t>
      </w:r>
      <w:proofErr w:type="spellEnd"/>
      <w:r w:rsidRPr="00DF48FF">
        <w:rPr>
          <w:rFonts w:ascii="Arial" w:hAnsi="Arial" w:cs="Arial"/>
          <w:sz w:val="20"/>
          <w:szCs w:val="20"/>
        </w:rPr>
        <w:t xml:space="preserve"> do 5 stejně velkých skupin. Za tyto skupiny pak byly provedeny samostatné výpočty. V tabulkách uvedené hodnoty horní hranice čistých peněžních příjmů představují příjem poslední domácnosti v příslušné decilové, resp. </w:t>
      </w:r>
      <w:proofErr w:type="spellStart"/>
      <w:r w:rsidRPr="00DF48FF">
        <w:rPr>
          <w:rFonts w:ascii="Arial" w:hAnsi="Arial" w:cs="Arial"/>
          <w:sz w:val="20"/>
          <w:szCs w:val="20"/>
        </w:rPr>
        <w:t>kvintilové</w:t>
      </w:r>
      <w:proofErr w:type="spellEnd"/>
      <w:r w:rsidRPr="00DF48FF">
        <w:rPr>
          <w:rFonts w:ascii="Arial" w:hAnsi="Arial" w:cs="Arial"/>
          <w:sz w:val="20"/>
          <w:szCs w:val="20"/>
        </w:rPr>
        <w:t xml:space="preserve"> skupině. Při přepočtu údajů z výběru na celou populaci nelze zajistit, aby byl v jednotlivých skupinách dodržen přesně stejný počet jednotek, takže se absolutní údaje o počtu domácností v jednotlivých intervalech nepatrně liší.</w:t>
      </w:r>
    </w:p>
    <w:p w:rsidR="002A4577" w:rsidRPr="00F83D7E" w:rsidRDefault="00DF48FF">
      <w:pPr>
        <w:pStyle w:val="Zkladntext"/>
        <w:spacing w:after="120"/>
        <w:rPr>
          <w:rFonts w:ascii="Arial" w:hAnsi="Arial" w:cs="Arial"/>
          <w:sz w:val="20"/>
          <w:szCs w:val="20"/>
        </w:rPr>
      </w:pPr>
      <w:r w:rsidRPr="00DF48FF">
        <w:rPr>
          <w:rFonts w:ascii="Arial" w:hAnsi="Arial" w:cs="Arial"/>
          <w:sz w:val="20"/>
          <w:szCs w:val="20"/>
          <w:u w:val="single"/>
        </w:rPr>
        <w:t>Tab. 5</w:t>
      </w:r>
      <w:r w:rsidRPr="00DF48FF">
        <w:rPr>
          <w:rFonts w:ascii="Arial" w:hAnsi="Arial" w:cs="Arial"/>
          <w:sz w:val="20"/>
          <w:szCs w:val="20"/>
        </w:rPr>
        <w:t xml:space="preserve"> je výsledkem porovnání měsíčních čistých peněžních příjmů jednotlivých domácností po odečtení nákladů na bydlení, s jejich životním minimem vypočteným na základě částek pro osoby platných v roce 201</w:t>
      </w:r>
      <w:r w:rsidR="0014539B">
        <w:rPr>
          <w:rFonts w:ascii="Arial" w:hAnsi="Arial" w:cs="Arial"/>
          <w:sz w:val="20"/>
          <w:szCs w:val="20"/>
        </w:rPr>
        <w:t>7</w:t>
      </w:r>
      <w:r w:rsidRPr="00DF48FF">
        <w:rPr>
          <w:rFonts w:ascii="Arial" w:hAnsi="Arial" w:cs="Arial"/>
          <w:sz w:val="20"/>
          <w:szCs w:val="20"/>
        </w:rPr>
        <w:t>. Násobky ŽM byly stanoveny tak, aby odpovídaly násobkům pro přiznání dávek státní sociální podpory.</w:t>
      </w:r>
    </w:p>
    <w:p w:rsidR="002A4577" w:rsidRPr="00F83D7E" w:rsidRDefault="00DF48FF">
      <w:pPr>
        <w:pStyle w:val="Zkladntext"/>
        <w:spacing w:after="120"/>
        <w:rPr>
          <w:rFonts w:ascii="Arial" w:hAnsi="Arial" w:cs="Arial"/>
          <w:sz w:val="20"/>
          <w:szCs w:val="20"/>
        </w:rPr>
      </w:pPr>
      <w:r w:rsidRPr="00DF48FF">
        <w:rPr>
          <w:rFonts w:ascii="Arial" w:hAnsi="Arial" w:cs="Arial"/>
          <w:sz w:val="20"/>
          <w:szCs w:val="20"/>
          <w:u w:val="single"/>
        </w:rPr>
        <w:t>Tab. 6 a 7</w:t>
      </w:r>
      <w:r w:rsidRPr="00DF48FF">
        <w:rPr>
          <w:rFonts w:ascii="Arial" w:hAnsi="Arial" w:cs="Arial"/>
          <w:sz w:val="20"/>
          <w:szCs w:val="20"/>
        </w:rPr>
        <w:t xml:space="preserve"> zahrnují údaje o domácnostech tříděných podle počtu vyživovaných dětí a počtu pracujících členů domácnosti.</w:t>
      </w:r>
    </w:p>
    <w:p w:rsidR="002A4577" w:rsidRPr="00F83D7E" w:rsidRDefault="00DF48FF">
      <w:pPr>
        <w:pStyle w:val="Zkladntext"/>
        <w:spacing w:after="120"/>
        <w:rPr>
          <w:rFonts w:ascii="Arial" w:hAnsi="Arial" w:cs="Arial"/>
          <w:sz w:val="20"/>
          <w:szCs w:val="20"/>
        </w:rPr>
      </w:pPr>
      <w:r w:rsidRPr="00DF48FF">
        <w:rPr>
          <w:rFonts w:ascii="Arial" w:hAnsi="Arial" w:cs="Arial"/>
          <w:sz w:val="20"/>
          <w:szCs w:val="20"/>
          <w:u w:val="single"/>
        </w:rPr>
        <w:t>Tab. 8</w:t>
      </w:r>
      <w:r w:rsidRPr="00DF48FF">
        <w:rPr>
          <w:rFonts w:ascii="Arial" w:hAnsi="Arial" w:cs="Arial"/>
          <w:sz w:val="20"/>
          <w:szCs w:val="20"/>
        </w:rPr>
        <w:t xml:space="preserve"> poskytuje přehled o bezdětných domácnostech v členění na domácnosti s pracujícími a bez</w:t>
      </w:r>
      <w:r w:rsidR="00AF2337">
        <w:rPr>
          <w:rFonts w:ascii="Arial" w:hAnsi="Arial" w:cs="Arial"/>
          <w:sz w:val="20"/>
          <w:szCs w:val="20"/>
        </w:rPr>
        <w:t> </w:t>
      </w:r>
      <w:r w:rsidRPr="00DF48FF">
        <w:rPr>
          <w:rFonts w:ascii="Arial" w:hAnsi="Arial" w:cs="Arial"/>
          <w:sz w:val="20"/>
          <w:szCs w:val="20"/>
        </w:rPr>
        <w:t>pracujících členů a počtu osob v domácnosti.</w:t>
      </w:r>
    </w:p>
    <w:p w:rsidR="002A4577" w:rsidRPr="00F83D7E" w:rsidRDefault="00DF48FF">
      <w:pPr>
        <w:pStyle w:val="Zkladntext"/>
        <w:spacing w:after="120"/>
        <w:rPr>
          <w:rFonts w:ascii="Arial" w:hAnsi="Arial" w:cs="Arial"/>
          <w:sz w:val="20"/>
          <w:szCs w:val="20"/>
        </w:rPr>
      </w:pPr>
      <w:r w:rsidRPr="00DF48FF">
        <w:rPr>
          <w:rFonts w:ascii="Arial" w:hAnsi="Arial" w:cs="Arial"/>
          <w:sz w:val="20"/>
          <w:szCs w:val="20"/>
          <w:u w:val="single"/>
        </w:rPr>
        <w:t>Tab. 9</w:t>
      </w:r>
      <w:r w:rsidRPr="00DF48FF">
        <w:rPr>
          <w:rFonts w:ascii="Arial" w:hAnsi="Arial" w:cs="Arial"/>
          <w:sz w:val="20"/>
          <w:szCs w:val="20"/>
        </w:rPr>
        <w:t xml:space="preserve"> - toto třídění podle druhu domácnosti EU umožňuje mezinárodní srovnání struktury domácností. </w:t>
      </w:r>
    </w:p>
    <w:p w:rsidR="002A4577" w:rsidRPr="00F83D7E" w:rsidRDefault="00DF48FF">
      <w:pPr>
        <w:pStyle w:val="Zkladntext"/>
        <w:spacing w:after="120"/>
        <w:rPr>
          <w:rFonts w:ascii="Arial" w:hAnsi="Arial" w:cs="Arial"/>
          <w:sz w:val="20"/>
          <w:szCs w:val="20"/>
        </w:rPr>
      </w:pPr>
      <w:r w:rsidRPr="00DF48FF">
        <w:rPr>
          <w:rFonts w:ascii="Arial" w:hAnsi="Arial" w:cs="Arial"/>
          <w:sz w:val="20"/>
          <w:szCs w:val="20"/>
          <w:u w:val="single"/>
        </w:rPr>
        <w:t>Tab. 11</w:t>
      </w:r>
      <w:r w:rsidRPr="00DF48FF">
        <w:rPr>
          <w:rFonts w:ascii="Arial" w:hAnsi="Arial" w:cs="Arial"/>
          <w:sz w:val="20"/>
          <w:szCs w:val="20"/>
        </w:rPr>
        <w:t xml:space="preserve"> - třídění podle velikosti obce, která je odvozena z počtu obyvatel k 31. prosinci 201</w:t>
      </w:r>
      <w:r w:rsidR="0014539B">
        <w:rPr>
          <w:rFonts w:ascii="Arial" w:hAnsi="Arial" w:cs="Arial"/>
          <w:sz w:val="20"/>
          <w:szCs w:val="20"/>
        </w:rPr>
        <w:t>7</w:t>
      </w:r>
      <w:r w:rsidRPr="00DF48FF">
        <w:rPr>
          <w:rFonts w:ascii="Arial" w:hAnsi="Arial" w:cs="Arial"/>
          <w:sz w:val="20"/>
          <w:szCs w:val="20"/>
        </w:rPr>
        <w:t xml:space="preserve"> vykázaného demografickou statistikou. </w:t>
      </w:r>
    </w:p>
    <w:p w:rsidR="002A4577" w:rsidRPr="00F83D7E" w:rsidRDefault="00DF48FF">
      <w:pPr>
        <w:pStyle w:val="Zkladntext"/>
        <w:spacing w:after="120"/>
        <w:rPr>
          <w:rFonts w:ascii="Arial" w:hAnsi="Arial" w:cs="Arial"/>
          <w:sz w:val="20"/>
          <w:szCs w:val="20"/>
        </w:rPr>
      </w:pPr>
      <w:r w:rsidRPr="00DF48FF">
        <w:rPr>
          <w:rFonts w:ascii="Arial" w:hAnsi="Arial" w:cs="Arial"/>
          <w:sz w:val="20"/>
          <w:szCs w:val="20"/>
          <w:u w:val="single"/>
        </w:rPr>
        <w:t>Tab. 13</w:t>
      </w:r>
      <w:r w:rsidRPr="00DF48FF">
        <w:rPr>
          <w:rFonts w:ascii="Arial" w:hAnsi="Arial" w:cs="Arial"/>
          <w:sz w:val="20"/>
          <w:szCs w:val="20"/>
        </w:rPr>
        <w:t xml:space="preserve"> - podle druhu domácnosti a vzdělání osoby v čele domácnosti. Do zpracování byly zahrnuty pouze domácnosti s pracující osobou v čele, v úplných rodinách je vzdělání osoby v čele kombinováno se</w:t>
      </w:r>
      <w:r w:rsidR="00060A7F">
        <w:rPr>
          <w:rFonts w:ascii="Arial" w:hAnsi="Arial" w:cs="Arial"/>
          <w:sz w:val="20"/>
          <w:szCs w:val="20"/>
        </w:rPr>
        <w:t> </w:t>
      </w:r>
      <w:r w:rsidRPr="00DF48FF">
        <w:rPr>
          <w:rFonts w:ascii="Arial" w:hAnsi="Arial" w:cs="Arial"/>
          <w:sz w:val="20"/>
          <w:szCs w:val="20"/>
        </w:rPr>
        <w:t xml:space="preserve">vzděláním manželky. Do základního vzdělání byly zahrnuty i osoby vyučené (bez maturity), příp. i osoby s neukončeným vzděláním. </w:t>
      </w:r>
    </w:p>
    <w:p w:rsidR="002A4577" w:rsidRPr="00F83D7E" w:rsidRDefault="00DF48FF">
      <w:pPr>
        <w:pStyle w:val="Zkladntext"/>
        <w:spacing w:after="120"/>
        <w:rPr>
          <w:rFonts w:ascii="Arial" w:hAnsi="Arial" w:cs="Arial"/>
          <w:sz w:val="20"/>
          <w:szCs w:val="20"/>
          <w:u w:val="single"/>
        </w:rPr>
      </w:pPr>
      <w:r w:rsidRPr="00DF48FF">
        <w:rPr>
          <w:rFonts w:ascii="Arial" w:hAnsi="Arial" w:cs="Arial"/>
          <w:sz w:val="20"/>
          <w:szCs w:val="20"/>
          <w:u w:val="single"/>
        </w:rPr>
        <w:t>Tab. 15</w:t>
      </w:r>
      <w:r w:rsidRPr="00DF48FF">
        <w:rPr>
          <w:rFonts w:ascii="Arial" w:hAnsi="Arial" w:cs="Arial"/>
          <w:sz w:val="20"/>
          <w:szCs w:val="20"/>
        </w:rPr>
        <w:t xml:space="preserve"> - časová řada s vybranými plně srovnatelnými údaji za hospodařící domácnosti celkem od roku 201</w:t>
      </w:r>
      <w:r w:rsidR="0014539B">
        <w:rPr>
          <w:rFonts w:ascii="Arial" w:hAnsi="Arial" w:cs="Arial"/>
          <w:sz w:val="20"/>
          <w:szCs w:val="20"/>
        </w:rPr>
        <w:t>3</w:t>
      </w:r>
      <w:r w:rsidRPr="00DF48FF">
        <w:rPr>
          <w:rFonts w:ascii="Arial" w:hAnsi="Arial" w:cs="Arial"/>
          <w:sz w:val="20"/>
          <w:szCs w:val="20"/>
        </w:rPr>
        <w:t xml:space="preserve">. </w:t>
      </w:r>
      <w:r w:rsidR="00406BBD">
        <w:rPr>
          <w:rFonts w:ascii="Arial" w:hAnsi="Arial" w:cs="Arial"/>
          <w:sz w:val="20"/>
          <w:szCs w:val="20"/>
        </w:rPr>
        <w:t>Vešk</w:t>
      </w:r>
      <w:r w:rsidR="00656849">
        <w:rPr>
          <w:rFonts w:ascii="Arial" w:hAnsi="Arial" w:cs="Arial"/>
          <w:sz w:val="20"/>
          <w:szCs w:val="20"/>
        </w:rPr>
        <w:t>e</w:t>
      </w:r>
      <w:r w:rsidR="00406BBD">
        <w:rPr>
          <w:rFonts w:ascii="Arial" w:hAnsi="Arial" w:cs="Arial"/>
          <w:sz w:val="20"/>
          <w:szCs w:val="20"/>
        </w:rPr>
        <w:t>ré údaje o příjmech</w:t>
      </w:r>
      <w:r w:rsidR="00656849">
        <w:rPr>
          <w:rFonts w:ascii="Arial" w:hAnsi="Arial" w:cs="Arial"/>
          <w:sz w:val="20"/>
          <w:szCs w:val="20"/>
        </w:rPr>
        <w:t>,</w:t>
      </w:r>
      <w:r w:rsidR="00406BBD">
        <w:rPr>
          <w:rFonts w:ascii="Arial" w:hAnsi="Arial" w:cs="Arial"/>
          <w:sz w:val="20"/>
          <w:szCs w:val="20"/>
        </w:rPr>
        <w:t xml:space="preserve"> resp. z příjmů odvozené</w:t>
      </w:r>
      <w:r w:rsidR="00656849">
        <w:rPr>
          <w:rFonts w:ascii="Arial" w:hAnsi="Arial" w:cs="Arial"/>
          <w:sz w:val="20"/>
          <w:szCs w:val="20"/>
        </w:rPr>
        <w:t>,</w:t>
      </w:r>
      <w:r w:rsidR="00406BBD">
        <w:rPr>
          <w:rFonts w:ascii="Arial" w:hAnsi="Arial" w:cs="Arial"/>
          <w:sz w:val="20"/>
          <w:szCs w:val="20"/>
        </w:rPr>
        <w:t xml:space="preserve"> j</w:t>
      </w:r>
      <w:r w:rsidR="006B20E3">
        <w:rPr>
          <w:rFonts w:ascii="Arial" w:hAnsi="Arial" w:cs="Arial"/>
          <w:sz w:val="20"/>
          <w:szCs w:val="20"/>
        </w:rPr>
        <w:t>s</w:t>
      </w:r>
      <w:r w:rsidR="00406BBD">
        <w:rPr>
          <w:rFonts w:ascii="Arial" w:hAnsi="Arial" w:cs="Arial"/>
          <w:sz w:val="20"/>
          <w:szCs w:val="20"/>
        </w:rPr>
        <w:t xml:space="preserve">ou vždy za předcházející kalendářní rok. </w:t>
      </w:r>
    </w:p>
    <w:p w:rsidR="00540B6D" w:rsidRDefault="00540B6D">
      <w:pPr>
        <w:pStyle w:val="Zkladntext"/>
        <w:spacing w:after="120"/>
        <w:rPr>
          <w:rFonts w:ascii="Arial" w:hAnsi="Arial" w:cs="Arial"/>
          <w:b/>
          <w:bCs/>
          <w:sz w:val="20"/>
          <w:szCs w:val="20"/>
        </w:rPr>
      </w:pPr>
    </w:p>
    <w:p w:rsidR="002A4577" w:rsidRPr="00F83D7E" w:rsidRDefault="00DF48FF">
      <w:pPr>
        <w:pStyle w:val="Zkladntext"/>
        <w:spacing w:after="120"/>
        <w:rPr>
          <w:rFonts w:ascii="Arial" w:hAnsi="Arial" w:cs="Arial"/>
          <w:b/>
          <w:bCs/>
          <w:sz w:val="20"/>
          <w:szCs w:val="20"/>
        </w:rPr>
      </w:pPr>
      <w:r w:rsidRPr="00DF48FF">
        <w:rPr>
          <w:rFonts w:ascii="Arial" w:hAnsi="Arial" w:cs="Arial"/>
          <w:b/>
          <w:bCs/>
          <w:sz w:val="20"/>
          <w:szCs w:val="20"/>
        </w:rPr>
        <w:t>2.3.2 Poznámky k tabulkám za osoby</w:t>
      </w:r>
    </w:p>
    <w:p w:rsidR="002A4577" w:rsidRPr="00F83D7E" w:rsidRDefault="00DF48FF">
      <w:pPr>
        <w:pStyle w:val="Zkladntext"/>
        <w:spacing w:after="120"/>
        <w:rPr>
          <w:rFonts w:ascii="Arial" w:hAnsi="Arial" w:cs="Arial"/>
          <w:sz w:val="20"/>
          <w:szCs w:val="20"/>
        </w:rPr>
      </w:pPr>
      <w:r w:rsidRPr="00DF48FF">
        <w:rPr>
          <w:rFonts w:ascii="Arial" w:hAnsi="Arial" w:cs="Arial"/>
          <w:sz w:val="20"/>
          <w:szCs w:val="20"/>
          <w:u w:val="single"/>
        </w:rPr>
        <w:t>Tab. 16 až 18</w:t>
      </w:r>
      <w:r w:rsidRPr="00DF48FF">
        <w:rPr>
          <w:rFonts w:ascii="Arial" w:hAnsi="Arial" w:cs="Arial"/>
          <w:sz w:val="20"/>
          <w:szCs w:val="20"/>
        </w:rPr>
        <w:t xml:space="preserve"> - údaje za osoby jsou tříděny podle jejich demografických charakteristik a podle velikosti obce. Vedle stručných údajů o ekonomické aktivitě je převážná část údajů v tabulkách věnována výsledkům </w:t>
      </w:r>
      <w:r w:rsidRPr="00DF48FF">
        <w:rPr>
          <w:rFonts w:ascii="Arial" w:hAnsi="Arial" w:cs="Arial"/>
          <w:sz w:val="20"/>
          <w:szCs w:val="20"/>
        </w:rPr>
        <w:lastRenderedPageBreak/>
        <w:t xml:space="preserve">sebehodnocení zdravotního stavu. Ve zpracování otázek týkajících se zdravotního stavu jsou zařazeny pouze přímé odpovědi dotazovaných osob, nepřipouštěly se tzv. </w:t>
      </w:r>
      <w:proofErr w:type="spellStart"/>
      <w:r w:rsidRPr="00DF48FF">
        <w:rPr>
          <w:rFonts w:ascii="Arial" w:hAnsi="Arial" w:cs="Arial"/>
          <w:sz w:val="20"/>
          <w:szCs w:val="20"/>
        </w:rPr>
        <w:t>proxy</w:t>
      </w:r>
      <w:proofErr w:type="spellEnd"/>
      <w:r w:rsidRPr="00DF48FF">
        <w:rPr>
          <w:rFonts w:ascii="Arial" w:hAnsi="Arial" w:cs="Arial"/>
          <w:sz w:val="20"/>
          <w:szCs w:val="20"/>
        </w:rPr>
        <w:t xml:space="preserve"> odpovědi, tj. možnost, aby za ně odpověděl jiný člen domácnosti. </w:t>
      </w:r>
    </w:p>
    <w:p w:rsidR="002A4577" w:rsidRPr="00F83D7E" w:rsidRDefault="00DF48FF">
      <w:pPr>
        <w:pStyle w:val="Zkladntext"/>
        <w:spacing w:after="120"/>
        <w:rPr>
          <w:rFonts w:ascii="Arial" w:hAnsi="Arial" w:cs="Arial"/>
          <w:sz w:val="20"/>
          <w:szCs w:val="20"/>
          <w:u w:val="single"/>
        </w:rPr>
      </w:pPr>
      <w:r w:rsidRPr="00DF48FF">
        <w:rPr>
          <w:rFonts w:ascii="Arial" w:hAnsi="Arial" w:cs="Arial"/>
          <w:sz w:val="20"/>
          <w:szCs w:val="20"/>
          <w:u w:val="single"/>
        </w:rPr>
        <w:t>Tab. 19</w:t>
      </w:r>
      <w:r w:rsidRPr="00DF48FF">
        <w:rPr>
          <w:rFonts w:ascii="Arial" w:hAnsi="Arial" w:cs="Arial"/>
          <w:sz w:val="20"/>
          <w:szCs w:val="20"/>
        </w:rPr>
        <w:t xml:space="preserve"> zahrnuje časovou řadu údajů o míře ohrožení chudobou od roku 201</w:t>
      </w:r>
      <w:r w:rsidR="0014539B">
        <w:rPr>
          <w:rFonts w:ascii="Arial" w:hAnsi="Arial" w:cs="Arial"/>
          <w:sz w:val="20"/>
          <w:szCs w:val="20"/>
        </w:rPr>
        <w:t>3</w:t>
      </w:r>
      <w:r w:rsidRPr="00DF48FF">
        <w:rPr>
          <w:rFonts w:ascii="Arial" w:hAnsi="Arial" w:cs="Arial"/>
          <w:sz w:val="20"/>
          <w:szCs w:val="20"/>
        </w:rPr>
        <w:t xml:space="preserve">.  </w:t>
      </w:r>
    </w:p>
    <w:p w:rsidR="002A4577" w:rsidRPr="00F83D7E" w:rsidRDefault="00DF48FF">
      <w:pPr>
        <w:pStyle w:val="Zkladntext"/>
        <w:spacing w:after="120"/>
        <w:ind w:firstLine="709"/>
        <w:rPr>
          <w:rFonts w:ascii="Arial" w:hAnsi="Arial" w:cs="Arial"/>
          <w:sz w:val="20"/>
          <w:szCs w:val="20"/>
        </w:rPr>
      </w:pPr>
      <w:r w:rsidRPr="00DF48FF">
        <w:rPr>
          <w:rFonts w:ascii="Arial" w:hAnsi="Arial" w:cs="Arial"/>
          <w:sz w:val="20"/>
          <w:szCs w:val="20"/>
        </w:rPr>
        <w:t xml:space="preserve">Výpočet </w:t>
      </w:r>
      <w:r w:rsidRPr="00DF48FF">
        <w:rPr>
          <w:rFonts w:ascii="Arial" w:hAnsi="Arial" w:cs="Arial"/>
          <w:sz w:val="20"/>
          <w:szCs w:val="20"/>
          <w:u w:val="single"/>
        </w:rPr>
        <w:t>míry ohrožení chudobou</w:t>
      </w:r>
      <w:r w:rsidRPr="00DF48FF">
        <w:rPr>
          <w:rFonts w:ascii="Arial" w:hAnsi="Arial" w:cs="Arial"/>
          <w:sz w:val="20"/>
          <w:szCs w:val="20"/>
        </w:rPr>
        <w:t xml:space="preserve"> (At-risk-</w:t>
      </w:r>
      <w:proofErr w:type="spellStart"/>
      <w:r w:rsidRPr="00DF48FF">
        <w:rPr>
          <w:rFonts w:ascii="Arial" w:hAnsi="Arial" w:cs="Arial"/>
          <w:sz w:val="20"/>
          <w:szCs w:val="20"/>
        </w:rPr>
        <w:t>of</w:t>
      </w:r>
      <w:proofErr w:type="spellEnd"/>
      <w:r w:rsidRPr="00DF48FF">
        <w:rPr>
          <w:rFonts w:ascii="Arial" w:hAnsi="Arial" w:cs="Arial"/>
          <w:sz w:val="20"/>
          <w:szCs w:val="20"/>
        </w:rPr>
        <w:t>-</w:t>
      </w:r>
      <w:proofErr w:type="spellStart"/>
      <w:r w:rsidRPr="00DF48FF">
        <w:rPr>
          <w:rFonts w:ascii="Arial" w:hAnsi="Arial" w:cs="Arial"/>
          <w:sz w:val="20"/>
          <w:szCs w:val="20"/>
        </w:rPr>
        <w:t>poverty</w:t>
      </w:r>
      <w:proofErr w:type="spellEnd"/>
      <w:r w:rsidRPr="00DF48FF">
        <w:rPr>
          <w:rFonts w:ascii="Arial" w:hAnsi="Arial" w:cs="Arial"/>
          <w:sz w:val="20"/>
          <w:szCs w:val="20"/>
        </w:rPr>
        <w:t xml:space="preserve"> </w:t>
      </w:r>
      <w:proofErr w:type="spellStart"/>
      <w:r w:rsidRPr="00DF48FF">
        <w:rPr>
          <w:rFonts w:ascii="Arial" w:hAnsi="Arial" w:cs="Arial"/>
          <w:sz w:val="20"/>
          <w:szCs w:val="20"/>
        </w:rPr>
        <w:t>rate</w:t>
      </w:r>
      <w:proofErr w:type="spellEnd"/>
      <w:r w:rsidRPr="00DF48FF">
        <w:rPr>
          <w:rFonts w:ascii="Arial" w:hAnsi="Arial" w:cs="Arial"/>
          <w:sz w:val="20"/>
          <w:szCs w:val="20"/>
        </w:rPr>
        <w:t xml:space="preserve">) podle metodiky </w:t>
      </w:r>
      <w:proofErr w:type="spellStart"/>
      <w:r w:rsidRPr="00DF48FF">
        <w:rPr>
          <w:rFonts w:ascii="Arial" w:hAnsi="Arial" w:cs="Arial"/>
          <w:sz w:val="20"/>
          <w:szCs w:val="20"/>
        </w:rPr>
        <w:t>Eurostatu</w:t>
      </w:r>
      <w:proofErr w:type="spellEnd"/>
      <w:r w:rsidRPr="00DF48FF">
        <w:rPr>
          <w:rFonts w:ascii="Arial" w:hAnsi="Arial" w:cs="Arial"/>
          <w:sz w:val="20"/>
          <w:szCs w:val="20"/>
        </w:rPr>
        <w:t xml:space="preserve"> se opírá o tzv. </w:t>
      </w:r>
      <w:proofErr w:type="spellStart"/>
      <w:r w:rsidRPr="00DF48FF">
        <w:rPr>
          <w:rFonts w:ascii="Arial" w:hAnsi="Arial" w:cs="Arial"/>
          <w:sz w:val="20"/>
          <w:szCs w:val="20"/>
        </w:rPr>
        <w:t>ekvivalizovaný</w:t>
      </w:r>
      <w:proofErr w:type="spellEnd"/>
      <w:r w:rsidRPr="00DF48FF">
        <w:rPr>
          <w:rFonts w:ascii="Arial" w:hAnsi="Arial" w:cs="Arial"/>
          <w:sz w:val="20"/>
          <w:szCs w:val="20"/>
        </w:rPr>
        <w:t xml:space="preserve"> příjem, což je podíl disponibilního příjmu domácnosti (viz kap. 2.2.3) a počtu jejích spotřebních jednotek (</w:t>
      </w:r>
      <w:proofErr w:type="spellStart"/>
      <w:r w:rsidRPr="00DF48FF">
        <w:rPr>
          <w:rFonts w:ascii="Arial" w:hAnsi="Arial" w:cs="Arial"/>
          <w:sz w:val="20"/>
          <w:szCs w:val="20"/>
        </w:rPr>
        <w:t>modif</w:t>
      </w:r>
      <w:proofErr w:type="spellEnd"/>
      <w:r w:rsidRPr="00DF48FF">
        <w:rPr>
          <w:rFonts w:ascii="Arial" w:hAnsi="Arial" w:cs="Arial"/>
          <w:sz w:val="20"/>
          <w:szCs w:val="20"/>
        </w:rPr>
        <w:t xml:space="preserve">. SJ OECD, viz kap. 2.2.1). Vypočtený </w:t>
      </w:r>
      <w:proofErr w:type="spellStart"/>
      <w:r w:rsidRPr="00DF48FF">
        <w:rPr>
          <w:rFonts w:ascii="Arial" w:hAnsi="Arial" w:cs="Arial"/>
          <w:sz w:val="20"/>
          <w:szCs w:val="20"/>
        </w:rPr>
        <w:t>ekvivalizovaný</w:t>
      </w:r>
      <w:proofErr w:type="spellEnd"/>
      <w:r w:rsidRPr="00DF48FF">
        <w:rPr>
          <w:rFonts w:ascii="Arial" w:hAnsi="Arial" w:cs="Arial"/>
          <w:sz w:val="20"/>
          <w:szCs w:val="20"/>
        </w:rPr>
        <w:t xml:space="preserve"> příjem domácnosti se následně přiřadí všem jejím členům. Ze souboru všech osob, seřazených vzestupně podle výše jejich </w:t>
      </w:r>
      <w:proofErr w:type="spellStart"/>
      <w:r w:rsidRPr="00DF48FF">
        <w:rPr>
          <w:rFonts w:ascii="Arial" w:hAnsi="Arial" w:cs="Arial"/>
          <w:sz w:val="20"/>
          <w:szCs w:val="20"/>
        </w:rPr>
        <w:t>ekvivalizovaného</w:t>
      </w:r>
      <w:proofErr w:type="spellEnd"/>
      <w:r w:rsidRPr="00DF48FF">
        <w:rPr>
          <w:rFonts w:ascii="Arial" w:hAnsi="Arial" w:cs="Arial"/>
          <w:sz w:val="20"/>
          <w:szCs w:val="20"/>
        </w:rPr>
        <w:t xml:space="preserve"> příjmu, se pak počítá hranice chudoby. Nejčastěji používanou hranicí chudoby je 60% mediánu </w:t>
      </w:r>
      <w:proofErr w:type="spellStart"/>
      <w:r w:rsidRPr="00DF48FF">
        <w:rPr>
          <w:rFonts w:ascii="Arial" w:hAnsi="Arial" w:cs="Arial"/>
          <w:sz w:val="20"/>
          <w:szCs w:val="20"/>
        </w:rPr>
        <w:t>ekvivalizovaného</w:t>
      </w:r>
      <w:proofErr w:type="spellEnd"/>
      <w:r w:rsidRPr="00DF48FF">
        <w:rPr>
          <w:rFonts w:ascii="Arial" w:hAnsi="Arial" w:cs="Arial"/>
          <w:sz w:val="20"/>
          <w:szCs w:val="20"/>
        </w:rPr>
        <w:t xml:space="preserve"> příjmu. Jako doplňkové hranice se používají 40, 50 a 70% mediánu. V Tab. 19 jsou uvedeny časové řady míry ohrožení chudobou při užití hranice 60% a doplňkové hranice 70% mediánu. Míra chudoby se vyjadřuje jako procentní podíl osob s </w:t>
      </w:r>
      <w:proofErr w:type="spellStart"/>
      <w:r w:rsidRPr="00DF48FF">
        <w:rPr>
          <w:rFonts w:ascii="Arial" w:hAnsi="Arial" w:cs="Arial"/>
          <w:sz w:val="20"/>
          <w:szCs w:val="20"/>
        </w:rPr>
        <w:t>ekvivalizovaným</w:t>
      </w:r>
      <w:proofErr w:type="spellEnd"/>
      <w:r w:rsidRPr="00DF48FF">
        <w:rPr>
          <w:rFonts w:ascii="Arial" w:hAnsi="Arial" w:cs="Arial"/>
          <w:sz w:val="20"/>
          <w:szCs w:val="20"/>
        </w:rPr>
        <w:t xml:space="preserve"> příjmem nižším než je zvolená hranice chudoby na celkovém počtu dané skupiny osob (osoby celkem a dále např. osoby podle pohlaví, věku, ekonomické aktivity). Tato jednotná metodika je předpokladem pro potřebná mezinárodní srovnání mezi státy uvnitř Evropské unie. </w:t>
      </w:r>
    </w:p>
    <w:p w:rsidR="002A4577" w:rsidRPr="00F83D7E" w:rsidRDefault="00DF48FF">
      <w:pPr>
        <w:pStyle w:val="Zkladntext"/>
        <w:spacing w:after="120"/>
        <w:ind w:firstLine="709"/>
        <w:rPr>
          <w:rFonts w:ascii="Arial" w:hAnsi="Arial" w:cs="Arial"/>
          <w:sz w:val="20"/>
          <w:szCs w:val="20"/>
        </w:rPr>
      </w:pPr>
      <w:r w:rsidRPr="00DF48FF">
        <w:rPr>
          <w:rFonts w:ascii="Arial" w:hAnsi="Arial" w:cs="Arial"/>
          <w:sz w:val="20"/>
          <w:szCs w:val="20"/>
          <w:u w:val="single"/>
        </w:rPr>
        <w:t>Převažující ekonomická aktivita osob</w:t>
      </w:r>
      <w:r w:rsidRPr="00DF48FF">
        <w:rPr>
          <w:rFonts w:ascii="Arial" w:hAnsi="Arial" w:cs="Arial"/>
          <w:sz w:val="20"/>
          <w:szCs w:val="20"/>
        </w:rPr>
        <w:t>, uvedená v tabulkách 19 až 21, obsahově v podstatě koresponduje s vymezením ekonomické aktivity v kap. 2.1. Daná ekonomická aktivita však musela trvat ve</w:t>
      </w:r>
      <w:r w:rsidR="00AF2337">
        <w:rPr>
          <w:rFonts w:ascii="Arial" w:hAnsi="Arial" w:cs="Arial"/>
          <w:sz w:val="20"/>
          <w:szCs w:val="20"/>
        </w:rPr>
        <w:t> </w:t>
      </w:r>
      <w:r w:rsidRPr="00DF48FF">
        <w:rPr>
          <w:rFonts w:ascii="Arial" w:hAnsi="Arial" w:cs="Arial"/>
          <w:sz w:val="20"/>
          <w:szCs w:val="20"/>
        </w:rPr>
        <w:t>sledovaném roce 201</w:t>
      </w:r>
      <w:r w:rsidR="0014539B">
        <w:rPr>
          <w:rFonts w:ascii="Arial" w:hAnsi="Arial" w:cs="Arial"/>
          <w:sz w:val="20"/>
          <w:szCs w:val="20"/>
        </w:rPr>
        <w:t>7</w:t>
      </w:r>
      <w:r w:rsidRPr="00DF48FF">
        <w:rPr>
          <w:rFonts w:ascii="Arial" w:hAnsi="Arial" w:cs="Arial"/>
          <w:sz w:val="20"/>
          <w:szCs w:val="20"/>
        </w:rPr>
        <w:t xml:space="preserve"> alespoň 7 měsíců. Osoby, které tuto podmínku nesplňovaly, nebyly do výpočtu zařazeny.</w:t>
      </w:r>
    </w:p>
    <w:p w:rsidR="002A4577" w:rsidRPr="00F83D7E" w:rsidRDefault="00DF48FF">
      <w:pPr>
        <w:pStyle w:val="Zkladntext"/>
        <w:spacing w:after="120"/>
        <w:ind w:firstLine="709"/>
        <w:rPr>
          <w:rFonts w:ascii="Arial" w:hAnsi="Arial" w:cs="Arial"/>
          <w:sz w:val="20"/>
          <w:szCs w:val="20"/>
        </w:rPr>
      </w:pPr>
      <w:r w:rsidRPr="00DF48FF">
        <w:rPr>
          <w:rFonts w:ascii="Arial" w:hAnsi="Arial" w:cs="Arial"/>
          <w:sz w:val="20"/>
          <w:szCs w:val="20"/>
        </w:rPr>
        <w:t>Tab. 19 dále doplňují vybrané indikátory příjmové chudoby, které blíže charakterizují variabilitu příjmů.</w:t>
      </w:r>
    </w:p>
    <w:p w:rsidR="002A4577" w:rsidRPr="00F83D7E" w:rsidRDefault="00DF48FF">
      <w:pPr>
        <w:pStyle w:val="Zkladntext"/>
        <w:spacing w:after="120"/>
        <w:rPr>
          <w:rFonts w:ascii="Arial" w:hAnsi="Arial" w:cs="Arial"/>
          <w:sz w:val="20"/>
          <w:szCs w:val="20"/>
        </w:rPr>
      </w:pPr>
      <w:r w:rsidRPr="00DF48FF">
        <w:rPr>
          <w:rFonts w:ascii="Arial" w:hAnsi="Arial" w:cs="Arial"/>
          <w:sz w:val="20"/>
          <w:szCs w:val="20"/>
          <w:u w:val="single"/>
        </w:rPr>
        <w:t>Koeficient příjmové nerovnosti</w:t>
      </w:r>
      <w:r w:rsidRPr="00DF48FF">
        <w:rPr>
          <w:rFonts w:ascii="Arial" w:hAnsi="Arial" w:cs="Arial"/>
          <w:sz w:val="20"/>
          <w:szCs w:val="20"/>
        </w:rPr>
        <w:t xml:space="preserve"> (</w:t>
      </w:r>
      <w:proofErr w:type="spellStart"/>
      <w:r w:rsidRPr="00DF48FF">
        <w:rPr>
          <w:rFonts w:ascii="Arial" w:hAnsi="Arial" w:cs="Arial"/>
          <w:sz w:val="20"/>
          <w:szCs w:val="20"/>
        </w:rPr>
        <w:t>Quintile</w:t>
      </w:r>
      <w:proofErr w:type="spellEnd"/>
      <w:r w:rsidRPr="00DF48FF">
        <w:rPr>
          <w:rFonts w:ascii="Arial" w:hAnsi="Arial" w:cs="Arial"/>
          <w:sz w:val="20"/>
          <w:szCs w:val="20"/>
        </w:rPr>
        <w:t xml:space="preserve"> </w:t>
      </w:r>
      <w:proofErr w:type="spellStart"/>
      <w:r w:rsidRPr="00DF48FF">
        <w:rPr>
          <w:rFonts w:ascii="Arial" w:hAnsi="Arial" w:cs="Arial"/>
          <w:sz w:val="20"/>
          <w:szCs w:val="20"/>
        </w:rPr>
        <w:t>share</w:t>
      </w:r>
      <w:proofErr w:type="spellEnd"/>
      <w:r w:rsidRPr="00DF48FF">
        <w:rPr>
          <w:rFonts w:ascii="Arial" w:hAnsi="Arial" w:cs="Arial"/>
          <w:sz w:val="20"/>
          <w:szCs w:val="20"/>
        </w:rPr>
        <w:t xml:space="preserve"> ratio) </w:t>
      </w:r>
      <w:r w:rsidRPr="00DF48FF">
        <w:rPr>
          <w:rFonts w:ascii="Arial" w:hAnsi="Arial" w:cs="Arial"/>
          <w:sz w:val="20"/>
          <w:szCs w:val="20"/>
          <w:u w:val="single"/>
        </w:rPr>
        <w:t>S80/S20</w:t>
      </w:r>
      <w:r w:rsidRPr="00DF48FF">
        <w:rPr>
          <w:rFonts w:ascii="Arial" w:hAnsi="Arial" w:cs="Arial"/>
          <w:sz w:val="20"/>
          <w:szCs w:val="20"/>
        </w:rPr>
        <w:t xml:space="preserve"> - podíl objemu příjmů připadajících na 20 % osob s nejvyššími příjmy na </w:t>
      </w:r>
      <w:proofErr w:type="spellStart"/>
      <w:r w:rsidRPr="00DF48FF">
        <w:rPr>
          <w:rFonts w:ascii="Arial" w:hAnsi="Arial" w:cs="Arial"/>
          <w:sz w:val="20"/>
          <w:szCs w:val="20"/>
        </w:rPr>
        <w:t>modif</w:t>
      </w:r>
      <w:proofErr w:type="spellEnd"/>
      <w:r w:rsidRPr="00DF48FF">
        <w:rPr>
          <w:rFonts w:ascii="Arial" w:hAnsi="Arial" w:cs="Arial"/>
          <w:sz w:val="20"/>
          <w:szCs w:val="20"/>
        </w:rPr>
        <w:t xml:space="preserve">. SJ OECD (5. </w:t>
      </w:r>
      <w:proofErr w:type="spellStart"/>
      <w:r w:rsidRPr="00DF48FF">
        <w:rPr>
          <w:rFonts w:ascii="Arial" w:hAnsi="Arial" w:cs="Arial"/>
          <w:sz w:val="20"/>
          <w:szCs w:val="20"/>
        </w:rPr>
        <w:t>kvintil</w:t>
      </w:r>
      <w:proofErr w:type="spellEnd"/>
      <w:r w:rsidRPr="00DF48FF">
        <w:rPr>
          <w:rFonts w:ascii="Arial" w:hAnsi="Arial" w:cs="Arial"/>
          <w:sz w:val="20"/>
          <w:szCs w:val="20"/>
        </w:rPr>
        <w:t>) k objemu příjmů připadajících na 20 % osob s</w:t>
      </w:r>
      <w:r w:rsidR="00AF2337">
        <w:rPr>
          <w:rFonts w:ascii="Arial" w:hAnsi="Arial" w:cs="Arial"/>
          <w:sz w:val="20"/>
          <w:szCs w:val="20"/>
        </w:rPr>
        <w:t> </w:t>
      </w:r>
      <w:r w:rsidRPr="00DF48FF">
        <w:rPr>
          <w:rFonts w:ascii="Arial" w:hAnsi="Arial" w:cs="Arial"/>
          <w:sz w:val="20"/>
          <w:szCs w:val="20"/>
        </w:rPr>
        <w:t xml:space="preserve">nejnižšími příjmy na </w:t>
      </w:r>
      <w:proofErr w:type="spellStart"/>
      <w:r w:rsidRPr="00DF48FF">
        <w:rPr>
          <w:rFonts w:ascii="Arial" w:hAnsi="Arial" w:cs="Arial"/>
          <w:sz w:val="20"/>
          <w:szCs w:val="20"/>
        </w:rPr>
        <w:t>modif</w:t>
      </w:r>
      <w:proofErr w:type="spellEnd"/>
      <w:r w:rsidRPr="00DF48FF">
        <w:rPr>
          <w:rFonts w:ascii="Arial" w:hAnsi="Arial" w:cs="Arial"/>
          <w:sz w:val="20"/>
          <w:szCs w:val="20"/>
        </w:rPr>
        <w:t xml:space="preserve">. SJ OECD (1. </w:t>
      </w:r>
      <w:proofErr w:type="spellStart"/>
      <w:r w:rsidRPr="00DF48FF">
        <w:rPr>
          <w:rFonts w:ascii="Arial" w:hAnsi="Arial" w:cs="Arial"/>
          <w:sz w:val="20"/>
          <w:szCs w:val="20"/>
        </w:rPr>
        <w:t>kvintil</w:t>
      </w:r>
      <w:proofErr w:type="spellEnd"/>
      <w:r w:rsidRPr="00DF48FF">
        <w:rPr>
          <w:rFonts w:ascii="Arial" w:hAnsi="Arial" w:cs="Arial"/>
          <w:sz w:val="20"/>
          <w:szCs w:val="20"/>
        </w:rPr>
        <w:t>). Vyšší hodnota koeficientu znamená vyšší diferenciaci příjmů.</w:t>
      </w:r>
    </w:p>
    <w:p w:rsidR="002A4577" w:rsidRPr="00F83D7E" w:rsidRDefault="00DF48FF">
      <w:pPr>
        <w:pStyle w:val="Zkladntext"/>
        <w:spacing w:after="120"/>
        <w:rPr>
          <w:rFonts w:ascii="Arial" w:hAnsi="Arial" w:cs="Arial"/>
          <w:sz w:val="20"/>
          <w:szCs w:val="20"/>
        </w:rPr>
      </w:pPr>
      <w:r w:rsidRPr="00DF48FF">
        <w:rPr>
          <w:rFonts w:ascii="Arial" w:hAnsi="Arial" w:cs="Arial"/>
          <w:sz w:val="20"/>
          <w:szCs w:val="20"/>
          <w:u w:val="single"/>
        </w:rPr>
        <w:t>Indikátor relativního propadu příjmů</w:t>
      </w:r>
      <w:r w:rsidRPr="00DF48FF">
        <w:rPr>
          <w:rFonts w:ascii="Arial" w:hAnsi="Arial" w:cs="Arial"/>
          <w:sz w:val="20"/>
          <w:szCs w:val="20"/>
        </w:rPr>
        <w:t xml:space="preserve"> (</w:t>
      </w:r>
      <w:proofErr w:type="spellStart"/>
      <w:r w:rsidRPr="00DF48FF">
        <w:rPr>
          <w:rFonts w:ascii="Arial" w:hAnsi="Arial" w:cs="Arial"/>
          <w:sz w:val="20"/>
          <w:szCs w:val="20"/>
        </w:rPr>
        <w:t>Relative</w:t>
      </w:r>
      <w:proofErr w:type="spellEnd"/>
      <w:r w:rsidRPr="00DF48FF">
        <w:rPr>
          <w:rFonts w:ascii="Arial" w:hAnsi="Arial" w:cs="Arial"/>
          <w:sz w:val="20"/>
          <w:szCs w:val="20"/>
        </w:rPr>
        <w:t xml:space="preserve"> </w:t>
      </w:r>
      <w:proofErr w:type="spellStart"/>
      <w:r w:rsidRPr="00DF48FF">
        <w:rPr>
          <w:rFonts w:ascii="Arial" w:hAnsi="Arial" w:cs="Arial"/>
          <w:sz w:val="20"/>
          <w:szCs w:val="20"/>
        </w:rPr>
        <w:t>median</w:t>
      </w:r>
      <w:proofErr w:type="spellEnd"/>
      <w:r w:rsidRPr="00DF48FF">
        <w:rPr>
          <w:rFonts w:ascii="Arial" w:hAnsi="Arial" w:cs="Arial"/>
          <w:sz w:val="20"/>
          <w:szCs w:val="20"/>
        </w:rPr>
        <w:t xml:space="preserve"> </w:t>
      </w:r>
      <w:proofErr w:type="spellStart"/>
      <w:r w:rsidRPr="00DF48FF">
        <w:rPr>
          <w:rFonts w:ascii="Arial" w:hAnsi="Arial" w:cs="Arial"/>
          <w:sz w:val="20"/>
          <w:szCs w:val="20"/>
        </w:rPr>
        <w:t>at</w:t>
      </w:r>
      <w:proofErr w:type="spellEnd"/>
      <w:r w:rsidRPr="00DF48FF">
        <w:rPr>
          <w:rFonts w:ascii="Arial" w:hAnsi="Arial" w:cs="Arial"/>
          <w:sz w:val="20"/>
          <w:szCs w:val="20"/>
        </w:rPr>
        <w:t>-risk-</w:t>
      </w:r>
      <w:proofErr w:type="spellStart"/>
      <w:r w:rsidRPr="00DF48FF">
        <w:rPr>
          <w:rFonts w:ascii="Arial" w:hAnsi="Arial" w:cs="Arial"/>
          <w:sz w:val="20"/>
          <w:szCs w:val="20"/>
        </w:rPr>
        <w:t>of</w:t>
      </w:r>
      <w:proofErr w:type="spellEnd"/>
      <w:r w:rsidRPr="00DF48FF">
        <w:rPr>
          <w:rFonts w:ascii="Arial" w:hAnsi="Arial" w:cs="Arial"/>
          <w:sz w:val="20"/>
          <w:szCs w:val="20"/>
        </w:rPr>
        <w:t>-</w:t>
      </w:r>
      <w:proofErr w:type="spellStart"/>
      <w:r w:rsidRPr="00DF48FF">
        <w:rPr>
          <w:rFonts w:ascii="Arial" w:hAnsi="Arial" w:cs="Arial"/>
          <w:sz w:val="20"/>
          <w:szCs w:val="20"/>
        </w:rPr>
        <w:t>poverty</w:t>
      </w:r>
      <w:proofErr w:type="spellEnd"/>
      <w:r w:rsidRPr="00DF48FF">
        <w:rPr>
          <w:rFonts w:ascii="Arial" w:hAnsi="Arial" w:cs="Arial"/>
          <w:sz w:val="20"/>
          <w:szCs w:val="20"/>
        </w:rPr>
        <w:t xml:space="preserve"> gap) - rozdíl mezi mediánem příjmu osob pod hranicí chudoby a danou hranicí chudoby, vyjádřený v % z této hranice. Vyšší hodnota ukazatele značí hlubší propad osob pod hranici chudoby. Indikátor byl vypočítán pro hranici chudoby stanovenou na 60 % mediánu.</w:t>
      </w:r>
    </w:p>
    <w:p w:rsidR="002A4577" w:rsidRPr="00F83D7E" w:rsidRDefault="00DF48FF">
      <w:pPr>
        <w:pStyle w:val="Zkladntext"/>
        <w:spacing w:after="120"/>
        <w:rPr>
          <w:rFonts w:ascii="Arial" w:hAnsi="Arial" w:cs="Arial"/>
          <w:sz w:val="20"/>
          <w:szCs w:val="20"/>
        </w:rPr>
      </w:pPr>
      <w:proofErr w:type="spellStart"/>
      <w:r w:rsidRPr="00DF48FF">
        <w:rPr>
          <w:rFonts w:ascii="Arial" w:hAnsi="Arial" w:cs="Arial"/>
          <w:sz w:val="20"/>
          <w:szCs w:val="20"/>
          <w:u w:val="single"/>
        </w:rPr>
        <w:t>Gini</w:t>
      </w:r>
      <w:proofErr w:type="spellEnd"/>
      <w:r w:rsidRPr="00DF48FF">
        <w:rPr>
          <w:rFonts w:ascii="Arial" w:hAnsi="Arial" w:cs="Arial"/>
          <w:sz w:val="20"/>
          <w:szCs w:val="20"/>
          <w:u w:val="single"/>
        </w:rPr>
        <w:t xml:space="preserve"> koeficient</w:t>
      </w:r>
      <w:r w:rsidRPr="00DF48FF">
        <w:rPr>
          <w:rFonts w:ascii="Arial" w:hAnsi="Arial" w:cs="Arial"/>
          <w:sz w:val="20"/>
          <w:szCs w:val="20"/>
        </w:rPr>
        <w:t xml:space="preserve"> - počítá se z celého souboru osob, kde jsou osoby uspořádány vzestupně podle výše peněžního příjmu na </w:t>
      </w:r>
      <w:proofErr w:type="spellStart"/>
      <w:r w:rsidRPr="00DF48FF">
        <w:rPr>
          <w:rFonts w:ascii="Arial" w:hAnsi="Arial" w:cs="Arial"/>
          <w:sz w:val="20"/>
          <w:szCs w:val="20"/>
        </w:rPr>
        <w:t>modif</w:t>
      </w:r>
      <w:proofErr w:type="spellEnd"/>
      <w:r w:rsidRPr="00DF48FF">
        <w:rPr>
          <w:rFonts w:ascii="Arial" w:hAnsi="Arial" w:cs="Arial"/>
          <w:sz w:val="20"/>
          <w:szCs w:val="20"/>
        </w:rPr>
        <w:t>. SJ OECD. Vyjadřuje vztah mezi kumulativním podílem počtu osob a kumulativním podílem jejich příjmů. Pohybuje se od 0 do 1, přičemž vyšší hodnota značí větší nerovnost v</w:t>
      </w:r>
      <w:r w:rsidR="00AF2337">
        <w:rPr>
          <w:rFonts w:ascii="Arial" w:hAnsi="Arial" w:cs="Arial"/>
          <w:sz w:val="20"/>
          <w:szCs w:val="20"/>
        </w:rPr>
        <w:t> </w:t>
      </w:r>
      <w:r w:rsidRPr="00DF48FF">
        <w:rPr>
          <w:rFonts w:ascii="Arial" w:hAnsi="Arial" w:cs="Arial"/>
          <w:sz w:val="20"/>
          <w:szCs w:val="20"/>
        </w:rPr>
        <w:t xml:space="preserve">příjmech; v publikaci je uveden v procentech. </w:t>
      </w:r>
    </w:p>
    <w:p w:rsidR="002A4577" w:rsidRPr="00F83D7E" w:rsidRDefault="00DF48FF">
      <w:pPr>
        <w:pStyle w:val="Zkladntext"/>
        <w:spacing w:after="120"/>
        <w:rPr>
          <w:rFonts w:ascii="Arial" w:hAnsi="Arial" w:cs="Arial"/>
          <w:sz w:val="20"/>
          <w:szCs w:val="20"/>
        </w:rPr>
      </w:pPr>
      <w:r w:rsidRPr="00DF48FF">
        <w:rPr>
          <w:rFonts w:ascii="Arial" w:hAnsi="Arial" w:cs="Arial"/>
          <w:sz w:val="20"/>
          <w:szCs w:val="20"/>
          <w:u w:val="single"/>
        </w:rPr>
        <w:t>Tab. 20</w:t>
      </w:r>
      <w:r w:rsidRPr="00DF48FF">
        <w:rPr>
          <w:rFonts w:ascii="Arial" w:hAnsi="Arial" w:cs="Arial"/>
          <w:sz w:val="20"/>
          <w:szCs w:val="20"/>
        </w:rPr>
        <w:t xml:space="preserve"> uvádí údaje o míře materiální deprivace osob podle vybraných charakteristik osob a domácností. Za</w:t>
      </w:r>
      <w:r w:rsidR="00060A7F">
        <w:rPr>
          <w:rFonts w:ascii="Arial" w:hAnsi="Arial" w:cs="Arial"/>
          <w:sz w:val="20"/>
          <w:szCs w:val="20"/>
        </w:rPr>
        <w:t> </w:t>
      </w:r>
      <w:r w:rsidRPr="00DF48FF">
        <w:rPr>
          <w:rFonts w:ascii="Arial" w:hAnsi="Arial" w:cs="Arial"/>
          <w:sz w:val="20"/>
          <w:szCs w:val="20"/>
        </w:rPr>
        <w:t xml:space="preserve">materiálně deprivované se podle metodiky </w:t>
      </w:r>
      <w:proofErr w:type="spellStart"/>
      <w:r w:rsidRPr="00DF48FF">
        <w:rPr>
          <w:rFonts w:ascii="Arial" w:hAnsi="Arial" w:cs="Arial"/>
          <w:sz w:val="20"/>
          <w:szCs w:val="20"/>
        </w:rPr>
        <w:t>Eurosta</w:t>
      </w:r>
      <w:r w:rsidR="004454E5">
        <w:rPr>
          <w:rFonts w:ascii="Arial" w:hAnsi="Arial" w:cs="Arial"/>
          <w:sz w:val="20"/>
          <w:szCs w:val="20"/>
        </w:rPr>
        <w:t>t</w:t>
      </w:r>
      <w:r w:rsidRPr="00DF48FF">
        <w:rPr>
          <w:rFonts w:ascii="Arial" w:hAnsi="Arial" w:cs="Arial"/>
          <w:sz w:val="20"/>
          <w:szCs w:val="20"/>
        </w:rPr>
        <w:t>u</w:t>
      </w:r>
      <w:proofErr w:type="spellEnd"/>
      <w:r w:rsidRPr="00DF48FF">
        <w:rPr>
          <w:rFonts w:ascii="Arial" w:hAnsi="Arial" w:cs="Arial"/>
          <w:sz w:val="20"/>
          <w:szCs w:val="20"/>
        </w:rPr>
        <w:t xml:space="preserve"> považují osoby z domácností, které uvedly nedostatek či neuspokojivou situaci u 3 a více, resp. 4 a více položek z celkového počtu 9 stanovených. Vybrané položky pro hodnocení míry deprivace zahrnují předměty dlouhodobé spotřeby (telefon, barevný televizor, pračku, automobil) a případy, kdy domácnost má potíže při nakládání s finančními prostředky (krytí nečekaných výdajů, jeden týden dovolené ročně mimo domov, jídlo s masem nebo rybou každý druhý den, přiměřené vytápění bytu nebo domu, předcházení vzniku dluhů). Míra deprivace je počítána za všechny osoby celkem, za osoby pod hranicí chudoby a za osoby nad hranicí chudoby. </w:t>
      </w:r>
    </w:p>
    <w:p w:rsidR="002A4577" w:rsidRPr="00F83D7E" w:rsidRDefault="00DF48FF">
      <w:pPr>
        <w:jc w:val="both"/>
        <w:rPr>
          <w:rFonts w:ascii="Arial" w:hAnsi="Arial" w:cs="Arial"/>
          <w:sz w:val="20"/>
          <w:szCs w:val="20"/>
        </w:rPr>
      </w:pPr>
      <w:r w:rsidRPr="00DF48FF">
        <w:rPr>
          <w:rFonts w:ascii="Arial" w:hAnsi="Arial" w:cs="Arial"/>
          <w:sz w:val="20"/>
          <w:szCs w:val="20"/>
          <w:u w:val="single"/>
        </w:rPr>
        <w:t>Tab. 21</w:t>
      </w:r>
      <w:r w:rsidRPr="00DF48FF">
        <w:rPr>
          <w:rFonts w:ascii="Arial" w:hAnsi="Arial" w:cs="Arial"/>
          <w:sz w:val="20"/>
          <w:szCs w:val="20"/>
        </w:rPr>
        <w:t xml:space="preserve"> poskytuje přehled o míře pracovní intenzity osob podle vybraných charakteristik osob a domácností. Koeficient pracovní intenzity domácnosti je počítán za členy domácnosti ve věku 18 až 59 let s výjimkou studujících osob ve věku 18 až 24 let. Pracovní intenzita se vypočte jako podíl počtu měsíců, v nichž takto vymezené osoby byly pracující, a počtu měsíců jejich přítomnosti v domácnosti celkem. Za domácnosti s nízkou pracovní intenzitou jsou považovány takové domácnosti, které mají pracovní intenzitu nižší než 0,20. Jsou to např. domácnosti, kde žádný člen v roce 201</w:t>
      </w:r>
      <w:r w:rsidR="0014539B">
        <w:rPr>
          <w:rFonts w:ascii="Arial" w:hAnsi="Arial" w:cs="Arial"/>
          <w:sz w:val="20"/>
          <w:szCs w:val="20"/>
        </w:rPr>
        <w:t>7</w:t>
      </w:r>
      <w:r w:rsidRPr="00DF48FF">
        <w:rPr>
          <w:rFonts w:ascii="Arial" w:hAnsi="Arial" w:cs="Arial"/>
          <w:sz w:val="20"/>
          <w:szCs w:val="20"/>
        </w:rPr>
        <w:t xml:space="preserve"> nepracoval, nebo některý ze členů domácnosti pracoval, ale jen na zkrácený úvazek, či pracoval jen část roku 201</w:t>
      </w:r>
      <w:r w:rsidR="0014539B">
        <w:rPr>
          <w:rFonts w:ascii="Arial" w:hAnsi="Arial" w:cs="Arial"/>
          <w:sz w:val="20"/>
          <w:szCs w:val="20"/>
        </w:rPr>
        <w:t>7</w:t>
      </w:r>
      <w:r w:rsidRPr="00DF48FF">
        <w:rPr>
          <w:rFonts w:ascii="Arial" w:hAnsi="Arial" w:cs="Arial"/>
          <w:sz w:val="20"/>
          <w:szCs w:val="20"/>
        </w:rPr>
        <w:t xml:space="preserve">. Takto stanovená pracovní intenzita se nakonec přiřadí osobám ve věku 0 až 59 let. Míra pracovní intenzity je uváděna za osoby celkem, za osoby pod resp. nad hranicí chudoby a dále za osoby, které </w:t>
      </w:r>
      <w:proofErr w:type="gramStart"/>
      <w:r w:rsidRPr="00DF48FF">
        <w:rPr>
          <w:rFonts w:ascii="Arial" w:hAnsi="Arial" w:cs="Arial"/>
          <w:sz w:val="20"/>
          <w:szCs w:val="20"/>
        </w:rPr>
        <w:t>jsou</w:t>
      </w:r>
      <w:proofErr w:type="gramEnd"/>
      <w:r w:rsidRPr="00DF48FF">
        <w:rPr>
          <w:rFonts w:ascii="Arial" w:hAnsi="Arial" w:cs="Arial"/>
          <w:sz w:val="20"/>
          <w:szCs w:val="20"/>
        </w:rPr>
        <w:t xml:space="preserve"> resp. </w:t>
      </w:r>
      <w:proofErr w:type="gramStart"/>
      <w:r w:rsidRPr="00DF48FF">
        <w:rPr>
          <w:rFonts w:ascii="Arial" w:hAnsi="Arial" w:cs="Arial"/>
          <w:sz w:val="20"/>
          <w:szCs w:val="20"/>
        </w:rPr>
        <w:t>nejsou</w:t>
      </w:r>
      <w:proofErr w:type="gramEnd"/>
      <w:r w:rsidRPr="00DF48FF">
        <w:rPr>
          <w:rFonts w:ascii="Arial" w:hAnsi="Arial" w:cs="Arial"/>
          <w:sz w:val="20"/>
          <w:szCs w:val="20"/>
        </w:rPr>
        <w:t xml:space="preserve"> materiálně deprivované (chybí alespoň 4 z 9 položek).</w:t>
      </w:r>
    </w:p>
    <w:p w:rsidR="002A4577" w:rsidRPr="00F83D7E" w:rsidRDefault="002A4577">
      <w:pPr>
        <w:pStyle w:val="Zkladntext"/>
        <w:spacing w:after="120"/>
        <w:rPr>
          <w:rFonts w:ascii="Arial" w:hAnsi="Arial" w:cs="Arial"/>
          <w:sz w:val="20"/>
          <w:szCs w:val="20"/>
          <w:u w:val="single"/>
        </w:rPr>
      </w:pPr>
    </w:p>
    <w:p w:rsidR="00C32ACF" w:rsidRDefault="00C32ACF" w:rsidP="001B2640">
      <w:pPr>
        <w:pStyle w:val="Zkladntext"/>
        <w:tabs>
          <w:tab w:val="left" w:pos="900"/>
          <w:tab w:val="left" w:pos="2340"/>
          <w:tab w:val="left" w:pos="3420"/>
        </w:tabs>
        <w:spacing w:after="240"/>
        <w:rPr>
          <w:rFonts w:ascii="Arial" w:hAnsi="Arial" w:cs="Arial"/>
          <w:b/>
          <w:bCs/>
          <w:sz w:val="28"/>
          <w:szCs w:val="28"/>
        </w:rPr>
      </w:pPr>
    </w:p>
    <w:p w:rsidR="00C32ACF" w:rsidRDefault="00C32ACF" w:rsidP="001B2640">
      <w:pPr>
        <w:pStyle w:val="Zkladntext"/>
        <w:tabs>
          <w:tab w:val="left" w:pos="900"/>
          <w:tab w:val="left" w:pos="2340"/>
          <w:tab w:val="left" w:pos="3420"/>
        </w:tabs>
        <w:spacing w:after="240"/>
        <w:rPr>
          <w:rFonts w:ascii="Arial" w:hAnsi="Arial" w:cs="Arial"/>
          <w:b/>
          <w:bCs/>
          <w:sz w:val="28"/>
          <w:szCs w:val="28"/>
        </w:rPr>
      </w:pPr>
    </w:p>
    <w:p w:rsidR="001B2640" w:rsidRDefault="00DF48FF" w:rsidP="001B2640">
      <w:pPr>
        <w:pStyle w:val="Zkladntext"/>
        <w:tabs>
          <w:tab w:val="left" w:pos="900"/>
          <w:tab w:val="left" w:pos="2340"/>
          <w:tab w:val="left" w:pos="3420"/>
        </w:tabs>
        <w:spacing w:after="240"/>
        <w:rPr>
          <w:rFonts w:ascii="Arial" w:hAnsi="Arial" w:cs="Arial"/>
          <w:b/>
          <w:bCs/>
          <w:sz w:val="28"/>
          <w:szCs w:val="28"/>
        </w:rPr>
      </w:pPr>
      <w:r w:rsidRPr="00DF48FF">
        <w:rPr>
          <w:rFonts w:ascii="Arial" w:hAnsi="Arial" w:cs="Arial"/>
          <w:b/>
          <w:bCs/>
          <w:sz w:val="28"/>
          <w:szCs w:val="28"/>
        </w:rPr>
        <w:lastRenderedPageBreak/>
        <w:t>3. Přesnost výsledků</w:t>
      </w:r>
    </w:p>
    <w:p w:rsidR="002A4577" w:rsidRPr="00F83D7E" w:rsidRDefault="00DF48FF">
      <w:pPr>
        <w:pStyle w:val="Zkladntextodsazen"/>
        <w:spacing w:after="120"/>
        <w:ind w:left="0" w:firstLine="709"/>
        <w:rPr>
          <w:rFonts w:ascii="Arial" w:hAnsi="Arial" w:cs="Arial"/>
          <w:sz w:val="20"/>
          <w:szCs w:val="20"/>
        </w:rPr>
      </w:pPr>
      <w:r w:rsidRPr="00DF48FF">
        <w:rPr>
          <w:rFonts w:ascii="Arial" w:hAnsi="Arial" w:cs="Arial"/>
          <w:sz w:val="20"/>
          <w:szCs w:val="20"/>
        </w:rPr>
        <w:t xml:space="preserve">Při interpretaci a analýze výsledků šetření </w:t>
      </w:r>
      <w:r w:rsidRPr="00DF48FF">
        <w:rPr>
          <w:rFonts w:ascii="Arial" w:hAnsi="Arial" w:cs="Arial"/>
          <w:i/>
          <w:iCs/>
          <w:sz w:val="20"/>
          <w:szCs w:val="20"/>
        </w:rPr>
        <w:t>Životní podmínky</w:t>
      </w:r>
      <w:r w:rsidRPr="00DF48FF">
        <w:rPr>
          <w:rFonts w:ascii="Arial" w:hAnsi="Arial" w:cs="Arial"/>
          <w:sz w:val="20"/>
          <w:szCs w:val="20"/>
        </w:rPr>
        <w:t xml:space="preserve"> je třeba mít neustále na paměti, že vznikly zpracováním dat získaných z výběrového šetření. Všechny publikované údaje jsou tedy statistické odhady zatížené určitou chybou a nikoliv přesná čísla. Tato chyba má dvě složky - výběrovou a nevýběrovou.</w:t>
      </w:r>
    </w:p>
    <w:p w:rsidR="002A4577" w:rsidRPr="00F83D7E" w:rsidRDefault="00DF48FF">
      <w:pPr>
        <w:pStyle w:val="Zkladntextodsazen"/>
        <w:spacing w:after="120"/>
        <w:ind w:left="0" w:firstLine="709"/>
        <w:rPr>
          <w:rFonts w:ascii="Arial" w:hAnsi="Arial" w:cs="Arial"/>
          <w:sz w:val="20"/>
          <w:szCs w:val="20"/>
        </w:rPr>
      </w:pPr>
      <w:r w:rsidRPr="00DF48FF">
        <w:rPr>
          <w:rFonts w:ascii="Arial" w:hAnsi="Arial" w:cs="Arial"/>
          <w:sz w:val="20"/>
          <w:szCs w:val="20"/>
          <w:u w:val="single"/>
        </w:rPr>
        <w:t>Nevýběrová chyba</w:t>
      </w:r>
      <w:r w:rsidRPr="00DF48FF">
        <w:rPr>
          <w:rFonts w:ascii="Arial" w:hAnsi="Arial" w:cs="Arial"/>
          <w:sz w:val="20"/>
          <w:szCs w:val="20"/>
        </w:rPr>
        <w:t xml:space="preserve"> se vyskytuje ve všech zjišťováních, tedy i u vyčerpávajících šetření. Může vzniknout z různých příčin, nejčastěji z důvodu nedokonalé metodiky nebo jejího nepřesného dodržování, dále též chybnými postupy při zpracování materiálu, neochotou respondentů sdělovat úplné a přesné informace apod. Precizní prací ve všech fázích přípravy a průběhu šetření ji lze tedy významně ovlivnit. Posoudit vliv nevýběrové chyby na výsledné údaje je dosti obtížné, při dobré definici kontrolních ukazatelů může k jejímu vyhodnocení posloužit porovnání se strukturou údajů zjištěnou při úplných cenzech.</w:t>
      </w:r>
    </w:p>
    <w:p w:rsidR="002A4577" w:rsidRPr="00F83D7E" w:rsidRDefault="00DF48FF">
      <w:pPr>
        <w:pStyle w:val="Zkladntextodsazen"/>
        <w:spacing w:after="120"/>
        <w:ind w:left="0" w:firstLine="709"/>
        <w:rPr>
          <w:rFonts w:ascii="Arial" w:hAnsi="Arial" w:cs="Arial"/>
          <w:sz w:val="20"/>
          <w:szCs w:val="20"/>
        </w:rPr>
      </w:pPr>
      <w:r w:rsidRPr="00DF48FF">
        <w:rPr>
          <w:rFonts w:ascii="Arial" w:hAnsi="Arial" w:cs="Arial"/>
          <w:sz w:val="20"/>
          <w:szCs w:val="20"/>
          <w:u w:val="single"/>
        </w:rPr>
        <w:t>Výběrová chyba</w:t>
      </w:r>
      <w:r w:rsidRPr="00DF48FF">
        <w:rPr>
          <w:rFonts w:ascii="Arial" w:hAnsi="Arial" w:cs="Arial"/>
          <w:sz w:val="20"/>
          <w:szCs w:val="20"/>
        </w:rPr>
        <w:t xml:space="preserve"> vzniká v důsledku toho, že ze všech možných výběrů stejného rozsahu ze</w:t>
      </w:r>
      <w:r w:rsidR="00AF2337">
        <w:rPr>
          <w:rFonts w:ascii="Arial" w:hAnsi="Arial" w:cs="Arial"/>
          <w:sz w:val="20"/>
          <w:szCs w:val="20"/>
        </w:rPr>
        <w:t> </w:t>
      </w:r>
      <w:r w:rsidRPr="00DF48FF">
        <w:rPr>
          <w:rFonts w:ascii="Arial" w:hAnsi="Arial" w:cs="Arial"/>
          <w:sz w:val="20"/>
          <w:szCs w:val="20"/>
        </w:rPr>
        <w:t xml:space="preserve">základního souboru se náhodně (bez vracení) vybírá pouze jeden výběrový soubor a údaje z něho reprezentují (po přepočtech) soubor základní - jinými slovy vzniká vztažením vlastností výběrového souboru na celý základní soubor. Chybu způsobenou volbou výběrového souboru lze s určitou předem zvolenou pravděpodobností vymezit na základě teorie výběrových šetření. Její velikost, zjednodušeně řečeno, závisí na rozsahu výběrového souboru (podsouboru/vzorku domácností příslušného typu), druhu výběru, četnosti výskytu daného ukazatele ve vzorku a jeho variabilitě. </w:t>
      </w:r>
    </w:p>
    <w:p w:rsidR="002A4577" w:rsidRPr="00F83D7E" w:rsidRDefault="00DF48FF">
      <w:pPr>
        <w:pStyle w:val="Zkladntext"/>
        <w:tabs>
          <w:tab w:val="left" w:pos="720"/>
          <w:tab w:val="left" w:pos="2340"/>
          <w:tab w:val="left" w:pos="3420"/>
        </w:tabs>
        <w:spacing w:after="120"/>
        <w:rPr>
          <w:rFonts w:ascii="Arial" w:hAnsi="Arial" w:cs="Arial"/>
          <w:sz w:val="20"/>
          <w:szCs w:val="20"/>
        </w:rPr>
      </w:pPr>
      <w:r w:rsidRPr="00DF48FF">
        <w:rPr>
          <w:rFonts w:ascii="Arial" w:hAnsi="Arial" w:cs="Arial"/>
          <w:sz w:val="20"/>
          <w:szCs w:val="20"/>
        </w:rPr>
        <w:tab/>
        <w:t xml:space="preserve">Přetrvávajícím problémem je relativně malá ochota domácností se šetření účastnit, což se v případě opakovaných návštěv v rámci tzv. panelu projevuje ve stále selektivnějším okruhu typů domácností, za něž jsou k dispozici primární údaje vstupující do zpracování. Toto zkreslení je kompenzováno metodou kalibrace vah popsanou v kap. 1.5. </w:t>
      </w:r>
    </w:p>
    <w:p w:rsidR="00FB4826" w:rsidRPr="00F83D7E" w:rsidRDefault="00FB4826" w:rsidP="00FB4826">
      <w:pPr>
        <w:pStyle w:val="Zkladntext"/>
        <w:tabs>
          <w:tab w:val="left" w:pos="720"/>
          <w:tab w:val="left" w:pos="2340"/>
          <w:tab w:val="left" w:pos="3420"/>
        </w:tabs>
        <w:rPr>
          <w:rFonts w:ascii="Arial" w:hAnsi="Arial" w:cs="Arial"/>
          <w:sz w:val="20"/>
          <w:szCs w:val="20"/>
        </w:rPr>
      </w:pPr>
    </w:p>
    <w:p w:rsidR="001B2640" w:rsidRDefault="00DF48FF" w:rsidP="001B2640">
      <w:pPr>
        <w:pStyle w:val="Zkladntext"/>
        <w:tabs>
          <w:tab w:val="left" w:pos="900"/>
          <w:tab w:val="left" w:pos="2340"/>
          <w:tab w:val="left" w:pos="3420"/>
        </w:tabs>
        <w:spacing w:after="240"/>
        <w:rPr>
          <w:rFonts w:ascii="Arial" w:hAnsi="Arial" w:cs="Arial"/>
          <w:b/>
          <w:bCs/>
        </w:rPr>
      </w:pPr>
      <w:r w:rsidRPr="00DF48FF">
        <w:rPr>
          <w:rFonts w:ascii="Arial" w:hAnsi="Arial" w:cs="Arial"/>
          <w:b/>
          <w:bCs/>
        </w:rPr>
        <w:t>3.1 Odhady výběrových chyb, intervaly spolehlivosti</w:t>
      </w:r>
    </w:p>
    <w:p w:rsidR="002A4577" w:rsidRPr="00F83D7E" w:rsidRDefault="00DF48FF">
      <w:pPr>
        <w:pStyle w:val="Zkladntextodsazen"/>
        <w:spacing w:after="120"/>
        <w:ind w:left="0" w:firstLine="709"/>
        <w:rPr>
          <w:rFonts w:ascii="Arial" w:hAnsi="Arial" w:cs="Arial"/>
          <w:sz w:val="20"/>
          <w:szCs w:val="20"/>
        </w:rPr>
      </w:pPr>
      <w:r w:rsidRPr="00DF48FF">
        <w:rPr>
          <w:rFonts w:ascii="Arial" w:hAnsi="Arial" w:cs="Arial"/>
          <w:sz w:val="20"/>
          <w:szCs w:val="20"/>
        </w:rPr>
        <w:t>Velikost výběrové chyby lze vyjádřit buď bodovým odhadem rozptylu, resp. směrodatné odchylky, nebo intervalem spolehlivosti pro odhad sledovaného ukazatele. Nejčastěji se okolo odhadu konstruuje tzv. 95% interval spolehlivosti (vynásobením směrodatné odchylky odhadu kvantilem normovaného normálního rozdělení, tj. hodnotou 1,96). Jedná se o interval, ve kterém s 95% pravděpodobností leží skutečná hodnota odhadované charakteristiky. V této publikaci jsou sledovanými ukazateli buď absolutní četnosti, resp. frekvence, výskytu nějakého sledovaného znaku, nebo průměry příp. součty nějaké příjmové položky.</w:t>
      </w:r>
    </w:p>
    <w:p w:rsidR="002A4577" w:rsidRPr="00F83D7E" w:rsidRDefault="00DF48FF">
      <w:pPr>
        <w:pStyle w:val="Zkladntextodsazen"/>
        <w:spacing w:after="120"/>
        <w:ind w:left="0" w:firstLine="709"/>
        <w:rPr>
          <w:rFonts w:ascii="Arial" w:hAnsi="Arial" w:cs="Arial"/>
          <w:sz w:val="20"/>
          <w:szCs w:val="20"/>
        </w:rPr>
      </w:pPr>
      <w:r w:rsidRPr="00DF48FF">
        <w:rPr>
          <w:rFonts w:ascii="Arial" w:hAnsi="Arial" w:cs="Arial"/>
          <w:sz w:val="20"/>
          <w:szCs w:val="20"/>
        </w:rPr>
        <w:t>V teorii výběrových šetření se nejčastěji rozlišují dva typy úhrnů, a to úhrny základní a dílčí. Základní úhrny jsou primární úhrny určité statistické veličiny za celý základní soubor. Dílčí úhrny jsou vypočteny za</w:t>
      </w:r>
      <w:r w:rsidR="00AF2337">
        <w:rPr>
          <w:rFonts w:ascii="Arial" w:hAnsi="Arial" w:cs="Arial"/>
          <w:sz w:val="20"/>
          <w:szCs w:val="20"/>
        </w:rPr>
        <w:t> </w:t>
      </w:r>
      <w:r w:rsidRPr="00DF48FF">
        <w:rPr>
          <w:rFonts w:ascii="Arial" w:hAnsi="Arial" w:cs="Arial"/>
          <w:sz w:val="20"/>
          <w:szCs w:val="20"/>
        </w:rPr>
        <w:t xml:space="preserve">podsoubory, které vznikají na základě třídění (např. podle postavení osoby v čele domácnosti) </w:t>
      </w:r>
    </w:p>
    <w:p w:rsidR="002A4577" w:rsidRPr="00F83D7E" w:rsidRDefault="00DF48FF">
      <w:pPr>
        <w:pStyle w:val="Zkladntextodsazen"/>
        <w:spacing w:after="120"/>
        <w:ind w:left="0" w:firstLine="709"/>
        <w:rPr>
          <w:rFonts w:ascii="Arial" w:hAnsi="Arial" w:cs="Arial"/>
          <w:sz w:val="20"/>
          <w:szCs w:val="20"/>
        </w:rPr>
      </w:pPr>
      <w:r w:rsidRPr="00DF48FF">
        <w:rPr>
          <w:rFonts w:ascii="Arial" w:hAnsi="Arial" w:cs="Arial"/>
          <w:sz w:val="20"/>
          <w:szCs w:val="20"/>
        </w:rPr>
        <w:t>Největším problémem při stanovení výběrové chyby je výpočet směrodatné odchylky, která se pro každý typ odhadu počítá jinak. Nejsnadnějším je odhad směrodatné odchylky pro úhrn četnosti nebo pro relativní četnost výskytu určité charakteristiky v souboru (například počet domácností samostatně činných osob a jejich relativní zastoupení v celkovém počtu domácností). Pro ostatní odhady (např. úhrny příjmů, resp. z nich vytvořené průměry na domácnost nebo osobu) je nutné směrodatnou odchylku počítat přímo z individuálních dat pro každý podsoubor zvlášť. Přiložené tabulky s intervaly spolehlivosti pro vybraná základní třídění dokumentují, jak se přesnost výsledků projevuje u různých typů domácností a různých druhů příjmů.</w:t>
      </w:r>
    </w:p>
    <w:p w:rsidR="002A4577" w:rsidRPr="00F83D7E" w:rsidRDefault="002A4577">
      <w:pPr>
        <w:pStyle w:val="Zkladntextodsazen"/>
        <w:ind w:left="0" w:firstLine="709"/>
        <w:rPr>
          <w:rFonts w:ascii="Arial" w:hAnsi="Arial" w:cs="Arial"/>
          <w:sz w:val="20"/>
          <w:szCs w:val="20"/>
        </w:rPr>
      </w:pPr>
    </w:p>
    <w:p w:rsidR="001B2640" w:rsidRDefault="00DF48FF" w:rsidP="001B2640">
      <w:pPr>
        <w:pStyle w:val="Zkladntext"/>
        <w:tabs>
          <w:tab w:val="left" w:pos="900"/>
          <w:tab w:val="left" w:pos="2340"/>
          <w:tab w:val="left" w:pos="3420"/>
        </w:tabs>
        <w:spacing w:after="240"/>
        <w:rPr>
          <w:rFonts w:ascii="Arial" w:hAnsi="Arial" w:cs="Arial"/>
        </w:rPr>
      </w:pPr>
      <w:r w:rsidRPr="00DF48FF">
        <w:rPr>
          <w:rFonts w:ascii="Arial" w:hAnsi="Arial" w:cs="Arial"/>
          <w:b/>
          <w:bCs/>
        </w:rPr>
        <w:t>3.2 Intervaly spolehlivosti pro četnosti</w:t>
      </w:r>
    </w:p>
    <w:p w:rsidR="002A4577" w:rsidRPr="00F83D7E" w:rsidRDefault="00DF48FF">
      <w:pPr>
        <w:pStyle w:val="Zkladntextodsazen3"/>
        <w:spacing w:after="120"/>
        <w:rPr>
          <w:rFonts w:ascii="Arial" w:hAnsi="Arial" w:cs="Arial"/>
          <w:sz w:val="20"/>
          <w:szCs w:val="20"/>
        </w:rPr>
      </w:pPr>
      <w:r w:rsidRPr="00DF48FF">
        <w:rPr>
          <w:rFonts w:ascii="Arial" w:hAnsi="Arial" w:cs="Arial"/>
          <w:sz w:val="20"/>
          <w:szCs w:val="20"/>
        </w:rPr>
        <w:t>Následující dva výrazy jsou zjednodušenými aproximacemi přesných vzorců a lze je použít jen u</w:t>
      </w:r>
      <w:r w:rsidR="00AF2337">
        <w:rPr>
          <w:rFonts w:ascii="Arial" w:hAnsi="Arial" w:cs="Arial"/>
          <w:sz w:val="20"/>
          <w:szCs w:val="20"/>
        </w:rPr>
        <w:t> </w:t>
      </w:r>
      <w:r w:rsidRPr="00DF48FF">
        <w:rPr>
          <w:rFonts w:ascii="Arial" w:hAnsi="Arial" w:cs="Arial"/>
          <w:sz w:val="20"/>
          <w:szCs w:val="20"/>
        </w:rPr>
        <w:t>náhodných veličin s binomickým rozdělením, tj. pro odhad úhrnu četností (např. charakteristiky domácností - počet neúplných rodin). Odchylky mezi aproximacemi a přesnými vzorci potom nejsou statisticky významné. Vzorec pro dílčí úhrny však může dávat nepřesné výsledky pro malé odhady základního úhrnu (dále charakteristiky A). Z tohoto důvodu v Tab. II. nejsou vůbec uváděny hodnoty v levém horním rohu.</w:t>
      </w:r>
    </w:p>
    <w:p w:rsidR="002F09DA" w:rsidRDefault="00DF48FF">
      <w:pPr>
        <w:spacing w:after="120"/>
        <w:rPr>
          <w:rFonts w:ascii="Arial" w:hAnsi="Arial" w:cs="Arial"/>
          <w:sz w:val="20"/>
          <w:szCs w:val="20"/>
        </w:rPr>
      </w:pPr>
      <w:r w:rsidRPr="00DF48FF">
        <w:rPr>
          <w:rFonts w:ascii="Arial" w:hAnsi="Arial" w:cs="Arial"/>
          <w:sz w:val="20"/>
          <w:szCs w:val="20"/>
        </w:rPr>
        <w:t>Oba vzorce mohou být užity jako návod na dopočet intervalu spolehlivosti pro náhodné veličiny s binomickým rozdělením:</w:t>
      </w:r>
    </w:p>
    <w:p w:rsidR="00A0214C" w:rsidRDefault="00A0214C">
      <w:pPr>
        <w:spacing w:after="120"/>
        <w:rPr>
          <w:rFonts w:ascii="Arial" w:hAnsi="Arial" w:cs="Arial"/>
          <w:sz w:val="20"/>
          <w:szCs w:val="20"/>
        </w:rPr>
      </w:pPr>
    </w:p>
    <w:p w:rsidR="00A0214C" w:rsidRDefault="00A0214C">
      <w:pPr>
        <w:spacing w:after="120"/>
        <w:rPr>
          <w:rFonts w:ascii="Arial" w:hAnsi="Arial" w:cs="Arial"/>
          <w:sz w:val="20"/>
          <w:szCs w:val="20"/>
        </w:rPr>
      </w:pPr>
    </w:p>
    <w:p w:rsidR="002A4577" w:rsidRPr="00F83D7E" w:rsidRDefault="00DF48FF">
      <w:pPr>
        <w:spacing w:after="120"/>
        <w:rPr>
          <w:rFonts w:ascii="Arial" w:hAnsi="Arial" w:cs="Arial"/>
          <w:sz w:val="20"/>
          <w:szCs w:val="20"/>
        </w:rPr>
      </w:pPr>
      <w:r w:rsidRPr="00DF48FF">
        <w:rPr>
          <w:rFonts w:ascii="Arial" w:hAnsi="Arial" w:cs="Arial"/>
          <w:sz w:val="20"/>
          <w:szCs w:val="20"/>
        </w:rPr>
        <w:lastRenderedPageBreak/>
        <w:t xml:space="preserve">a) pro </w:t>
      </w:r>
      <w:r w:rsidRPr="00DF48FF">
        <w:rPr>
          <w:rFonts w:ascii="Arial" w:hAnsi="Arial" w:cs="Arial"/>
          <w:sz w:val="20"/>
          <w:szCs w:val="20"/>
          <w:u w:val="single"/>
        </w:rPr>
        <w:t>základní úhrn</w:t>
      </w:r>
    </w:p>
    <w:p w:rsidR="002A4577" w:rsidRPr="00F83D7E" w:rsidRDefault="00DF48FF">
      <w:pPr>
        <w:rPr>
          <w:rFonts w:ascii="Arial" w:hAnsi="Arial" w:cs="Arial"/>
          <w:sz w:val="20"/>
          <w:szCs w:val="20"/>
        </w:rPr>
      </w:pPr>
      <w:r w:rsidRPr="00DF48FF">
        <w:rPr>
          <w:rFonts w:ascii="Arial" w:hAnsi="Arial" w:cs="Arial"/>
          <w:sz w:val="20"/>
          <w:szCs w:val="20"/>
        </w:rPr>
        <w:t xml:space="preserve">95% interval spolehlivosti odhadu </w:t>
      </w:r>
      <w:r w:rsidRPr="00DF48FF">
        <w:rPr>
          <w:rFonts w:ascii="Arial" w:hAnsi="Arial" w:cs="Arial"/>
          <w:i/>
          <w:iCs/>
          <w:sz w:val="20"/>
          <w:szCs w:val="20"/>
        </w:rPr>
        <w:t>Y</w:t>
      </w:r>
      <w:r w:rsidRPr="00DF48FF">
        <w:rPr>
          <w:rFonts w:ascii="Arial" w:hAnsi="Arial" w:cs="Arial"/>
          <w:i/>
          <w:iCs/>
          <w:sz w:val="20"/>
          <w:szCs w:val="20"/>
          <w:vertAlign w:val="subscript"/>
        </w:rPr>
        <w:t>A</w:t>
      </w:r>
      <w:r w:rsidRPr="00DF48FF">
        <w:rPr>
          <w:rFonts w:ascii="Arial" w:hAnsi="Arial" w:cs="Arial"/>
          <w:sz w:val="20"/>
          <w:szCs w:val="20"/>
        </w:rPr>
        <w:t xml:space="preserve"> = </w:t>
      </w:r>
      <w:proofErr w:type="spellStart"/>
      <w:r w:rsidRPr="00DF48FF">
        <w:rPr>
          <w:rFonts w:ascii="Arial" w:hAnsi="Arial" w:cs="Arial"/>
          <w:i/>
          <w:iCs/>
          <w:sz w:val="20"/>
          <w:szCs w:val="20"/>
        </w:rPr>
        <w:t>y</w:t>
      </w:r>
      <w:r w:rsidRPr="00DF48FF">
        <w:rPr>
          <w:rFonts w:ascii="Arial" w:hAnsi="Arial" w:cs="Arial"/>
          <w:i/>
          <w:iCs/>
          <w:sz w:val="20"/>
          <w:szCs w:val="20"/>
          <w:vertAlign w:val="subscript"/>
        </w:rPr>
        <w:t>A</w:t>
      </w:r>
      <w:proofErr w:type="spellEnd"/>
      <w:r w:rsidRPr="00DF48FF">
        <w:rPr>
          <w:rFonts w:ascii="Arial" w:hAnsi="Arial" w:cs="Arial"/>
          <w:sz w:val="20"/>
          <w:szCs w:val="20"/>
        </w:rPr>
        <w:t xml:space="preserve"> </w:t>
      </w:r>
      <w:r w:rsidR="002A4577" w:rsidRPr="00F83D7E">
        <w:rPr>
          <w:rFonts w:ascii="Arial" w:hAnsi="Arial" w:cs="Arial"/>
          <w:position w:val="-4"/>
          <w:sz w:val="20"/>
          <w:szCs w:val="20"/>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pt" o:ole="">
            <v:imagedata r:id="rId8" o:title=""/>
          </v:shape>
          <o:OLEObject Type="Embed" ProgID="Equation.3" ShapeID="_x0000_i1025" DrawAspect="Content" ObjectID="_1618290691" r:id="rId9"/>
        </w:object>
      </w:r>
      <w:r w:rsidRPr="00DF48FF">
        <w:rPr>
          <w:rFonts w:ascii="Arial" w:hAnsi="Arial" w:cs="Arial"/>
          <w:sz w:val="20"/>
          <w:szCs w:val="20"/>
        </w:rPr>
        <w:t xml:space="preserve"> 1,96. </w:t>
      </w:r>
      <w:proofErr w:type="spellStart"/>
      <w:r w:rsidRPr="00DF48FF">
        <w:rPr>
          <w:rFonts w:ascii="Arial" w:hAnsi="Arial" w:cs="Arial"/>
          <w:i/>
          <w:iCs/>
          <w:sz w:val="20"/>
          <w:szCs w:val="20"/>
        </w:rPr>
        <w:t>s</w:t>
      </w:r>
      <w:r w:rsidRPr="00DF48FF">
        <w:rPr>
          <w:rFonts w:ascii="Arial" w:hAnsi="Arial" w:cs="Arial"/>
          <w:i/>
          <w:iCs/>
          <w:sz w:val="20"/>
          <w:szCs w:val="20"/>
          <w:vertAlign w:val="subscript"/>
        </w:rPr>
        <w:t>yA</w:t>
      </w:r>
      <w:proofErr w:type="spellEnd"/>
      <w:r w:rsidRPr="00DF48FF">
        <w:rPr>
          <w:rFonts w:ascii="Arial" w:hAnsi="Arial" w:cs="Arial"/>
          <w:sz w:val="20"/>
          <w:szCs w:val="20"/>
        </w:rPr>
        <w:t xml:space="preserve">, kde </w:t>
      </w:r>
    </w:p>
    <w:p w:rsidR="002A4577" w:rsidRPr="00F83D7E" w:rsidRDefault="00DF48FF">
      <w:pPr>
        <w:ind w:firstLine="708"/>
        <w:rPr>
          <w:rFonts w:ascii="Arial" w:hAnsi="Arial" w:cs="Arial"/>
          <w:sz w:val="20"/>
          <w:szCs w:val="20"/>
        </w:rPr>
      </w:pPr>
      <w:r w:rsidRPr="00DF48FF">
        <w:rPr>
          <w:rFonts w:ascii="Arial" w:hAnsi="Arial" w:cs="Arial"/>
          <w:sz w:val="20"/>
          <w:szCs w:val="20"/>
        </w:rPr>
        <w:tab/>
      </w:r>
      <w:proofErr w:type="spellStart"/>
      <w:r w:rsidRPr="00DF48FF">
        <w:rPr>
          <w:rFonts w:ascii="Arial" w:hAnsi="Arial" w:cs="Arial"/>
          <w:i/>
          <w:iCs/>
          <w:sz w:val="20"/>
          <w:szCs w:val="20"/>
        </w:rPr>
        <w:t>s</w:t>
      </w:r>
      <w:r w:rsidRPr="00DF48FF">
        <w:rPr>
          <w:rFonts w:ascii="Arial" w:hAnsi="Arial" w:cs="Arial"/>
          <w:i/>
          <w:iCs/>
          <w:sz w:val="20"/>
          <w:szCs w:val="20"/>
          <w:vertAlign w:val="subscript"/>
        </w:rPr>
        <w:t>yA</w:t>
      </w:r>
      <w:proofErr w:type="spellEnd"/>
      <w:r w:rsidRPr="00DF48FF">
        <w:rPr>
          <w:rFonts w:ascii="Arial" w:hAnsi="Arial" w:cs="Arial"/>
          <w:sz w:val="20"/>
          <w:szCs w:val="20"/>
        </w:rPr>
        <w:t xml:space="preserve"> </w:t>
      </w:r>
      <w:r w:rsidRPr="00DF48FF">
        <w:rPr>
          <w:rFonts w:ascii="Arial" w:hAnsi="Arial" w:cs="Arial"/>
          <w:sz w:val="20"/>
          <w:szCs w:val="20"/>
        </w:rPr>
        <w:sym w:font="Symbol" w:char="F040"/>
      </w:r>
      <w:r w:rsidRPr="00DF48FF">
        <w:rPr>
          <w:rFonts w:ascii="Arial" w:hAnsi="Arial" w:cs="Arial"/>
          <w:sz w:val="20"/>
          <w:szCs w:val="20"/>
        </w:rPr>
        <w:t xml:space="preserve"> </w:t>
      </w:r>
      <w:r w:rsidRPr="00DF48FF">
        <w:rPr>
          <w:rFonts w:ascii="Arial" w:hAnsi="Arial" w:cs="Arial"/>
          <w:i/>
          <w:iCs/>
          <w:sz w:val="20"/>
          <w:szCs w:val="20"/>
        </w:rPr>
        <w:t>N</w:t>
      </w:r>
      <w:r w:rsidRPr="00DF48FF">
        <w:rPr>
          <w:rFonts w:ascii="Arial" w:hAnsi="Arial" w:cs="Arial"/>
          <w:sz w:val="20"/>
          <w:szCs w:val="20"/>
        </w:rPr>
        <w:sym w:font="Symbol" w:char="F0D7"/>
      </w:r>
      <w:r w:rsidRPr="00DF48FF">
        <w:rPr>
          <w:rFonts w:ascii="Arial" w:hAnsi="Arial" w:cs="Arial"/>
          <w:sz w:val="20"/>
          <w:szCs w:val="20"/>
        </w:rPr>
        <w:t xml:space="preserve"> </w:t>
      </w:r>
      <w:r w:rsidR="002A4577" w:rsidRPr="00F83D7E">
        <w:rPr>
          <w:rFonts w:ascii="Arial" w:hAnsi="Arial" w:cs="Arial"/>
          <w:position w:val="-30"/>
          <w:sz w:val="20"/>
          <w:szCs w:val="20"/>
        </w:rPr>
        <w:object w:dxaOrig="2160" w:dyaOrig="1020">
          <v:shape id="_x0000_i1026" type="#_x0000_t75" style="width:108pt;height:51pt" o:ole="">
            <v:imagedata r:id="rId10" o:title=""/>
          </v:shape>
          <o:OLEObject Type="Embed" ProgID="Equation.3" ShapeID="_x0000_i1026" DrawAspect="Content" ObjectID="_1618290692" r:id="rId11"/>
        </w:object>
      </w:r>
      <w:r w:rsidRPr="00DF48FF">
        <w:rPr>
          <w:rFonts w:ascii="Arial" w:hAnsi="Arial" w:cs="Arial"/>
          <w:sz w:val="20"/>
          <w:szCs w:val="20"/>
        </w:rPr>
        <w:tab/>
      </w:r>
      <w:r w:rsidRPr="00DF48FF">
        <w:rPr>
          <w:rFonts w:ascii="Arial" w:hAnsi="Arial" w:cs="Arial"/>
          <w:sz w:val="20"/>
          <w:szCs w:val="20"/>
        </w:rPr>
        <w:tab/>
      </w:r>
      <w:r w:rsidRPr="00DF48FF">
        <w:rPr>
          <w:rFonts w:ascii="Arial" w:hAnsi="Arial" w:cs="Arial"/>
          <w:sz w:val="20"/>
          <w:szCs w:val="20"/>
        </w:rPr>
        <w:tab/>
      </w:r>
      <w:r w:rsidRPr="00DF48FF">
        <w:rPr>
          <w:rFonts w:ascii="Arial" w:hAnsi="Arial" w:cs="Arial"/>
          <w:sz w:val="20"/>
          <w:szCs w:val="20"/>
        </w:rPr>
        <w:tab/>
      </w:r>
      <w:r w:rsidRPr="00DF48FF">
        <w:rPr>
          <w:rFonts w:ascii="Arial" w:hAnsi="Arial" w:cs="Arial"/>
          <w:sz w:val="20"/>
          <w:szCs w:val="20"/>
        </w:rPr>
        <w:tab/>
        <w:t>(1a)</w:t>
      </w:r>
    </w:p>
    <w:p w:rsidR="002A4577" w:rsidRPr="00F83D7E" w:rsidRDefault="00DF48FF">
      <w:pPr>
        <w:rPr>
          <w:rFonts w:ascii="Arial" w:hAnsi="Arial" w:cs="Arial"/>
          <w:sz w:val="20"/>
          <w:szCs w:val="20"/>
        </w:rPr>
      </w:pPr>
      <w:r w:rsidRPr="00DF48FF">
        <w:rPr>
          <w:rFonts w:ascii="Arial" w:hAnsi="Arial" w:cs="Arial"/>
          <w:sz w:val="20"/>
          <w:szCs w:val="20"/>
        </w:rPr>
        <w:tab/>
      </w:r>
      <w:r w:rsidRPr="00DF48FF">
        <w:rPr>
          <w:rFonts w:ascii="Arial" w:hAnsi="Arial" w:cs="Arial"/>
          <w:i/>
          <w:iCs/>
          <w:sz w:val="20"/>
          <w:szCs w:val="20"/>
        </w:rPr>
        <w:t>N</w:t>
      </w:r>
      <w:r w:rsidRPr="00DF48FF">
        <w:rPr>
          <w:rFonts w:ascii="Arial" w:hAnsi="Arial" w:cs="Arial"/>
          <w:sz w:val="20"/>
          <w:szCs w:val="20"/>
        </w:rPr>
        <w:tab/>
        <w:t>je velikost základního souboru (celá populace),</w:t>
      </w:r>
    </w:p>
    <w:p w:rsidR="002A4577" w:rsidRPr="00F83D7E" w:rsidRDefault="00DF48FF">
      <w:pPr>
        <w:rPr>
          <w:rFonts w:ascii="Arial" w:hAnsi="Arial" w:cs="Arial"/>
          <w:sz w:val="20"/>
          <w:szCs w:val="20"/>
        </w:rPr>
      </w:pPr>
      <w:r w:rsidRPr="00DF48FF">
        <w:rPr>
          <w:rFonts w:ascii="Arial" w:hAnsi="Arial" w:cs="Arial"/>
          <w:sz w:val="20"/>
          <w:szCs w:val="20"/>
        </w:rPr>
        <w:tab/>
      </w:r>
      <w:r w:rsidRPr="00DF48FF">
        <w:rPr>
          <w:rFonts w:ascii="Arial" w:hAnsi="Arial" w:cs="Arial"/>
          <w:i/>
          <w:iCs/>
          <w:sz w:val="20"/>
          <w:szCs w:val="20"/>
        </w:rPr>
        <w:t>f</w:t>
      </w:r>
      <w:r w:rsidRPr="00DF48FF">
        <w:rPr>
          <w:rFonts w:ascii="Arial" w:hAnsi="Arial" w:cs="Arial"/>
          <w:sz w:val="20"/>
          <w:szCs w:val="20"/>
        </w:rPr>
        <w:tab/>
        <w:t>je příslušná relativní velikost výběrového souboru,</w:t>
      </w:r>
    </w:p>
    <w:p w:rsidR="002A4577" w:rsidRPr="00F83D7E" w:rsidRDefault="00DF48FF">
      <w:pPr>
        <w:spacing w:after="120"/>
        <w:ind w:firstLine="709"/>
        <w:rPr>
          <w:rFonts w:ascii="Arial" w:hAnsi="Arial" w:cs="Arial"/>
          <w:sz w:val="20"/>
          <w:szCs w:val="20"/>
        </w:rPr>
      </w:pPr>
      <w:proofErr w:type="spellStart"/>
      <w:r w:rsidRPr="00DF48FF">
        <w:rPr>
          <w:rFonts w:ascii="Arial" w:hAnsi="Arial" w:cs="Arial"/>
          <w:i/>
          <w:iCs/>
          <w:sz w:val="20"/>
          <w:szCs w:val="20"/>
        </w:rPr>
        <w:t>y</w:t>
      </w:r>
      <w:r w:rsidRPr="00DF48FF">
        <w:rPr>
          <w:rFonts w:ascii="Arial" w:hAnsi="Arial" w:cs="Arial"/>
          <w:i/>
          <w:iCs/>
          <w:sz w:val="20"/>
          <w:szCs w:val="20"/>
          <w:vertAlign w:val="subscript"/>
        </w:rPr>
        <w:t>A</w:t>
      </w:r>
      <w:proofErr w:type="spellEnd"/>
      <w:r w:rsidRPr="00DF48FF">
        <w:rPr>
          <w:rFonts w:ascii="Arial" w:hAnsi="Arial" w:cs="Arial"/>
          <w:sz w:val="20"/>
          <w:szCs w:val="20"/>
        </w:rPr>
        <w:t xml:space="preserve">   </w:t>
      </w:r>
      <w:r w:rsidRPr="00DF48FF">
        <w:rPr>
          <w:rFonts w:ascii="Arial" w:hAnsi="Arial" w:cs="Arial"/>
          <w:sz w:val="20"/>
          <w:szCs w:val="20"/>
        </w:rPr>
        <w:tab/>
        <w:t xml:space="preserve">je odhad úhrnu </w:t>
      </w:r>
      <w:r w:rsidRPr="00DF48FF">
        <w:rPr>
          <w:rFonts w:ascii="Arial" w:hAnsi="Arial" w:cs="Arial"/>
          <w:i/>
          <w:iCs/>
          <w:sz w:val="20"/>
          <w:szCs w:val="20"/>
        </w:rPr>
        <w:t>Y</w:t>
      </w:r>
      <w:r w:rsidRPr="00DF48FF">
        <w:rPr>
          <w:rFonts w:ascii="Arial" w:hAnsi="Arial" w:cs="Arial"/>
          <w:i/>
          <w:iCs/>
          <w:sz w:val="20"/>
          <w:szCs w:val="20"/>
          <w:vertAlign w:val="subscript"/>
        </w:rPr>
        <w:t>A</w:t>
      </w:r>
      <w:r w:rsidRPr="00DF48FF">
        <w:rPr>
          <w:rFonts w:ascii="Arial" w:hAnsi="Arial" w:cs="Arial"/>
          <w:sz w:val="20"/>
          <w:szCs w:val="20"/>
        </w:rPr>
        <w:t xml:space="preserve"> charakteristiky A v zákl. </w:t>
      </w:r>
      <w:proofErr w:type="gramStart"/>
      <w:r w:rsidRPr="00DF48FF">
        <w:rPr>
          <w:rFonts w:ascii="Arial" w:hAnsi="Arial" w:cs="Arial"/>
          <w:sz w:val="20"/>
          <w:szCs w:val="20"/>
        </w:rPr>
        <w:t>souboru</w:t>
      </w:r>
      <w:proofErr w:type="gramEnd"/>
      <w:r w:rsidRPr="00DF48FF">
        <w:rPr>
          <w:rFonts w:ascii="Arial" w:hAnsi="Arial" w:cs="Arial"/>
          <w:sz w:val="20"/>
          <w:szCs w:val="20"/>
        </w:rPr>
        <w:t>.</w:t>
      </w:r>
    </w:p>
    <w:p w:rsidR="002A4577" w:rsidRPr="00F83D7E" w:rsidRDefault="00DF48FF">
      <w:pPr>
        <w:spacing w:after="120"/>
        <w:ind w:left="720" w:hanging="720"/>
        <w:rPr>
          <w:rFonts w:ascii="Arial" w:hAnsi="Arial" w:cs="Arial"/>
          <w:sz w:val="20"/>
          <w:szCs w:val="20"/>
        </w:rPr>
      </w:pPr>
      <w:r w:rsidRPr="00DF48FF">
        <w:rPr>
          <w:rFonts w:ascii="Arial" w:hAnsi="Arial" w:cs="Arial"/>
          <w:sz w:val="20"/>
          <w:szCs w:val="20"/>
        </w:rPr>
        <w:t>Pozn.:</w:t>
      </w:r>
      <w:r w:rsidRPr="00DF48FF">
        <w:rPr>
          <w:rFonts w:ascii="Arial" w:hAnsi="Arial" w:cs="Arial"/>
          <w:sz w:val="20"/>
          <w:szCs w:val="20"/>
        </w:rPr>
        <w:tab/>
        <w:t xml:space="preserve">V případě, že se odhaduje interval spolehlivosti pro relativní četnost, nahradí se podíl </w:t>
      </w:r>
      <w:r w:rsidR="002A4577" w:rsidRPr="00F83D7E">
        <w:rPr>
          <w:rFonts w:ascii="Arial" w:hAnsi="Arial" w:cs="Arial"/>
          <w:position w:val="-24"/>
          <w:sz w:val="20"/>
          <w:szCs w:val="20"/>
        </w:rPr>
        <w:object w:dxaOrig="400" w:dyaOrig="639">
          <v:shape id="_x0000_i1027" type="#_x0000_t75" style="width:19.5pt;height:32.25pt" o:ole="">
            <v:imagedata r:id="rId12" o:title=""/>
          </v:shape>
          <o:OLEObject Type="Embed" ProgID="Equation.3" ShapeID="_x0000_i1027" DrawAspect="Content" ObjectID="_1618290693" r:id="rId13"/>
        </w:object>
      </w:r>
      <w:r w:rsidRPr="00DF48FF">
        <w:rPr>
          <w:rFonts w:ascii="Arial" w:hAnsi="Arial" w:cs="Arial"/>
          <w:sz w:val="20"/>
          <w:szCs w:val="20"/>
        </w:rPr>
        <w:t xml:space="preserve"> v čitateli zlomku touto relativní četností.</w:t>
      </w:r>
    </w:p>
    <w:p w:rsidR="002A4577" w:rsidRPr="00F83D7E" w:rsidRDefault="00DF48FF">
      <w:pPr>
        <w:spacing w:after="120"/>
        <w:rPr>
          <w:rFonts w:ascii="Arial" w:hAnsi="Arial" w:cs="Arial"/>
          <w:sz w:val="20"/>
          <w:szCs w:val="20"/>
        </w:rPr>
      </w:pPr>
      <w:r w:rsidRPr="00DF48FF">
        <w:rPr>
          <w:rFonts w:ascii="Arial" w:hAnsi="Arial" w:cs="Arial"/>
          <w:sz w:val="20"/>
          <w:szCs w:val="20"/>
        </w:rPr>
        <w:t xml:space="preserve">b) pro </w:t>
      </w:r>
      <w:r w:rsidRPr="00DF48FF">
        <w:rPr>
          <w:rFonts w:ascii="Arial" w:hAnsi="Arial" w:cs="Arial"/>
          <w:sz w:val="20"/>
          <w:szCs w:val="20"/>
          <w:u w:val="single"/>
        </w:rPr>
        <w:t>dílčí úhrn</w:t>
      </w:r>
      <w:r w:rsidRPr="00DF48FF">
        <w:rPr>
          <w:rFonts w:ascii="Arial" w:hAnsi="Arial" w:cs="Arial"/>
          <w:b/>
          <w:bCs/>
          <w:sz w:val="20"/>
          <w:szCs w:val="20"/>
        </w:rPr>
        <w:t xml:space="preserve"> </w:t>
      </w:r>
      <w:r w:rsidRPr="00DF48FF">
        <w:rPr>
          <w:rFonts w:ascii="Arial" w:hAnsi="Arial" w:cs="Arial"/>
          <w:sz w:val="20"/>
          <w:szCs w:val="20"/>
        </w:rPr>
        <w:t>(zkoumané charakteristiky B na množině A)</w:t>
      </w:r>
    </w:p>
    <w:p w:rsidR="002A4577" w:rsidRPr="00F83D7E" w:rsidRDefault="00DF48FF">
      <w:pPr>
        <w:rPr>
          <w:rFonts w:ascii="Arial" w:hAnsi="Arial" w:cs="Arial"/>
          <w:sz w:val="20"/>
          <w:szCs w:val="20"/>
        </w:rPr>
      </w:pPr>
      <w:r w:rsidRPr="00DF48FF">
        <w:rPr>
          <w:rFonts w:ascii="Arial" w:hAnsi="Arial" w:cs="Arial"/>
          <w:sz w:val="20"/>
          <w:szCs w:val="20"/>
        </w:rPr>
        <w:t xml:space="preserve">95% interval spolehlivosti odhadu </w:t>
      </w:r>
      <w:r w:rsidRPr="00DF48FF">
        <w:rPr>
          <w:rFonts w:ascii="Arial" w:hAnsi="Arial" w:cs="Arial"/>
          <w:i/>
          <w:iCs/>
          <w:sz w:val="20"/>
          <w:szCs w:val="20"/>
        </w:rPr>
        <w:t>Y</w:t>
      </w:r>
      <w:r w:rsidRPr="00DF48FF">
        <w:rPr>
          <w:rFonts w:ascii="Arial" w:hAnsi="Arial" w:cs="Arial"/>
          <w:i/>
          <w:iCs/>
          <w:sz w:val="20"/>
          <w:szCs w:val="20"/>
          <w:vertAlign w:val="subscript"/>
        </w:rPr>
        <w:t>AB</w:t>
      </w:r>
      <w:r w:rsidRPr="00DF48FF">
        <w:rPr>
          <w:rFonts w:ascii="Arial" w:hAnsi="Arial" w:cs="Arial"/>
          <w:sz w:val="20"/>
          <w:szCs w:val="20"/>
        </w:rPr>
        <w:t xml:space="preserve"> = </w:t>
      </w:r>
      <w:proofErr w:type="spellStart"/>
      <w:r w:rsidRPr="00DF48FF">
        <w:rPr>
          <w:rFonts w:ascii="Arial" w:hAnsi="Arial" w:cs="Arial"/>
          <w:i/>
          <w:iCs/>
          <w:sz w:val="20"/>
          <w:szCs w:val="20"/>
        </w:rPr>
        <w:t>y</w:t>
      </w:r>
      <w:r w:rsidRPr="00DF48FF">
        <w:rPr>
          <w:rFonts w:ascii="Arial" w:hAnsi="Arial" w:cs="Arial"/>
          <w:i/>
          <w:iCs/>
          <w:sz w:val="20"/>
          <w:szCs w:val="20"/>
          <w:vertAlign w:val="subscript"/>
        </w:rPr>
        <w:t>AB</w:t>
      </w:r>
      <w:proofErr w:type="spellEnd"/>
      <w:r w:rsidRPr="00DF48FF">
        <w:rPr>
          <w:rFonts w:ascii="Arial" w:hAnsi="Arial" w:cs="Arial"/>
          <w:sz w:val="20"/>
          <w:szCs w:val="20"/>
        </w:rPr>
        <w:t xml:space="preserve"> </w:t>
      </w:r>
      <w:r w:rsidR="002A4577" w:rsidRPr="00F83D7E">
        <w:rPr>
          <w:rFonts w:ascii="Arial" w:hAnsi="Arial" w:cs="Arial"/>
          <w:position w:val="-4"/>
          <w:sz w:val="20"/>
          <w:szCs w:val="20"/>
        </w:rPr>
        <w:object w:dxaOrig="220" w:dyaOrig="240">
          <v:shape id="_x0000_i1028" type="#_x0000_t75" style="width:11.25pt;height:12pt" o:ole="">
            <v:imagedata r:id="rId8" o:title=""/>
          </v:shape>
          <o:OLEObject Type="Embed" ProgID="Equation.3" ShapeID="_x0000_i1028" DrawAspect="Content" ObjectID="_1618290694" r:id="rId14"/>
        </w:object>
      </w:r>
      <w:r w:rsidRPr="00DF48FF">
        <w:rPr>
          <w:rFonts w:ascii="Arial" w:hAnsi="Arial" w:cs="Arial"/>
          <w:sz w:val="20"/>
          <w:szCs w:val="20"/>
        </w:rPr>
        <w:t xml:space="preserve"> 1,96. </w:t>
      </w:r>
      <w:proofErr w:type="spellStart"/>
      <w:r w:rsidRPr="00DF48FF">
        <w:rPr>
          <w:rFonts w:ascii="Arial" w:hAnsi="Arial" w:cs="Arial"/>
          <w:i/>
          <w:iCs/>
          <w:sz w:val="20"/>
          <w:szCs w:val="20"/>
        </w:rPr>
        <w:t>s</w:t>
      </w:r>
      <w:r w:rsidRPr="00DF48FF">
        <w:rPr>
          <w:rFonts w:ascii="Arial" w:hAnsi="Arial" w:cs="Arial"/>
          <w:i/>
          <w:iCs/>
          <w:sz w:val="20"/>
          <w:szCs w:val="20"/>
          <w:vertAlign w:val="subscript"/>
        </w:rPr>
        <w:t>yAB</w:t>
      </w:r>
      <w:proofErr w:type="spellEnd"/>
      <w:r w:rsidRPr="00DF48FF">
        <w:rPr>
          <w:rFonts w:ascii="Arial" w:hAnsi="Arial" w:cs="Arial"/>
          <w:sz w:val="20"/>
          <w:szCs w:val="20"/>
        </w:rPr>
        <w:t xml:space="preserve">, kde </w:t>
      </w:r>
    </w:p>
    <w:p w:rsidR="002A4577" w:rsidRPr="00F83D7E" w:rsidRDefault="00DF48FF">
      <w:pPr>
        <w:rPr>
          <w:rFonts w:ascii="Arial" w:hAnsi="Arial" w:cs="Arial"/>
          <w:sz w:val="20"/>
          <w:szCs w:val="20"/>
        </w:rPr>
      </w:pPr>
      <w:r w:rsidRPr="00DF48FF">
        <w:rPr>
          <w:rFonts w:ascii="Arial" w:hAnsi="Arial" w:cs="Arial"/>
          <w:sz w:val="20"/>
          <w:szCs w:val="20"/>
        </w:rPr>
        <w:tab/>
      </w:r>
      <w:r w:rsidRPr="00DF48FF">
        <w:rPr>
          <w:rFonts w:ascii="Arial" w:hAnsi="Arial" w:cs="Arial"/>
          <w:sz w:val="20"/>
          <w:szCs w:val="20"/>
        </w:rPr>
        <w:tab/>
      </w:r>
      <w:proofErr w:type="spellStart"/>
      <w:r w:rsidRPr="00DF48FF">
        <w:rPr>
          <w:rFonts w:ascii="Arial" w:hAnsi="Arial" w:cs="Arial"/>
          <w:i/>
          <w:iCs/>
          <w:sz w:val="20"/>
          <w:szCs w:val="20"/>
        </w:rPr>
        <w:t>s</w:t>
      </w:r>
      <w:r w:rsidRPr="00DF48FF">
        <w:rPr>
          <w:rFonts w:ascii="Arial" w:hAnsi="Arial" w:cs="Arial"/>
          <w:i/>
          <w:iCs/>
          <w:sz w:val="20"/>
          <w:szCs w:val="20"/>
          <w:vertAlign w:val="subscript"/>
        </w:rPr>
        <w:t>yAB</w:t>
      </w:r>
      <w:proofErr w:type="spellEnd"/>
      <w:r w:rsidRPr="00DF48FF">
        <w:rPr>
          <w:rFonts w:ascii="Arial" w:hAnsi="Arial" w:cs="Arial"/>
          <w:sz w:val="20"/>
          <w:szCs w:val="20"/>
        </w:rPr>
        <w:t xml:space="preserve"> </w:t>
      </w:r>
      <w:r w:rsidRPr="00DF48FF">
        <w:rPr>
          <w:rFonts w:ascii="Arial" w:hAnsi="Arial" w:cs="Arial"/>
          <w:sz w:val="20"/>
          <w:szCs w:val="20"/>
        </w:rPr>
        <w:sym w:font="Symbol" w:char="F040"/>
      </w:r>
      <w:r w:rsidRPr="00DF48FF">
        <w:rPr>
          <w:rFonts w:ascii="Arial" w:hAnsi="Arial" w:cs="Arial"/>
          <w:sz w:val="20"/>
          <w:szCs w:val="20"/>
        </w:rPr>
        <w:t xml:space="preserve"> </w:t>
      </w:r>
      <w:proofErr w:type="spellStart"/>
      <w:r w:rsidRPr="00DF48FF">
        <w:rPr>
          <w:rFonts w:ascii="Arial" w:hAnsi="Arial" w:cs="Arial"/>
          <w:i/>
          <w:iCs/>
          <w:sz w:val="20"/>
          <w:szCs w:val="20"/>
        </w:rPr>
        <w:t>y</w:t>
      </w:r>
      <w:r w:rsidRPr="00DF48FF">
        <w:rPr>
          <w:rFonts w:ascii="Arial" w:hAnsi="Arial" w:cs="Arial"/>
          <w:i/>
          <w:iCs/>
          <w:sz w:val="20"/>
          <w:szCs w:val="20"/>
          <w:vertAlign w:val="subscript"/>
        </w:rPr>
        <w:t>A</w:t>
      </w:r>
      <w:proofErr w:type="spellEnd"/>
      <w:r w:rsidRPr="00DF48FF">
        <w:rPr>
          <w:rFonts w:ascii="Arial" w:hAnsi="Arial" w:cs="Arial"/>
          <w:sz w:val="20"/>
          <w:szCs w:val="20"/>
        </w:rPr>
        <w:sym w:font="Symbol" w:char="F0D7"/>
      </w:r>
      <w:r w:rsidRPr="00DF48FF">
        <w:rPr>
          <w:rFonts w:ascii="Arial" w:hAnsi="Arial" w:cs="Arial"/>
          <w:sz w:val="20"/>
          <w:szCs w:val="20"/>
        </w:rPr>
        <w:t xml:space="preserve"> </w:t>
      </w:r>
      <w:r w:rsidR="002A4577" w:rsidRPr="00F83D7E">
        <w:rPr>
          <w:rFonts w:ascii="Arial" w:hAnsi="Arial" w:cs="Arial"/>
          <w:position w:val="-32"/>
          <w:sz w:val="20"/>
          <w:szCs w:val="20"/>
        </w:rPr>
        <w:object w:dxaOrig="2400" w:dyaOrig="1120">
          <v:shape id="_x0000_i1029" type="#_x0000_t75" style="width:120pt;height:56.25pt" o:ole="">
            <v:imagedata r:id="rId15" o:title=""/>
          </v:shape>
          <o:OLEObject Type="Embed" ProgID="Equation.3" ShapeID="_x0000_i1029" DrawAspect="Content" ObjectID="_1618290695" r:id="rId16"/>
        </w:object>
      </w:r>
      <w:r w:rsidRPr="00DF48FF">
        <w:rPr>
          <w:rFonts w:ascii="Arial" w:hAnsi="Arial" w:cs="Arial"/>
          <w:sz w:val="20"/>
          <w:szCs w:val="20"/>
        </w:rPr>
        <w:tab/>
      </w:r>
      <w:r w:rsidRPr="00DF48FF">
        <w:rPr>
          <w:rFonts w:ascii="Arial" w:hAnsi="Arial" w:cs="Arial"/>
          <w:sz w:val="20"/>
          <w:szCs w:val="20"/>
        </w:rPr>
        <w:tab/>
      </w:r>
      <w:r w:rsidRPr="00DF48FF">
        <w:rPr>
          <w:rFonts w:ascii="Arial" w:hAnsi="Arial" w:cs="Arial"/>
          <w:sz w:val="20"/>
          <w:szCs w:val="20"/>
        </w:rPr>
        <w:tab/>
      </w:r>
      <w:r w:rsidRPr="00DF48FF">
        <w:rPr>
          <w:rFonts w:ascii="Arial" w:hAnsi="Arial" w:cs="Arial"/>
          <w:sz w:val="20"/>
          <w:szCs w:val="20"/>
        </w:rPr>
        <w:tab/>
      </w:r>
      <w:r w:rsidRPr="00DF48FF">
        <w:rPr>
          <w:rFonts w:ascii="Arial" w:hAnsi="Arial" w:cs="Arial"/>
          <w:sz w:val="20"/>
          <w:szCs w:val="20"/>
        </w:rPr>
        <w:tab/>
        <w:t>(1b)</w:t>
      </w:r>
    </w:p>
    <w:p w:rsidR="002A4577" w:rsidRPr="00F83D7E" w:rsidRDefault="00DF48FF">
      <w:pPr>
        <w:rPr>
          <w:rFonts w:ascii="Arial" w:hAnsi="Arial" w:cs="Arial"/>
          <w:sz w:val="20"/>
          <w:szCs w:val="20"/>
        </w:rPr>
      </w:pPr>
      <w:r w:rsidRPr="00DF48FF">
        <w:rPr>
          <w:rFonts w:ascii="Arial" w:hAnsi="Arial" w:cs="Arial"/>
          <w:sz w:val="20"/>
          <w:szCs w:val="20"/>
        </w:rPr>
        <w:tab/>
      </w:r>
      <w:proofErr w:type="spellStart"/>
      <w:r w:rsidRPr="00DF48FF">
        <w:rPr>
          <w:rFonts w:ascii="Arial" w:hAnsi="Arial" w:cs="Arial"/>
          <w:i/>
          <w:iCs/>
          <w:sz w:val="20"/>
          <w:szCs w:val="20"/>
        </w:rPr>
        <w:t>y</w:t>
      </w:r>
      <w:r w:rsidRPr="00DF48FF">
        <w:rPr>
          <w:rFonts w:ascii="Arial" w:hAnsi="Arial" w:cs="Arial"/>
          <w:i/>
          <w:iCs/>
          <w:sz w:val="20"/>
          <w:szCs w:val="20"/>
          <w:vertAlign w:val="subscript"/>
        </w:rPr>
        <w:t>A</w:t>
      </w:r>
      <w:proofErr w:type="spellEnd"/>
      <w:r w:rsidRPr="00DF48FF">
        <w:rPr>
          <w:rFonts w:ascii="Arial" w:hAnsi="Arial" w:cs="Arial"/>
          <w:sz w:val="20"/>
          <w:szCs w:val="20"/>
        </w:rPr>
        <w:tab/>
        <w:t>je odhad úhrnu charakteristiky A v základním souboru,</w:t>
      </w:r>
    </w:p>
    <w:p w:rsidR="002A4577" w:rsidRPr="00F83D7E" w:rsidRDefault="00DF48FF">
      <w:pPr>
        <w:rPr>
          <w:rFonts w:ascii="Arial" w:hAnsi="Arial" w:cs="Arial"/>
          <w:sz w:val="20"/>
          <w:szCs w:val="20"/>
        </w:rPr>
      </w:pPr>
      <w:r w:rsidRPr="00DF48FF">
        <w:rPr>
          <w:rFonts w:ascii="Arial" w:hAnsi="Arial" w:cs="Arial"/>
          <w:sz w:val="20"/>
          <w:szCs w:val="20"/>
        </w:rPr>
        <w:tab/>
      </w:r>
      <w:r w:rsidRPr="00DF48FF">
        <w:rPr>
          <w:rFonts w:ascii="Arial" w:hAnsi="Arial" w:cs="Arial"/>
          <w:i/>
          <w:iCs/>
          <w:sz w:val="20"/>
          <w:szCs w:val="20"/>
        </w:rPr>
        <w:t>f</w:t>
      </w:r>
      <w:r w:rsidRPr="00DF48FF">
        <w:rPr>
          <w:rFonts w:ascii="Arial" w:hAnsi="Arial" w:cs="Arial"/>
          <w:sz w:val="20"/>
          <w:szCs w:val="20"/>
        </w:rPr>
        <w:tab/>
        <w:t>je příslušná relativní velikost výběrového souboru,</w:t>
      </w:r>
    </w:p>
    <w:p w:rsidR="002A4577" w:rsidRPr="00F83D7E" w:rsidRDefault="00DF48FF">
      <w:pPr>
        <w:spacing w:after="120"/>
        <w:ind w:firstLine="709"/>
        <w:rPr>
          <w:rFonts w:ascii="Arial" w:hAnsi="Arial" w:cs="Arial"/>
          <w:sz w:val="20"/>
          <w:szCs w:val="20"/>
        </w:rPr>
      </w:pPr>
      <w:proofErr w:type="spellStart"/>
      <w:r w:rsidRPr="00DF48FF">
        <w:rPr>
          <w:rFonts w:ascii="Arial" w:hAnsi="Arial" w:cs="Arial"/>
          <w:i/>
          <w:iCs/>
          <w:sz w:val="20"/>
          <w:szCs w:val="20"/>
        </w:rPr>
        <w:t>y</w:t>
      </w:r>
      <w:r w:rsidRPr="00DF48FF">
        <w:rPr>
          <w:rFonts w:ascii="Arial" w:hAnsi="Arial" w:cs="Arial"/>
          <w:i/>
          <w:iCs/>
          <w:sz w:val="20"/>
          <w:szCs w:val="20"/>
          <w:vertAlign w:val="subscript"/>
        </w:rPr>
        <w:t>AB</w:t>
      </w:r>
      <w:proofErr w:type="spellEnd"/>
      <w:r w:rsidRPr="00DF48FF">
        <w:rPr>
          <w:rFonts w:ascii="Arial" w:hAnsi="Arial" w:cs="Arial"/>
          <w:sz w:val="20"/>
          <w:szCs w:val="20"/>
        </w:rPr>
        <w:t xml:space="preserve"> </w:t>
      </w:r>
      <w:r w:rsidRPr="00DF48FF">
        <w:rPr>
          <w:rFonts w:ascii="Arial" w:hAnsi="Arial" w:cs="Arial"/>
          <w:sz w:val="20"/>
          <w:szCs w:val="20"/>
        </w:rPr>
        <w:tab/>
        <w:t xml:space="preserve">je odhad úhrnu </w:t>
      </w:r>
      <w:r w:rsidRPr="00DF48FF">
        <w:rPr>
          <w:rFonts w:ascii="Arial" w:hAnsi="Arial" w:cs="Arial"/>
          <w:i/>
          <w:iCs/>
          <w:sz w:val="20"/>
          <w:szCs w:val="20"/>
        </w:rPr>
        <w:t>Y</w:t>
      </w:r>
      <w:r w:rsidRPr="00DF48FF">
        <w:rPr>
          <w:rFonts w:ascii="Arial" w:hAnsi="Arial" w:cs="Arial"/>
          <w:i/>
          <w:iCs/>
          <w:sz w:val="20"/>
          <w:szCs w:val="20"/>
          <w:vertAlign w:val="subscript"/>
        </w:rPr>
        <w:t>AB</w:t>
      </w:r>
      <w:r w:rsidRPr="00DF48FF">
        <w:rPr>
          <w:rFonts w:ascii="Arial" w:hAnsi="Arial" w:cs="Arial"/>
          <w:sz w:val="20"/>
          <w:szCs w:val="20"/>
          <w:vertAlign w:val="subscript"/>
        </w:rPr>
        <w:t xml:space="preserve"> </w:t>
      </w:r>
      <w:r w:rsidRPr="00DF48FF">
        <w:rPr>
          <w:rFonts w:ascii="Arial" w:hAnsi="Arial" w:cs="Arial"/>
          <w:sz w:val="20"/>
          <w:szCs w:val="20"/>
        </w:rPr>
        <w:t>charakteristiky B na množině A.</w:t>
      </w:r>
    </w:p>
    <w:p w:rsidR="00DF48FF" w:rsidRDefault="00DF48FF" w:rsidP="00DF48FF">
      <w:pPr>
        <w:spacing w:after="120"/>
        <w:ind w:left="686" w:hanging="686"/>
        <w:rPr>
          <w:rFonts w:ascii="Arial" w:hAnsi="Arial" w:cs="Arial"/>
          <w:sz w:val="20"/>
          <w:szCs w:val="20"/>
        </w:rPr>
      </w:pPr>
      <w:r w:rsidRPr="00DF48FF">
        <w:rPr>
          <w:rFonts w:ascii="Arial" w:hAnsi="Arial" w:cs="Arial"/>
          <w:sz w:val="20"/>
          <w:szCs w:val="20"/>
        </w:rPr>
        <w:t xml:space="preserve">Pozn.: Podíl </w:t>
      </w:r>
      <w:r w:rsidR="002A4577" w:rsidRPr="00F83D7E">
        <w:rPr>
          <w:rFonts w:ascii="Arial" w:hAnsi="Arial" w:cs="Arial"/>
          <w:position w:val="-30"/>
          <w:sz w:val="20"/>
          <w:szCs w:val="20"/>
        </w:rPr>
        <w:object w:dxaOrig="480" w:dyaOrig="700">
          <v:shape id="_x0000_i1030" type="#_x0000_t75" style="width:24.75pt;height:36pt" o:ole="">
            <v:imagedata r:id="rId17" o:title=""/>
          </v:shape>
          <o:OLEObject Type="Embed" ProgID="Equation.3" ShapeID="_x0000_i1030" DrawAspect="Content" ObjectID="_1618290696" r:id="rId18"/>
        </w:object>
      </w:r>
      <w:r w:rsidRPr="00DF48FF">
        <w:rPr>
          <w:rFonts w:ascii="Arial" w:hAnsi="Arial" w:cs="Arial"/>
          <w:sz w:val="20"/>
          <w:szCs w:val="20"/>
        </w:rPr>
        <w:t>v čitateli zlomku je možné opět nahradit příslušnou relativní četností charakteristiky B na</w:t>
      </w:r>
      <w:r w:rsidR="00AF2337">
        <w:rPr>
          <w:rFonts w:ascii="Arial" w:hAnsi="Arial" w:cs="Arial"/>
          <w:sz w:val="20"/>
          <w:szCs w:val="20"/>
        </w:rPr>
        <w:t> </w:t>
      </w:r>
      <w:r w:rsidRPr="00DF48FF">
        <w:rPr>
          <w:rFonts w:ascii="Arial" w:hAnsi="Arial" w:cs="Arial"/>
          <w:sz w:val="20"/>
          <w:szCs w:val="20"/>
        </w:rPr>
        <w:t xml:space="preserve">množině A. </w:t>
      </w:r>
    </w:p>
    <w:p w:rsidR="00DF48FF" w:rsidRPr="00DF48FF" w:rsidRDefault="00DF48FF" w:rsidP="00DF48FF">
      <w:pPr>
        <w:spacing w:after="120"/>
        <w:ind w:left="686" w:hanging="686"/>
        <w:rPr>
          <w:rFonts w:ascii="Arial" w:hAnsi="Arial" w:cs="Arial"/>
          <w:sz w:val="20"/>
          <w:szCs w:val="20"/>
        </w:rPr>
      </w:pPr>
    </w:p>
    <w:p w:rsidR="001B2640" w:rsidRDefault="00DF48FF" w:rsidP="001B2640">
      <w:pPr>
        <w:pStyle w:val="Nadpis2"/>
        <w:spacing w:after="240"/>
        <w:ind w:firstLine="0"/>
        <w:rPr>
          <w:rFonts w:ascii="Arial" w:hAnsi="Arial" w:cs="Arial"/>
          <w:sz w:val="20"/>
          <w:szCs w:val="20"/>
        </w:rPr>
      </w:pPr>
      <w:r w:rsidRPr="00DF48FF">
        <w:rPr>
          <w:rFonts w:ascii="Arial" w:hAnsi="Arial" w:cs="Arial"/>
          <w:sz w:val="20"/>
          <w:szCs w:val="20"/>
        </w:rPr>
        <w:t>Způsob použití přílohových tabulek pro určení intervalu spolehlivosti pro četnost</w:t>
      </w:r>
    </w:p>
    <w:p w:rsidR="000247DD" w:rsidRPr="002E6603" w:rsidRDefault="000247DD" w:rsidP="000247DD">
      <w:pPr>
        <w:pStyle w:val="Nadpis3"/>
        <w:spacing w:after="120"/>
        <w:ind w:left="960" w:hanging="960"/>
        <w:rPr>
          <w:rFonts w:ascii="Arial" w:hAnsi="Arial" w:cs="Arial"/>
          <w:sz w:val="20"/>
          <w:szCs w:val="20"/>
        </w:rPr>
      </w:pPr>
      <w:r>
        <w:rPr>
          <w:rFonts w:ascii="Arial" w:hAnsi="Arial" w:cs="Arial"/>
          <w:sz w:val="20"/>
          <w:szCs w:val="20"/>
        </w:rPr>
        <w:t>Tab. I</w:t>
      </w:r>
      <w:r>
        <w:rPr>
          <w:rFonts w:ascii="Arial" w:hAnsi="Arial" w:cs="Arial"/>
          <w:sz w:val="20"/>
          <w:szCs w:val="20"/>
        </w:rPr>
        <w:tab/>
      </w:r>
      <w:r>
        <w:rPr>
          <w:rFonts w:ascii="Arial" w:hAnsi="Arial" w:cs="Arial"/>
          <w:b w:val="0"/>
          <w:bCs w:val="0"/>
          <w:sz w:val="20"/>
          <w:szCs w:val="20"/>
        </w:rPr>
        <w:t xml:space="preserve">Odhady 95% intervalu spolehlivosti základních úhrnů pro soubor domácností a osob </w:t>
      </w:r>
    </w:p>
    <w:p w:rsidR="000247DD" w:rsidRPr="002E6603" w:rsidRDefault="000247DD" w:rsidP="000247DD">
      <w:pPr>
        <w:spacing w:after="120"/>
        <w:ind w:firstLine="709"/>
        <w:jc w:val="both"/>
        <w:rPr>
          <w:rFonts w:ascii="Arial" w:hAnsi="Arial" w:cs="Arial"/>
          <w:sz w:val="20"/>
          <w:szCs w:val="20"/>
        </w:rPr>
      </w:pPr>
      <w:r w:rsidRPr="00FF45AC">
        <w:rPr>
          <w:rFonts w:ascii="Arial" w:hAnsi="Arial" w:cs="Arial"/>
          <w:sz w:val="20"/>
          <w:szCs w:val="20"/>
        </w:rPr>
        <w:t xml:space="preserve">Tabulka je určena ke zjištění přibližného </w:t>
      </w:r>
      <w:proofErr w:type="gramStart"/>
      <w:r w:rsidRPr="00FF45AC">
        <w:rPr>
          <w:rFonts w:ascii="Arial" w:hAnsi="Arial" w:cs="Arial"/>
          <w:sz w:val="20"/>
          <w:szCs w:val="20"/>
        </w:rPr>
        <w:t>95%</w:t>
      </w:r>
      <w:proofErr w:type="gramEnd"/>
      <w:r w:rsidRPr="00FF45AC">
        <w:rPr>
          <w:rFonts w:ascii="Arial" w:hAnsi="Arial" w:cs="Arial"/>
          <w:sz w:val="20"/>
          <w:szCs w:val="20"/>
        </w:rPr>
        <w:t xml:space="preserve"> intervalu spolehlivosti základních úhrnů četností ze souboru domácností nebo ze souboru osob na úrovni celé České republiky. Najdeme-li například v </w:t>
      </w:r>
      <w:r w:rsidRPr="00FF45AC">
        <w:rPr>
          <w:rFonts w:ascii="Arial" w:hAnsi="Arial" w:cs="Arial"/>
          <w:i/>
          <w:iCs/>
          <w:sz w:val="20"/>
          <w:szCs w:val="20"/>
        </w:rPr>
        <w:t>Tab. 1 - Domácnosti podle postavení osoby v čele</w:t>
      </w:r>
      <w:r w:rsidRPr="00FF45AC">
        <w:rPr>
          <w:rFonts w:ascii="Arial" w:hAnsi="Arial" w:cs="Arial"/>
          <w:sz w:val="20"/>
          <w:szCs w:val="20"/>
        </w:rPr>
        <w:t xml:space="preserve"> odhad počtu domácností samostatně činných roven 5</w:t>
      </w:r>
      <w:r w:rsidR="00FF45AC">
        <w:rPr>
          <w:rFonts w:ascii="Arial" w:hAnsi="Arial" w:cs="Arial"/>
          <w:sz w:val="20"/>
          <w:szCs w:val="20"/>
        </w:rPr>
        <w:t>60</w:t>
      </w:r>
      <w:r w:rsidRPr="00FF45AC">
        <w:rPr>
          <w:rFonts w:ascii="Arial" w:hAnsi="Arial" w:cs="Arial"/>
          <w:sz w:val="20"/>
          <w:szCs w:val="20"/>
        </w:rPr>
        <w:t xml:space="preserve">,1 tis. a chceme-li se dozvědět, jaká je spolehlivost tohoto odhadu, vyhledáme v Tab. I. ve sloupci </w:t>
      </w:r>
      <w:r w:rsidRPr="00FF45AC">
        <w:rPr>
          <w:rFonts w:ascii="Arial" w:hAnsi="Arial" w:cs="Arial"/>
          <w:i/>
          <w:iCs/>
          <w:sz w:val="20"/>
          <w:szCs w:val="20"/>
        </w:rPr>
        <w:t xml:space="preserve">Domácnosti - velikost odhadu v tis. </w:t>
      </w:r>
      <w:r w:rsidRPr="00FF45AC">
        <w:rPr>
          <w:rFonts w:ascii="Arial" w:hAnsi="Arial" w:cs="Arial"/>
          <w:sz w:val="20"/>
          <w:szCs w:val="20"/>
        </w:rPr>
        <w:t xml:space="preserve">řádek nejbližší tomuto počtu, tedy </w:t>
      </w:r>
      <w:r w:rsidR="001A0AA3" w:rsidRPr="00FF45AC">
        <w:rPr>
          <w:rFonts w:ascii="Arial" w:hAnsi="Arial" w:cs="Arial"/>
          <w:sz w:val="20"/>
          <w:szCs w:val="20"/>
        </w:rPr>
        <w:t>6</w:t>
      </w:r>
      <w:r w:rsidRPr="00FF45AC">
        <w:rPr>
          <w:rFonts w:ascii="Arial" w:hAnsi="Arial" w:cs="Arial"/>
          <w:sz w:val="20"/>
          <w:szCs w:val="20"/>
        </w:rPr>
        <w:t xml:space="preserve">00. Na tomto řádku nalezneme příslušný interval spolehlivosti, což je absolutně ± </w:t>
      </w:r>
      <w:r w:rsidR="001A0AA3" w:rsidRPr="00FF45AC">
        <w:rPr>
          <w:rFonts w:ascii="Arial" w:hAnsi="Arial" w:cs="Arial"/>
          <w:sz w:val="20"/>
          <w:szCs w:val="20"/>
        </w:rPr>
        <w:t>31,8</w:t>
      </w:r>
      <w:r w:rsidRPr="00FF45AC">
        <w:rPr>
          <w:rFonts w:ascii="Arial" w:hAnsi="Arial" w:cs="Arial"/>
          <w:sz w:val="20"/>
          <w:szCs w:val="20"/>
        </w:rPr>
        <w:t xml:space="preserve"> tis., pro relativní četnost je interval spolehlivosti 1</w:t>
      </w:r>
      <w:r w:rsidR="001A0AA3" w:rsidRPr="00FF45AC">
        <w:rPr>
          <w:rFonts w:ascii="Arial" w:hAnsi="Arial" w:cs="Arial"/>
          <w:sz w:val="20"/>
          <w:szCs w:val="20"/>
        </w:rPr>
        <w:t>3,</w:t>
      </w:r>
      <w:r w:rsidR="00FF45AC">
        <w:rPr>
          <w:rFonts w:ascii="Arial" w:hAnsi="Arial" w:cs="Arial"/>
          <w:sz w:val="20"/>
          <w:szCs w:val="20"/>
        </w:rPr>
        <w:t>65</w:t>
      </w:r>
      <w:r w:rsidRPr="00FF45AC">
        <w:rPr>
          <w:rFonts w:ascii="Arial" w:hAnsi="Arial" w:cs="Arial"/>
          <w:sz w:val="20"/>
          <w:szCs w:val="20"/>
        </w:rPr>
        <w:t xml:space="preserve"> ± 0,</w:t>
      </w:r>
      <w:r w:rsidR="001A0AA3" w:rsidRPr="00FF45AC">
        <w:rPr>
          <w:rFonts w:ascii="Arial" w:hAnsi="Arial" w:cs="Arial"/>
          <w:sz w:val="20"/>
          <w:szCs w:val="20"/>
        </w:rPr>
        <w:t>72</w:t>
      </w:r>
      <w:r w:rsidRPr="00FF45AC">
        <w:rPr>
          <w:rFonts w:ascii="Arial" w:hAnsi="Arial" w:cs="Arial"/>
          <w:sz w:val="20"/>
          <w:szCs w:val="20"/>
        </w:rPr>
        <w:t xml:space="preserve"> %. Jelikož počet domácností je takřka uprostřed mezi hodnotami 500 a 600, je v tomto případě vhodné odhad zpřesnit jednoduchou lineární interpolací, což bude absolutně 550 ± 30,</w:t>
      </w:r>
      <w:r w:rsidR="00FF45AC">
        <w:rPr>
          <w:rFonts w:ascii="Arial" w:hAnsi="Arial" w:cs="Arial"/>
          <w:sz w:val="20"/>
          <w:szCs w:val="20"/>
        </w:rPr>
        <w:t>61</w:t>
      </w:r>
      <w:r w:rsidRPr="00FF45AC">
        <w:rPr>
          <w:rFonts w:ascii="Arial" w:hAnsi="Arial" w:cs="Arial"/>
          <w:sz w:val="20"/>
          <w:szCs w:val="20"/>
        </w:rPr>
        <w:t xml:space="preserve"> tis. (průměr z 29,</w:t>
      </w:r>
      <w:r w:rsidR="00FF45AC">
        <w:rPr>
          <w:rFonts w:ascii="Arial" w:hAnsi="Arial" w:cs="Arial"/>
          <w:sz w:val="20"/>
          <w:szCs w:val="20"/>
        </w:rPr>
        <w:t>4</w:t>
      </w:r>
      <w:r w:rsidR="001A0AA3" w:rsidRPr="00FF45AC">
        <w:rPr>
          <w:rFonts w:ascii="Arial" w:hAnsi="Arial" w:cs="Arial"/>
          <w:sz w:val="20"/>
          <w:szCs w:val="20"/>
        </w:rPr>
        <w:t>1</w:t>
      </w:r>
      <w:r w:rsidRPr="00FF45AC">
        <w:rPr>
          <w:rFonts w:ascii="Arial" w:hAnsi="Arial" w:cs="Arial"/>
          <w:sz w:val="20"/>
          <w:szCs w:val="20"/>
        </w:rPr>
        <w:t xml:space="preserve"> a 31,</w:t>
      </w:r>
      <w:r w:rsidR="001A0AA3" w:rsidRPr="00FF45AC">
        <w:rPr>
          <w:rFonts w:ascii="Arial" w:hAnsi="Arial" w:cs="Arial"/>
          <w:sz w:val="20"/>
          <w:szCs w:val="20"/>
        </w:rPr>
        <w:t>8</w:t>
      </w:r>
      <w:r w:rsidRPr="00FF45AC">
        <w:rPr>
          <w:rFonts w:ascii="Arial" w:hAnsi="Arial" w:cs="Arial"/>
          <w:sz w:val="20"/>
          <w:szCs w:val="20"/>
        </w:rPr>
        <w:t>) a relativně 12,</w:t>
      </w:r>
      <w:r w:rsidR="001A0AA3" w:rsidRPr="00FF45AC">
        <w:rPr>
          <w:rFonts w:ascii="Arial" w:hAnsi="Arial" w:cs="Arial"/>
          <w:sz w:val="20"/>
          <w:szCs w:val="20"/>
        </w:rPr>
        <w:t>5</w:t>
      </w:r>
      <w:r w:rsidR="00FF45AC">
        <w:rPr>
          <w:rFonts w:ascii="Arial" w:hAnsi="Arial" w:cs="Arial"/>
          <w:sz w:val="20"/>
          <w:szCs w:val="20"/>
        </w:rPr>
        <w:t>2</w:t>
      </w:r>
      <w:r w:rsidRPr="00FF45AC">
        <w:rPr>
          <w:rFonts w:ascii="Arial" w:hAnsi="Arial" w:cs="Arial"/>
          <w:sz w:val="20"/>
          <w:szCs w:val="20"/>
        </w:rPr>
        <w:t xml:space="preserve"> ± 0,7 %.</w:t>
      </w:r>
    </w:p>
    <w:p w:rsidR="000247DD" w:rsidRPr="002E6603" w:rsidRDefault="000247DD" w:rsidP="000247DD">
      <w:pPr>
        <w:pStyle w:val="Nadpis3"/>
        <w:spacing w:after="120"/>
        <w:ind w:left="958" w:hanging="958"/>
        <w:rPr>
          <w:rFonts w:ascii="Arial" w:hAnsi="Arial" w:cs="Arial"/>
          <w:sz w:val="20"/>
          <w:szCs w:val="20"/>
        </w:rPr>
      </w:pPr>
      <w:r>
        <w:rPr>
          <w:rFonts w:ascii="Arial" w:hAnsi="Arial" w:cs="Arial"/>
          <w:sz w:val="20"/>
          <w:szCs w:val="20"/>
        </w:rPr>
        <w:t>Tab. II</w:t>
      </w:r>
      <w:r>
        <w:rPr>
          <w:rFonts w:ascii="Arial" w:hAnsi="Arial" w:cs="Arial"/>
          <w:sz w:val="20"/>
          <w:szCs w:val="20"/>
        </w:rPr>
        <w:tab/>
      </w:r>
      <w:r>
        <w:rPr>
          <w:rFonts w:ascii="Arial" w:hAnsi="Arial" w:cs="Arial"/>
          <w:b w:val="0"/>
          <w:bCs w:val="0"/>
          <w:sz w:val="20"/>
          <w:szCs w:val="20"/>
        </w:rPr>
        <w:t>Odhady 95% intervalů spolehlivosti odhadů dílčích úhrnů četnosti pro soubor domácností</w:t>
      </w:r>
    </w:p>
    <w:p w:rsidR="000247DD" w:rsidRPr="00F83D7E" w:rsidRDefault="000247DD" w:rsidP="000247DD">
      <w:pPr>
        <w:spacing w:after="120"/>
        <w:jc w:val="both"/>
        <w:rPr>
          <w:rFonts w:ascii="Arial" w:hAnsi="Arial" w:cs="Arial"/>
          <w:b/>
          <w:bCs/>
          <w:sz w:val="20"/>
          <w:szCs w:val="20"/>
        </w:rPr>
      </w:pPr>
      <w:r w:rsidRPr="00EE69AB">
        <w:rPr>
          <w:rFonts w:ascii="Arial" w:hAnsi="Arial" w:cs="Arial"/>
          <w:sz w:val="20"/>
          <w:szCs w:val="20"/>
        </w:rPr>
        <w:t xml:space="preserve">Tabulka je určena ke zjištění přibližného </w:t>
      </w:r>
      <w:proofErr w:type="gramStart"/>
      <w:r w:rsidRPr="00EE69AB">
        <w:rPr>
          <w:rFonts w:ascii="Arial" w:hAnsi="Arial" w:cs="Arial"/>
          <w:sz w:val="20"/>
          <w:szCs w:val="20"/>
        </w:rPr>
        <w:t>95%</w:t>
      </w:r>
      <w:proofErr w:type="gramEnd"/>
      <w:r w:rsidRPr="00EE69AB">
        <w:rPr>
          <w:rFonts w:ascii="Arial" w:hAnsi="Arial" w:cs="Arial"/>
          <w:sz w:val="20"/>
          <w:szCs w:val="20"/>
        </w:rPr>
        <w:t xml:space="preserve"> intervalu spolehlivosti dílčích úhrnů četností ze souboru domácností na úrovni celé České republiky. Chceme-li například zjistit spolehlivost odhadu četnosti neúplných rodin v domácnostech samostatně činných, jichž bylo </w:t>
      </w:r>
      <w:r w:rsidR="00A63EC9" w:rsidRPr="00EE69AB">
        <w:rPr>
          <w:rFonts w:ascii="Arial" w:hAnsi="Arial" w:cs="Arial"/>
          <w:sz w:val="20"/>
          <w:szCs w:val="20"/>
        </w:rPr>
        <w:t>7,</w:t>
      </w:r>
      <w:r w:rsidR="009C4B21">
        <w:rPr>
          <w:rFonts w:ascii="Arial" w:hAnsi="Arial" w:cs="Arial"/>
          <w:sz w:val="20"/>
          <w:szCs w:val="20"/>
        </w:rPr>
        <w:t>7</w:t>
      </w:r>
      <w:r w:rsidRPr="00EE69AB">
        <w:rPr>
          <w:rFonts w:ascii="Arial" w:hAnsi="Arial" w:cs="Arial"/>
          <w:sz w:val="20"/>
          <w:szCs w:val="20"/>
        </w:rPr>
        <w:t> % z 5</w:t>
      </w:r>
      <w:r w:rsidR="009C4B21">
        <w:rPr>
          <w:rFonts w:ascii="Arial" w:hAnsi="Arial" w:cs="Arial"/>
          <w:sz w:val="20"/>
          <w:szCs w:val="20"/>
        </w:rPr>
        <w:t>60</w:t>
      </w:r>
      <w:r w:rsidRPr="00EE69AB">
        <w:rPr>
          <w:rFonts w:ascii="Arial" w:hAnsi="Arial" w:cs="Arial"/>
          <w:sz w:val="20"/>
          <w:szCs w:val="20"/>
        </w:rPr>
        <w:t>,1 tis., vyhledáme v Tab. II. řádek nejbližší číslu 5</w:t>
      </w:r>
      <w:r w:rsidR="009C4B21">
        <w:rPr>
          <w:rFonts w:ascii="Arial" w:hAnsi="Arial" w:cs="Arial"/>
          <w:sz w:val="20"/>
          <w:szCs w:val="20"/>
        </w:rPr>
        <w:t>60</w:t>
      </w:r>
      <w:r w:rsidRPr="00EE69AB">
        <w:rPr>
          <w:rFonts w:ascii="Arial" w:hAnsi="Arial" w:cs="Arial"/>
          <w:sz w:val="20"/>
          <w:szCs w:val="20"/>
        </w:rPr>
        <w:t xml:space="preserve">,1, tedy opět </w:t>
      </w:r>
      <w:r w:rsidR="00A63EC9" w:rsidRPr="00EE69AB">
        <w:rPr>
          <w:rFonts w:ascii="Arial" w:hAnsi="Arial" w:cs="Arial"/>
          <w:sz w:val="20"/>
          <w:szCs w:val="20"/>
        </w:rPr>
        <w:t>6</w:t>
      </w:r>
      <w:r w:rsidRPr="00EE69AB">
        <w:rPr>
          <w:rFonts w:ascii="Arial" w:hAnsi="Arial" w:cs="Arial"/>
          <w:sz w:val="20"/>
          <w:szCs w:val="20"/>
        </w:rPr>
        <w:t xml:space="preserve">00 a sloupec nejbližší číslu </w:t>
      </w:r>
      <w:r w:rsidR="00A63EC9" w:rsidRPr="00EE69AB">
        <w:rPr>
          <w:rFonts w:ascii="Arial" w:hAnsi="Arial" w:cs="Arial"/>
          <w:sz w:val="20"/>
          <w:szCs w:val="20"/>
        </w:rPr>
        <w:t>7,</w:t>
      </w:r>
      <w:r w:rsidR="009C4B21">
        <w:rPr>
          <w:rFonts w:ascii="Arial" w:hAnsi="Arial" w:cs="Arial"/>
          <w:sz w:val="20"/>
          <w:szCs w:val="20"/>
        </w:rPr>
        <w:t>7</w:t>
      </w:r>
      <w:r w:rsidRPr="00EE69AB">
        <w:rPr>
          <w:rFonts w:ascii="Arial" w:hAnsi="Arial" w:cs="Arial"/>
          <w:sz w:val="20"/>
          <w:szCs w:val="20"/>
        </w:rPr>
        <w:t xml:space="preserve">, tedy </w:t>
      </w:r>
      <w:r w:rsidR="009C4B21">
        <w:rPr>
          <w:rFonts w:ascii="Arial" w:hAnsi="Arial" w:cs="Arial"/>
          <w:sz w:val="20"/>
          <w:szCs w:val="20"/>
        </w:rPr>
        <w:t>8</w:t>
      </w:r>
      <w:r w:rsidRPr="00EE69AB">
        <w:rPr>
          <w:rFonts w:ascii="Arial" w:hAnsi="Arial" w:cs="Arial"/>
          <w:sz w:val="20"/>
          <w:szCs w:val="20"/>
        </w:rPr>
        <w:t xml:space="preserve">. Příslušný interval spolehlivosti pro relativní četnost je potom </w:t>
      </w:r>
      <w:r w:rsidR="00A63EC9" w:rsidRPr="00EE69AB">
        <w:rPr>
          <w:rFonts w:ascii="Arial" w:hAnsi="Arial" w:cs="Arial"/>
          <w:sz w:val="20"/>
          <w:szCs w:val="20"/>
        </w:rPr>
        <w:t>7,</w:t>
      </w:r>
      <w:r w:rsidR="009C4B21">
        <w:rPr>
          <w:rFonts w:ascii="Arial" w:hAnsi="Arial" w:cs="Arial"/>
          <w:sz w:val="20"/>
          <w:szCs w:val="20"/>
        </w:rPr>
        <w:t>7</w:t>
      </w:r>
      <w:r w:rsidRPr="00EE69AB">
        <w:rPr>
          <w:rFonts w:ascii="Arial" w:hAnsi="Arial" w:cs="Arial"/>
          <w:sz w:val="20"/>
          <w:szCs w:val="20"/>
        </w:rPr>
        <w:t xml:space="preserve"> ± 1,</w:t>
      </w:r>
      <w:r w:rsidR="009C4B21">
        <w:rPr>
          <w:rFonts w:ascii="Arial" w:hAnsi="Arial" w:cs="Arial"/>
          <w:sz w:val="20"/>
          <w:szCs w:val="20"/>
        </w:rPr>
        <w:t>5</w:t>
      </w:r>
      <w:r w:rsidR="00A63EC9" w:rsidRPr="00EE69AB">
        <w:rPr>
          <w:rFonts w:ascii="Arial" w:hAnsi="Arial" w:cs="Arial"/>
          <w:sz w:val="20"/>
          <w:szCs w:val="20"/>
        </w:rPr>
        <w:t>5</w:t>
      </w:r>
      <w:r w:rsidRPr="00EE69AB">
        <w:rPr>
          <w:rFonts w:ascii="Arial" w:hAnsi="Arial" w:cs="Arial"/>
          <w:sz w:val="20"/>
          <w:szCs w:val="20"/>
        </w:rPr>
        <w:t xml:space="preserve"> %. Odhad intervalu spolehlivosti je případně opět možno upřesnit pomocí lineární interpolace.</w:t>
      </w:r>
    </w:p>
    <w:p w:rsidR="00811140" w:rsidRDefault="00811140">
      <w:pPr>
        <w:jc w:val="both"/>
        <w:rPr>
          <w:rFonts w:ascii="Arial" w:hAnsi="Arial" w:cs="Arial"/>
          <w:b/>
          <w:bCs/>
          <w:sz w:val="20"/>
          <w:szCs w:val="20"/>
        </w:rPr>
      </w:pPr>
    </w:p>
    <w:p w:rsidR="002A4577" w:rsidRPr="00CF3C06" w:rsidRDefault="00DF48FF">
      <w:pPr>
        <w:spacing w:after="120"/>
        <w:rPr>
          <w:rFonts w:ascii="Arial" w:hAnsi="Arial" w:cs="Arial"/>
        </w:rPr>
      </w:pPr>
      <w:r w:rsidRPr="00DF48FF">
        <w:rPr>
          <w:rFonts w:ascii="Arial" w:hAnsi="Arial" w:cs="Arial"/>
          <w:b/>
          <w:bCs/>
        </w:rPr>
        <w:t>3.3 Intervaly spolehlivosti v obecném případě</w:t>
      </w:r>
    </w:p>
    <w:p w:rsidR="002A4577" w:rsidRPr="00F83D7E" w:rsidRDefault="00DF48FF">
      <w:pPr>
        <w:ind w:firstLine="709"/>
        <w:jc w:val="both"/>
        <w:rPr>
          <w:rFonts w:ascii="Arial" w:hAnsi="Arial" w:cs="Arial"/>
          <w:sz w:val="20"/>
          <w:szCs w:val="20"/>
        </w:rPr>
      </w:pPr>
      <w:r w:rsidRPr="00DF48FF">
        <w:rPr>
          <w:rFonts w:ascii="Arial" w:hAnsi="Arial" w:cs="Arial"/>
          <w:sz w:val="20"/>
          <w:szCs w:val="20"/>
        </w:rPr>
        <w:t xml:space="preserve">Pokud se nejedná o náhodnou veličinu s binomickým rozdělením, nelze užít předchozí aproximace a je nutné směrodatnou odchylku počítat přímo z individuálních dat. Jelikož jsou předmětem výpočtů vždy průměrné hodnoty nebo součty za výběrový soubor přepočtené na populaci, centrální limitní věta umožňuje stanovit α% interval spolehlivosti pro odhad </w:t>
      </w:r>
      <w:r w:rsidRPr="00DF48FF">
        <w:rPr>
          <w:rFonts w:ascii="Arial" w:hAnsi="Arial" w:cs="Arial"/>
          <w:i/>
          <w:iCs/>
          <w:sz w:val="20"/>
          <w:szCs w:val="20"/>
        </w:rPr>
        <w:t>h</w:t>
      </w:r>
      <w:r w:rsidRPr="00DF48FF">
        <w:rPr>
          <w:rFonts w:ascii="Arial" w:hAnsi="Arial" w:cs="Arial"/>
          <w:sz w:val="20"/>
          <w:szCs w:val="20"/>
        </w:rPr>
        <w:t xml:space="preserve"> ukazatele </w:t>
      </w:r>
      <w:r w:rsidRPr="00DF48FF">
        <w:rPr>
          <w:rFonts w:ascii="Arial" w:hAnsi="Arial" w:cs="Arial"/>
          <w:i/>
          <w:iCs/>
          <w:sz w:val="20"/>
          <w:szCs w:val="20"/>
        </w:rPr>
        <w:t>H</w:t>
      </w:r>
      <w:r w:rsidRPr="00DF48FF">
        <w:rPr>
          <w:rFonts w:ascii="Arial" w:hAnsi="Arial" w:cs="Arial"/>
          <w:sz w:val="20"/>
          <w:szCs w:val="20"/>
        </w:rPr>
        <w:t xml:space="preserve"> pomocí obecného vztahu:</w:t>
      </w:r>
    </w:p>
    <w:p w:rsidR="002A4577" w:rsidRPr="00F83D7E" w:rsidRDefault="002A4577">
      <w:pPr>
        <w:ind w:firstLine="709"/>
        <w:jc w:val="both"/>
        <w:rPr>
          <w:rFonts w:ascii="Arial" w:hAnsi="Arial" w:cs="Arial"/>
          <w:sz w:val="20"/>
          <w:szCs w:val="20"/>
        </w:rPr>
      </w:pPr>
    </w:p>
    <w:p w:rsidR="002A4577" w:rsidRPr="00F83D7E" w:rsidRDefault="00DF48FF">
      <w:pPr>
        <w:spacing w:after="120"/>
        <w:ind w:left="720" w:firstLine="709"/>
        <w:rPr>
          <w:rFonts w:ascii="Arial" w:hAnsi="Arial" w:cs="Arial"/>
          <w:sz w:val="20"/>
          <w:szCs w:val="20"/>
        </w:rPr>
      </w:pPr>
      <w:r w:rsidRPr="00DF48FF">
        <w:rPr>
          <w:rFonts w:ascii="Arial" w:hAnsi="Arial" w:cs="Arial"/>
          <w:i/>
          <w:iCs/>
          <w:sz w:val="20"/>
          <w:szCs w:val="20"/>
        </w:rPr>
        <w:lastRenderedPageBreak/>
        <w:t>h</w:t>
      </w:r>
      <w:r w:rsidRPr="00DF48FF">
        <w:rPr>
          <w:rFonts w:ascii="Arial" w:hAnsi="Arial" w:cs="Arial"/>
          <w:sz w:val="20"/>
          <w:szCs w:val="20"/>
        </w:rPr>
        <w:t xml:space="preserve"> </w:t>
      </w:r>
      <w:r w:rsidR="002A4577" w:rsidRPr="00F83D7E">
        <w:rPr>
          <w:rFonts w:ascii="Arial" w:hAnsi="Arial" w:cs="Arial"/>
          <w:position w:val="-4"/>
          <w:sz w:val="20"/>
          <w:szCs w:val="20"/>
        </w:rPr>
        <w:object w:dxaOrig="220" w:dyaOrig="240">
          <v:shape id="_x0000_i1031" type="#_x0000_t75" style="width:11.25pt;height:12pt" o:ole="">
            <v:imagedata r:id="rId8" o:title=""/>
          </v:shape>
          <o:OLEObject Type="Embed" ProgID="Equation.3" ShapeID="_x0000_i1031" DrawAspect="Content" ObjectID="_1618290697" r:id="rId19"/>
        </w:object>
      </w:r>
      <w:r w:rsidRPr="00DF48FF">
        <w:rPr>
          <w:rFonts w:ascii="Arial" w:hAnsi="Arial" w:cs="Arial"/>
          <w:sz w:val="20"/>
          <w:szCs w:val="20"/>
        </w:rPr>
        <w:t xml:space="preserve"> </w:t>
      </w:r>
      <w:r w:rsidR="002A4577" w:rsidRPr="00F83D7E">
        <w:rPr>
          <w:rFonts w:ascii="Arial" w:hAnsi="Arial" w:cs="Arial"/>
          <w:position w:val="-12"/>
          <w:sz w:val="20"/>
          <w:szCs w:val="20"/>
        </w:rPr>
        <w:object w:dxaOrig="560" w:dyaOrig="360">
          <v:shape id="_x0000_i1032" type="#_x0000_t75" style="width:28.5pt;height:17.25pt" o:ole="">
            <v:imagedata r:id="rId20" o:title=""/>
          </v:shape>
          <o:OLEObject Type="Embed" ProgID="Equation.DSMT4" ShapeID="_x0000_i1032" DrawAspect="Content" ObjectID="_1618290698" r:id="rId21"/>
        </w:object>
      </w:r>
      <w:r w:rsidRPr="00DF48FF">
        <w:rPr>
          <w:rFonts w:ascii="Arial" w:hAnsi="Arial" w:cs="Arial"/>
          <w:sz w:val="20"/>
          <w:szCs w:val="20"/>
        </w:rPr>
        <w:t xml:space="preserve">. </w:t>
      </w:r>
      <w:proofErr w:type="spellStart"/>
      <w:r w:rsidRPr="00DF48FF">
        <w:rPr>
          <w:rFonts w:ascii="Arial" w:hAnsi="Arial" w:cs="Arial"/>
          <w:i/>
          <w:iCs/>
          <w:sz w:val="20"/>
          <w:szCs w:val="20"/>
        </w:rPr>
        <w:t>s</w:t>
      </w:r>
      <w:r w:rsidRPr="00DF48FF">
        <w:rPr>
          <w:rFonts w:ascii="Arial" w:hAnsi="Arial" w:cs="Arial"/>
          <w:i/>
          <w:iCs/>
          <w:sz w:val="20"/>
          <w:szCs w:val="20"/>
          <w:vertAlign w:val="subscript"/>
        </w:rPr>
        <w:t>h</w:t>
      </w:r>
      <w:proofErr w:type="spellEnd"/>
      <w:r w:rsidRPr="00DF48FF">
        <w:rPr>
          <w:rFonts w:ascii="Arial" w:hAnsi="Arial" w:cs="Arial"/>
          <w:sz w:val="20"/>
          <w:szCs w:val="20"/>
        </w:rPr>
        <w:t xml:space="preserve">, </w:t>
      </w:r>
      <w:r w:rsidRPr="00DF48FF">
        <w:rPr>
          <w:rFonts w:ascii="Arial" w:hAnsi="Arial" w:cs="Arial"/>
          <w:sz w:val="20"/>
          <w:szCs w:val="20"/>
        </w:rPr>
        <w:tab/>
      </w:r>
      <w:r w:rsidRPr="00DF48FF">
        <w:rPr>
          <w:rFonts w:ascii="Arial" w:hAnsi="Arial" w:cs="Arial"/>
          <w:sz w:val="20"/>
          <w:szCs w:val="20"/>
        </w:rPr>
        <w:tab/>
      </w:r>
      <w:r w:rsidRPr="00DF48FF">
        <w:rPr>
          <w:rFonts w:ascii="Arial" w:hAnsi="Arial" w:cs="Arial"/>
          <w:sz w:val="20"/>
          <w:szCs w:val="20"/>
        </w:rPr>
        <w:tab/>
      </w:r>
      <w:r w:rsidRPr="00DF48FF">
        <w:rPr>
          <w:rFonts w:ascii="Arial" w:hAnsi="Arial" w:cs="Arial"/>
          <w:sz w:val="20"/>
          <w:szCs w:val="20"/>
        </w:rPr>
        <w:tab/>
      </w:r>
      <w:r w:rsidRPr="00DF48FF">
        <w:rPr>
          <w:rFonts w:ascii="Arial" w:hAnsi="Arial" w:cs="Arial"/>
          <w:sz w:val="20"/>
          <w:szCs w:val="20"/>
        </w:rPr>
        <w:tab/>
      </w:r>
      <w:r w:rsidRPr="00DF48FF">
        <w:rPr>
          <w:rFonts w:ascii="Arial" w:hAnsi="Arial" w:cs="Arial"/>
          <w:sz w:val="20"/>
          <w:szCs w:val="20"/>
        </w:rPr>
        <w:tab/>
      </w:r>
      <w:r w:rsidRPr="00DF48FF">
        <w:rPr>
          <w:rFonts w:ascii="Arial" w:hAnsi="Arial" w:cs="Arial"/>
          <w:sz w:val="20"/>
          <w:szCs w:val="20"/>
        </w:rPr>
        <w:tab/>
        <w:t>(2a)</w:t>
      </w:r>
    </w:p>
    <w:p w:rsidR="002A4577" w:rsidRPr="00F83D7E" w:rsidRDefault="00DF48FF">
      <w:pPr>
        <w:rPr>
          <w:rFonts w:ascii="Arial" w:hAnsi="Arial" w:cs="Arial"/>
          <w:sz w:val="20"/>
          <w:szCs w:val="20"/>
        </w:rPr>
      </w:pPr>
      <w:r w:rsidRPr="00DF48FF">
        <w:rPr>
          <w:rFonts w:ascii="Arial" w:hAnsi="Arial" w:cs="Arial"/>
          <w:sz w:val="20"/>
          <w:szCs w:val="20"/>
        </w:rPr>
        <w:tab/>
      </w:r>
      <w:r w:rsidRPr="00DF48FF">
        <w:rPr>
          <w:rFonts w:ascii="Arial" w:hAnsi="Arial" w:cs="Arial"/>
          <w:i/>
          <w:iCs/>
          <w:sz w:val="20"/>
          <w:szCs w:val="20"/>
        </w:rPr>
        <w:t>h</w:t>
      </w:r>
      <w:r w:rsidRPr="00DF48FF">
        <w:rPr>
          <w:rFonts w:ascii="Arial" w:hAnsi="Arial" w:cs="Arial"/>
          <w:sz w:val="20"/>
          <w:szCs w:val="20"/>
        </w:rPr>
        <w:t xml:space="preserve"> </w:t>
      </w:r>
      <w:r w:rsidRPr="00DF48FF">
        <w:rPr>
          <w:rFonts w:ascii="Arial" w:hAnsi="Arial" w:cs="Arial"/>
          <w:sz w:val="20"/>
          <w:szCs w:val="20"/>
        </w:rPr>
        <w:tab/>
        <w:t xml:space="preserve">je odhad ukazatele </w:t>
      </w:r>
      <w:r w:rsidRPr="00DF48FF">
        <w:rPr>
          <w:rFonts w:ascii="Arial" w:hAnsi="Arial" w:cs="Arial"/>
          <w:i/>
          <w:iCs/>
          <w:sz w:val="20"/>
          <w:szCs w:val="20"/>
        </w:rPr>
        <w:t xml:space="preserve">H </w:t>
      </w:r>
      <w:r w:rsidRPr="00DF48FF">
        <w:rPr>
          <w:rFonts w:ascii="Arial" w:hAnsi="Arial" w:cs="Arial"/>
          <w:sz w:val="20"/>
          <w:szCs w:val="20"/>
        </w:rPr>
        <w:t>a</w:t>
      </w:r>
    </w:p>
    <w:p w:rsidR="002A4577" w:rsidRPr="00F83D7E" w:rsidRDefault="00DF48FF">
      <w:pPr>
        <w:ind w:firstLine="708"/>
        <w:rPr>
          <w:rFonts w:ascii="Arial" w:hAnsi="Arial" w:cs="Arial"/>
          <w:i/>
          <w:iCs/>
          <w:sz w:val="20"/>
          <w:szCs w:val="20"/>
        </w:rPr>
      </w:pPr>
      <w:proofErr w:type="spellStart"/>
      <w:r w:rsidRPr="00DF48FF">
        <w:rPr>
          <w:rFonts w:ascii="Arial" w:hAnsi="Arial" w:cs="Arial"/>
          <w:i/>
          <w:iCs/>
          <w:sz w:val="20"/>
          <w:szCs w:val="20"/>
        </w:rPr>
        <w:t>s</w:t>
      </w:r>
      <w:r w:rsidRPr="00DF48FF">
        <w:rPr>
          <w:rFonts w:ascii="Arial" w:hAnsi="Arial" w:cs="Arial"/>
          <w:i/>
          <w:iCs/>
          <w:sz w:val="20"/>
          <w:szCs w:val="20"/>
          <w:vertAlign w:val="subscript"/>
        </w:rPr>
        <w:t>h</w:t>
      </w:r>
      <w:proofErr w:type="spellEnd"/>
      <w:r w:rsidRPr="00DF48FF">
        <w:rPr>
          <w:rFonts w:ascii="Arial" w:hAnsi="Arial" w:cs="Arial"/>
          <w:sz w:val="20"/>
          <w:szCs w:val="20"/>
        </w:rPr>
        <w:t xml:space="preserve"> </w:t>
      </w:r>
      <w:r w:rsidRPr="00DF48FF">
        <w:rPr>
          <w:rFonts w:ascii="Arial" w:hAnsi="Arial" w:cs="Arial"/>
          <w:sz w:val="20"/>
          <w:szCs w:val="20"/>
        </w:rPr>
        <w:tab/>
        <w:t xml:space="preserve">je směrodatná odchylka odhadu </w:t>
      </w:r>
      <w:r w:rsidRPr="00DF48FF">
        <w:rPr>
          <w:rFonts w:ascii="Arial" w:hAnsi="Arial" w:cs="Arial"/>
          <w:i/>
          <w:iCs/>
          <w:sz w:val="20"/>
          <w:szCs w:val="20"/>
        </w:rPr>
        <w:t>h</w:t>
      </w:r>
    </w:p>
    <w:p w:rsidR="002A4577" w:rsidRPr="00F83D7E" w:rsidRDefault="00DF48FF">
      <w:pPr>
        <w:spacing w:after="120"/>
        <w:rPr>
          <w:rFonts w:ascii="Arial" w:hAnsi="Arial" w:cs="Arial"/>
          <w:sz w:val="20"/>
          <w:szCs w:val="20"/>
        </w:rPr>
      </w:pPr>
      <w:r w:rsidRPr="00DF48FF">
        <w:rPr>
          <w:rFonts w:ascii="Arial" w:hAnsi="Arial" w:cs="Arial"/>
          <w:sz w:val="20"/>
          <w:szCs w:val="20"/>
        </w:rPr>
        <w:t xml:space="preserve">    </w:t>
      </w:r>
      <w:r w:rsidRPr="00DF48FF">
        <w:rPr>
          <w:rFonts w:ascii="Arial" w:hAnsi="Arial" w:cs="Arial"/>
          <w:sz w:val="20"/>
          <w:szCs w:val="20"/>
        </w:rPr>
        <w:tab/>
      </w:r>
      <w:r w:rsidR="002A4577" w:rsidRPr="00F83D7E">
        <w:rPr>
          <w:rFonts w:ascii="Arial" w:hAnsi="Arial" w:cs="Arial"/>
          <w:position w:val="-12"/>
          <w:sz w:val="20"/>
          <w:szCs w:val="20"/>
        </w:rPr>
        <w:object w:dxaOrig="560" w:dyaOrig="360">
          <v:shape id="_x0000_i1033" type="#_x0000_t75" style="width:28.5pt;height:17.25pt" o:ole="">
            <v:imagedata r:id="rId20" o:title=""/>
          </v:shape>
          <o:OLEObject Type="Embed" ProgID="Equation.DSMT4" ShapeID="_x0000_i1033" DrawAspect="Content" ObjectID="_1618290699" r:id="rId22"/>
        </w:object>
      </w:r>
      <w:r w:rsidRPr="00DF48FF">
        <w:rPr>
          <w:rFonts w:ascii="Arial" w:hAnsi="Arial" w:cs="Arial"/>
          <w:sz w:val="20"/>
          <w:szCs w:val="20"/>
        </w:rPr>
        <w:t xml:space="preserve"> </w:t>
      </w:r>
      <w:r w:rsidRPr="00DF48FF">
        <w:rPr>
          <w:rFonts w:ascii="Arial" w:hAnsi="Arial" w:cs="Arial"/>
          <w:sz w:val="20"/>
          <w:szCs w:val="20"/>
        </w:rPr>
        <w:tab/>
        <w:t>je kvantil normovaného normálního rozdělení.</w:t>
      </w:r>
    </w:p>
    <w:p w:rsidR="00811140" w:rsidRDefault="00DF48FF">
      <w:pPr>
        <w:pStyle w:val="Nadpis1"/>
        <w:spacing w:after="120"/>
        <w:rPr>
          <w:rFonts w:ascii="Arial" w:hAnsi="Arial" w:cs="Arial"/>
          <w:sz w:val="20"/>
          <w:szCs w:val="20"/>
        </w:rPr>
      </w:pPr>
      <w:r w:rsidRPr="00DF48FF">
        <w:rPr>
          <w:rFonts w:ascii="Arial" w:hAnsi="Arial" w:cs="Arial"/>
          <w:sz w:val="20"/>
          <w:szCs w:val="20"/>
        </w:rPr>
        <w:t>Intervaly spolehlivosti pro průměrný příjem na osobu</w:t>
      </w:r>
    </w:p>
    <w:p w:rsidR="002A4577" w:rsidRPr="00F83D7E" w:rsidRDefault="00DF48FF">
      <w:pPr>
        <w:spacing w:after="120"/>
        <w:ind w:firstLine="709"/>
        <w:jc w:val="both"/>
        <w:rPr>
          <w:rFonts w:ascii="Arial" w:hAnsi="Arial" w:cs="Arial"/>
          <w:sz w:val="20"/>
          <w:szCs w:val="20"/>
        </w:rPr>
      </w:pPr>
      <w:r w:rsidRPr="00DF48FF">
        <w:rPr>
          <w:rFonts w:ascii="Arial" w:hAnsi="Arial" w:cs="Arial"/>
          <w:sz w:val="20"/>
          <w:szCs w:val="20"/>
        </w:rPr>
        <w:t xml:space="preserve">Příjmy se zjišťují za celou domácnost. Proto se průměrný příjem na osobu počítá jako poměr 2 náhodných veličin </w:t>
      </w:r>
      <w:r w:rsidRPr="00DF48FF">
        <w:rPr>
          <w:rFonts w:ascii="Arial" w:hAnsi="Arial" w:cs="Arial"/>
          <w:i/>
          <w:iCs/>
          <w:sz w:val="20"/>
          <w:szCs w:val="20"/>
        </w:rPr>
        <w:t>y</w:t>
      </w:r>
      <w:r w:rsidRPr="00DF48FF">
        <w:rPr>
          <w:rFonts w:ascii="Arial" w:hAnsi="Arial" w:cs="Arial"/>
          <w:sz w:val="20"/>
          <w:szCs w:val="20"/>
        </w:rPr>
        <w:t xml:space="preserve"> - celkový součet příjmů a </w:t>
      </w:r>
      <w:r w:rsidRPr="00DF48FF">
        <w:rPr>
          <w:rFonts w:ascii="Arial" w:hAnsi="Arial" w:cs="Arial"/>
          <w:i/>
          <w:iCs/>
          <w:sz w:val="20"/>
          <w:szCs w:val="20"/>
        </w:rPr>
        <w:t>x</w:t>
      </w:r>
      <w:r w:rsidRPr="00DF48FF">
        <w:rPr>
          <w:rFonts w:ascii="Arial" w:hAnsi="Arial" w:cs="Arial"/>
          <w:sz w:val="20"/>
          <w:szCs w:val="20"/>
        </w:rPr>
        <w:t xml:space="preserve"> - celkový počet osob. Za předpokladu prostého náhodného výběru bez vracení při vážení výběrových dat vahami w lze interval spolehlivosti stanovit na základě vzorce:</w:t>
      </w:r>
    </w:p>
    <w:p w:rsidR="002A4577" w:rsidRPr="00F83D7E" w:rsidRDefault="002A4577">
      <w:pPr>
        <w:spacing w:after="120"/>
        <w:ind w:left="707" w:firstLine="709"/>
        <w:rPr>
          <w:rFonts w:ascii="Arial" w:hAnsi="Arial" w:cs="Arial"/>
          <w:sz w:val="20"/>
          <w:szCs w:val="20"/>
        </w:rPr>
      </w:pPr>
      <w:r w:rsidRPr="00F83D7E">
        <w:rPr>
          <w:rFonts w:ascii="Arial" w:hAnsi="Arial" w:cs="Arial"/>
          <w:position w:val="-62"/>
          <w:sz w:val="20"/>
          <w:szCs w:val="20"/>
        </w:rPr>
        <w:object w:dxaOrig="5179" w:dyaOrig="1180">
          <v:shape id="_x0000_i1034" type="#_x0000_t75" style="width:259.5pt;height:58.5pt" o:ole="">
            <v:imagedata r:id="rId23" o:title=""/>
          </v:shape>
          <o:OLEObject Type="Embed" ProgID="Equation.DSMT4" ShapeID="_x0000_i1034" DrawAspect="Content" ObjectID="_1618290700" r:id="rId24"/>
        </w:object>
      </w:r>
      <w:r w:rsidR="00DF48FF" w:rsidRPr="00DF48FF">
        <w:rPr>
          <w:rFonts w:ascii="Arial" w:hAnsi="Arial" w:cs="Arial"/>
          <w:sz w:val="20"/>
          <w:szCs w:val="20"/>
        </w:rPr>
        <w:tab/>
      </w:r>
      <w:r w:rsidR="00DF48FF" w:rsidRPr="00DF48FF">
        <w:rPr>
          <w:rFonts w:ascii="Arial" w:hAnsi="Arial" w:cs="Arial"/>
          <w:sz w:val="20"/>
          <w:szCs w:val="20"/>
        </w:rPr>
        <w:tab/>
        <w:t>(2b)</w:t>
      </w:r>
    </w:p>
    <w:p w:rsidR="002A4577" w:rsidRPr="00F83D7E" w:rsidRDefault="002A4577">
      <w:pPr>
        <w:ind w:firstLine="707"/>
        <w:rPr>
          <w:rFonts w:ascii="Arial" w:hAnsi="Arial" w:cs="Arial"/>
          <w:sz w:val="20"/>
          <w:szCs w:val="20"/>
        </w:rPr>
      </w:pPr>
      <w:r w:rsidRPr="00F83D7E">
        <w:rPr>
          <w:rFonts w:ascii="Arial" w:hAnsi="Arial" w:cs="Arial"/>
          <w:position w:val="-12"/>
          <w:sz w:val="20"/>
          <w:szCs w:val="20"/>
        </w:rPr>
        <w:object w:dxaOrig="560" w:dyaOrig="360">
          <v:shape id="_x0000_i1035" type="#_x0000_t75" style="width:28.5pt;height:17.25pt" o:ole="">
            <v:imagedata r:id="rId20" o:title=""/>
          </v:shape>
          <o:OLEObject Type="Embed" ProgID="Equation.DSMT4" ShapeID="_x0000_i1035" DrawAspect="Content" ObjectID="_1618290701" r:id="rId25"/>
        </w:object>
      </w:r>
      <w:r w:rsidR="00DF48FF" w:rsidRPr="00DF48FF">
        <w:rPr>
          <w:rFonts w:ascii="Arial" w:hAnsi="Arial" w:cs="Arial"/>
          <w:sz w:val="20"/>
          <w:szCs w:val="20"/>
        </w:rPr>
        <w:t xml:space="preserve"> </w:t>
      </w:r>
      <w:r w:rsidR="00DF48FF" w:rsidRPr="00DF48FF">
        <w:rPr>
          <w:rFonts w:ascii="Arial" w:hAnsi="Arial" w:cs="Arial"/>
          <w:sz w:val="20"/>
          <w:szCs w:val="20"/>
        </w:rPr>
        <w:tab/>
        <w:t>je kvantil normovaného normálního rozdělení (v našem případě 1,96),</w:t>
      </w:r>
    </w:p>
    <w:p w:rsidR="002A4577" w:rsidRPr="00F83D7E" w:rsidRDefault="00DF48FF">
      <w:pPr>
        <w:rPr>
          <w:rFonts w:ascii="Arial" w:hAnsi="Arial" w:cs="Arial"/>
          <w:sz w:val="20"/>
          <w:szCs w:val="20"/>
        </w:rPr>
      </w:pPr>
      <w:r w:rsidRPr="00DF48FF">
        <w:rPr>
          <w:rFonts w:ascii="Arial" w:hAnsi="Arial" w:cs="Arial"/>
          <w:sz w:val="20"/>
          <w:szCs w:val="20"/>
        </w:rPr>
        <w:tab/>
      </w:r>
      <w:r w:rsidRPr="00DF48FF">
        <w:rPr>
          <w:rFonts w:ascii="Arial" w:hAnsi="Arial" w:cs="Arial"/>
          <w:i/>
          <w:iCs/>
          <w:sz w:val="20"/>
          <w:szCs w:val="20"/>
        </w:rPr>
        <w:t>n</w:t>
      </w:r>
      <w:r w:rsidRPr="00DF48FF">
        <w:rPr>
          <w:rFonts w:ascii="Arial" w:hAnsi="Arial" w:cs="Arial"/>
          <w:sz w:val="20"/>
          <w:szCs w:val="20"/>
        </w:rPr>
        <w:t xml:space="preserve"> </w:t>
      </w:r>
      <w:r w:rsidRPr="00DF48FF">
        <w:rPr>
          <w:rFonts w:ascii="Arial" w:hAnsi="Arial" w:cs="Arial"/>
          <w:sz w:val="20"/>
          <w:szCs w:val="20"/>
        </w:rPr>
        <w:tab/>
        <w:t>je počet prvků ve výběru,</w:t>
      </w:r>
    </w:p>
    <w:p w:rsidR="002A4577" w:rsidRPr="00F83D7E" w:rsidRDefault="00DF48FF">
      <w:pPr>
        <w:spacing w:after="120"/>
        <w:rPr>
          <w:rFonts w:ascii="Arial" w:hAnsi="Arial" w:cs="Arial"/>
          <w:sz w:val="20"/>
          <w:szCs w:val="20"/>
        </w:rPr>
      </w:pPr>
      <w:r w:rsidRPr="00DF48FF">
        <w:rPr>
          <w:rFonts w:ascii="Arial" w:hAnsi="Arial" w:cs="Arial"/>
          <w:sz w:val="20"/>
          <w:szCs w:val="20"/>
        </w:rPr>
        <w:t xml:space="preserve">    </w:t>
      </w:r>
      <w:r w:rsidR="002A4577" w:rsidRPr="00F83D7E">
        <w:rPr>
          <w:rFonts w:ascii="Arial" w:hAnsi="Arial" w:cs="Arial"/>
          <w:position w:val="-12"/>
          <w:sz w:val="20"/>
          <w:szCs w:val="20"/>
        </w:rPr>
        <w:object w:dxaOrig="279" w:dyaOrig="360">
          <v:shape id="_x0000_i1036" type="#_x0000_t75" style="width:13.5pt;height:17.25pt" o:ole="">
            <v:imagedata r:id="rId26" o:title=""/>
          </v:shape>
          <o:OLEObject Type="Embed" ProgID="Equation.DSMT4" ShapeID="_x0000_i1036" DrawAspect="Content" ObjectID="_1618290702" r:id="rId27"/>
        </w:object>
      </w:r>
      <w:r w:rsidRPr="00DF48FF">
        <w:rPr>
          <w:rFonts w:ascii="Arial" w:hAnsi="Arial" w:cs="Arial"/>
          <w:sz w:val="20"/>
          <w:szCs w:val="20"/>
        </w:rPr>
        <w:t xml:space="preserve"> resp.</w:t>
      </w:r>
      <w:r w:rsidR="002A4577" w:rsidRPr="00F83D7E">
        <w:rPr>
          <w:rFonts w:ascii="Arial" w:hAnsi="Arial" w:cs="Arial"/>
          <w:position w:val="-12"/>
          <w:sz w:val="20"/>
          <w:szCs w:val="20"/>
        </w:rPr>
        <w:object w:dxaOrig="300" w:dyaOrig="360">
          <v:shape id="_x0000_i1037" type="#_x0000_t75" style="width:15.75pt;height:17.25pt" o:ole="">
            <v:imagedata r:id="rId28" o:title=""/>
          </v:shape>
          <o:OLEObject Type="Embed" ProgID="Equation.DSMT4" ShapeID="_x0000_i1037" DrawAspect="Content" ObjectID="_1618290703" r:id="rId29"/>
        </w:object>
      </w:r>
      <w:r w:rsidRPr="00DF48FF">
        <w:rPr>
          <w:rFonts w:ascii="Arial" w:hAnsi="Arial" w:cs="Arial"/>
          <w:sz w:val="20"/>
          <w:szCs w:val="20"/>
        </w:rPr>
        <w:t xml:space="preserve"> </w:t>
      </w:r>
      <w:r w:rsidRPr="00DF48FF">
        <w:rPr>
          <w:rFonts w:ascii="Arial" w:hAnsi="Arial" w:cs="Arial"/>
          <w:sz w:val="20"/>
          <w:szCs w:val="20"/>
        </w:rPr>
        <w:tab/>
        <w:t xml:space="preserve">jsou vážené výběrové úhrny </w:t>
      </w:r>
      <w:r w:rsidR="002A4577" w:rsidRPr="00F83D7E">
        <w:rPr>
          <w:rFonts w:ascii="Arial" w:hAnsi="Arial" w:cs="Arial"/>
          <w:position w:val="-32"/>
          <w:sz w:val="20"/>
          <w:szCs w:val="20"/>
        </w:rPr>
        <w:object w:dxaOrig="1800" w:dyaOrig="720">
          <v:shape id="_x0000_i1038" type="#_x0000_t75" style="width:89.25pt;height:36pt" o:ole="">
            <v:imagedata r:id="rId30" o:title=""/>
          </v:shape>
          <o:OLEObject Type="Embed" ProgID="Equation.DSMT4" ShapeID="_x0000_i1038" DrawAspect="Content" ObjectID="_1618290704" r:id="rId31"/>
        </w:object>
      </w:r>
      <w:r w:rsidRPr="00DF48FF">
        <w:rPr>
          <w:rFonts w:ascii="Arial" w:hAnsi="Arial" w:cs="Arial"/>
          <w:sz w:val="20"/>
          <w:szCs w:val="20"/>
        </w:rPr>
        <w:t xml:space="preserve"> resp. </w:t>
      </w:r>
      <w:r w:rsidR="002A4577" w:rsidRPr="00F83D7E">
        <w:rPr>
          <w:rFonts w:ascii="Arial" w:hAnsi="Arial" w:cs="Arial"/>
          <w:position w:val="-32"/>
          <w:sz w:val="20"/>
          <w:szCs w:val="20"/>
        </w:rPr>
        <w:object w:dxaOrig="1840" w:dyaOrig="720">
          <v:shape id="_x0000_i1039" type="#_x0000_t75" style="width:91.5pt;height:36pt" o:ole="">
            <v:imagedata r:id="rId32" o:title=""/>
          </v:shape>
          <o:OLEObject Type="Embed" ProgID="Equation.DSMT4" ShapeID="_x0000_i1039" DrawAspect="Content" ObjectID="_1618290705" r:id="rId33"/>
        </w:object>
      </w:r>
    </w:p>
    <w:p w:rsidR="002A4577" w:rsidRPr="00F83D7E" w:rsidRDefault="00DF48FF">
      <w:pPr>
        <w:spacing w:after="240"/>
        <w:ind w:firstLine="709"/>
        <w:jc w:val="both"/>
        <w:rPr>
          <w:rFonts w:ascii="Arial" w:hAnsi="Arial" w:cs="Arial"/>
          <w:sz w:val="20"/>
          <w:szCs w:val="20"/>
        </w:rPr>
      </w:pPr>
      <w:r w:rsidRPr="00DF48FF">
        <w:rPr>
          <w:rFonts w:ascii="Arial" w:hAnsi="Arial" w:cs="Arial"/>
          <w:sz w:val="20"/>
          <w:szCs w:val="20"/>
        </w:rPr>
        <w:t>Při výpočtech intervalů spolehlivosti v tabulkách III. až V. se sice z tohoto vzorce vycházelo, ovšem navíc se do každého jednotlivého výsledku promítl ještě vliv tzv. design efektu. Je to vlastně vliv skutečnosti, že výběrovým schématem ve skutečnosti nebyl prostý náhodný výběr, jak standardní vzorce předpokládají, ale výběr stratifikovaný na úrovni kraje a 4 velikostních skupin obcí a dále dvoustupňový (nejprve náhodný výběr sčítacích obvodů a následně bytů v každém z nich). Obecně se vyjadřuje podle vzorce:</w:t>
      </w:r>
    </w:p>
    <w:p w:rsidR="002A4577" w:rsidRPr="00F83D7E" w:rsidRDefault="00DF48FF">
      <w:pPr>
        <w:spacing w:after="240"/>
        <w:ind w:firstLine="709"/>
        <w:rPr>
          <w:rFonts w:ascii="Arial" w:hAnsi="Arial" w:cs="Arial"/>
          <w:sz w:val="20"/>
          <w:szCs w:val="20"/>
        </w:rPr>
      </w:pPr>
      <w:r w:rsidRPr="00DF48FF">
        <w:rPr>
          <w:rFonts w:ascii="Arial" w:hAnsi="Arial" w:cs="Arial"/>
          <w:sz w:val="20"/>
          <w:szCs w:val="20"/>
        </w:rPr>
        <w:tab/>
      </w:r>
      <w:proofErr w:type="spellStart"/>
      <w:r w:rsidRPr="00DF48FF">
        <w:rPr>
          <w:rFonts w:ascii="Arial" w:hAnsi="Arial" w:cs="Arial"/>
          <w:i/>
          <w:iCs/>
          <w:sz w:val="20"/>
          <w:szCs w:val="20"/>
        </w:rPr>
        <w:t>deff</w:t>
      </w:r>
      <w:proofErr w:type="spellEnd"/>
      <w:r w:rsidRPr="00DF48FF">
        <w:rPr>
          <w:rFonts w:ascii="Arial" w:hAnsi="Arial" w:cs="Arial"/>
          <w:i/>
          <w:iCs/>
          <w:sz w:val="20"/>
          <w:szCs w:val="20"/>
        </w:rPr>
        <w:t xml:space="preserve"> (h) = </w:t>
      </w:r>
      <w:proofErr w:type="spellStart"/>
      <w:r w:rsidRPr="00DF48FF">
        <w:rPr>
          <w:rFonts w:ascii="Arial" w:hAnsi="Arial" w:cs="Arial"/>
          <w:i/>
          <w:iCs/>
          <w:sz w:val="20"/>
          <w:szCs w:val="20"/>
        </w:rPr>
        <w:t>s</w:t>
      </w:r>
      <w:r w:rsidRPr="00DF48FF">
        <w:rPr>
          <w:rFonts w:ascii="Arial" w:hAnsi="Arial" w:cs="Arial"/>
          <w:i/>
          <w:iCs/>
          <w:sz w:val="20"/>
          <w:szCs w:val="20"/>
          <w:vertAlign w:val="subscript"/>
        </w:rPr>
        <w:t>h</w:t>
      </w:r>
      <w:proofErr w:type="spellEnd"/>
      <w:r w:rsidRPr="00DF48FF">
        <w:rPr>
          <w:rFonts w:ascii="Arial" w:hAnsi="Arial" w:cs="Arial"/>
          <w:i/>
          <w:iCs/>
          <w:sz w:val="20"/>
          <w:szCs w:val="20"/>
          <w:vertAlign w:val="superscript"/>
          <w:lang w:val="en-US"/>
        </w:rPr>
        <w:t>2</w:t>
      </w:r>
      <w:r w:rsidRPr="00DF48FF">
        <w:rPr>
          <w:rFonts w:ascii="Arial" w:hAnsi="Arial" w:cs="Arial"/>
          <w:i/>
          <w:iCs/>
          <w:sz w:val="20"/>
          <w:szCs w:val="20"/>
        </w:rPr>
        <w:t xml:space="preserve"> / s</w:t>
      </w:r>
      <w:r w:rsidRPr="00DF48FF">
        <w:rPr>
          <w:rFonts w:ascii="Arial" w:hAnsi="Arial" w:cs="Arial"/>
          <w:i/>
          <w:iCs/>
          <w:sz w:val="20"/>
          <w:szCs w:val="20"/>
          <w:vertAlign w:val="subscript"/>
        </w:rPr>
        <w:t>h</w:t>
      </w:r>
      <w:r w:rsidRPr="00DF48FF">
        <w:rPr>
          <w:rFonts w:ascii="Arial" w:hAnsi="Arial" w:cs="Arial"/>
          <w:i/>
          <w:iCs/>
          <w:sz w:val="20"/>
          <w:szCs w:val="20"/>
          <w:vertAlign w:val="superscript"/>
        </w:rPr>
        <w:t>2</w:t>
      </w:r>
      <w:r w:rsidRPr="00DF48FF">
        <w:rPr>
          <w:rFonts w:ascii="Arial" w:hAnsi="Arial" w:cs="Arial"/>
          <w:i/>
          <w:iCs/>
          <w:sz w:val="20"/>
          <w:szCs w:val="20"/>
          <w:lang w:val="en-US"/>
        </w:rPr>
        <w:t>{</w:t>
      </w:r>
      <w:proofErr w:type="spellStart"/>
      <w:r w:rsidRPr="00DF48FF">
        <w:rPr>
          <w:rFonts w:ascii="Arial" w:hAnsi="Arial" w:cs="Arial"/>
          <w:i/>
          <w:iCs/>
          <w:sz w:val="20"/>
          <w:szCs w:val="20"/>
        </w:rPr>
        <w:t>pnv</w:t>
      </w:r>
      <w:proofErr w:type="spellEnd"/>
      <w:r w:rsidRPr="00DF48FF">
        <w:rPr>
          <w:rFonts w:ascii="Arial" w:hAnsi="Arial" w:cs="Arial"/>
          <w:i/>
          <w:iCs/>
          <w:sz w:val="20"/>
          <w:szCs w:val="20"/>
        </w:rPr>
        <w:t>}</w:t>
      </w:r>
      <w:r w:rsidRPr="00DF48FF">
        <w:rPr>
          <w:rFonts w:ascii="Arial" w:hAnsi="Arial" w:cs="Arial"/>
          <w:sz w:val="20"/>
          <w:szCs w:val="20"/>
        </w:rPr>
        <w:t>,</w:t>
      </w:r>
      <w:r w:rsidRPr="00DF48FF">
        <w:rPr>
          <w:rFonts w:ascii="Arial" w:hAnsi="Arial" w:cs="Arial"/>
          <w:sz w:val="20"/>
          <w:szCs w:val="20"/>
        </w:rPr>
        <w:tab/>
      </w:r>
      <w:r w:rsidRPr="00DF48FF">
        <w:rPr>
          <w:rFonts w:ascii="Arial" w:hAnsi="Arial" w:cs="Arial"/>
          <w:sz w:val="20"/>
          <w:szCs w:val="20"/>
        </w:rPr>
        <w:tab/>
      </w:r>
      <w:r w:rsidRPr="00DF48FF">
        <w:rPr>
          <w:rFonts w:ascii="Arial" w:hAnsi="Arial" w:cs="Arial"/>
          <w:sz w:val="20"/>
          <w:szCs w:val="20"/>
        </w:rPr>
        <w:tab/>
      </w:r>
      <w:r w:rsidRPr="00DF48FF">
        <w:rPr>
          <w:rFonts w:ascii="Arial" w:hAnsi="Arial" w:cs="Arial"/>
          <w:sz w:val="20"/>
          <w:szCs w:val="20"/>
        </w:rPr>
        <w:tab/>
      </w:r>
      <w:r w:rsidRPr="00DF48FF">
        <w:rPr>
          <w:rFonts w:ascii="Arial" w:hAnsi="Arial" w:cs="Arial"/>
          <w:sz w:val="20"/>
          <w:szCs w:val="20"/>
        </w:rPr>
        <w:tab/>
      </w:r>
      <w:r w:rsidRPr="00DF48FF">
        <w:rPr>
          <w:rFonts w:ascii="Arial" w:hAnsi="Arial" w:cs="Arial"/>
          <w:sz w:val="20"/>
          <w:szCs w:val="20"/>
        </w:rPr>
        <w:tab/>
        <w:t>(3)</w:t>
      </w:r>
    </w:p>
    <w:p w:rsidR="002A4577" w:rsidRPr="00F83D7E" w:rsidRDefault="00DF48FF">
      <w:pPr>
        <w:spacing w:after="120"/>
        <w:rPr>
          <w:rFonts w:ascii="Arial" w:hAnsi="Arial" w:cs="Arial"/>
          <w:sz w:val="20"/>
          <w:szCs w:val="20"/>
        </w:rPr>
      </w:pPr>
      <w:r w:rsidRPr="00DF48FF">
        <w:rPr>
          <w:rFonts w:ascii="Arial" w:hAnsi="Arial" w:cs="Arial"/>
          <w:sz w:val="20"/>
          <w:szCs w:val="20"/>
        </w:rPr>
        <w:tab/>
        <w:t>s</w:t>
      </w:r>
      <w:r w:rsidRPr="00DF48FF">
        <w:rPr>
          <w:rFonts w:ascii="Arial" w:hAnsi="Arial" w:cs="Arial"/>
          <w:sz w:val="20"/>
          <w:szCs w:val="20"/>
          <w:vertAlign w:val="subscript"/>
        </w:rPr>
        <w:t>h</w:t>
      </w:r>
      <w:r w:rsidRPr="00DF48FF">
        <w:rPr>
          <w:rFonts w:ascii="Arial" w:hAnsi="Arial" w:cs="Arial"/>
          <w:sz w:val="20"/>
          <w:szCs w:val="20"/>
          <w:vertAlign w:val="superscript"/>
        </w:rPr>
        <w:t xml:space="preserve">2 </w:t>
      </w:r>
      <w:r w:rsidRPr="00DF48FF">
        <w:rPr>
          <w:rFonts w:ascii="Arial" w:hAnsi="Arial" w:cs="Arial"/>
          <w:sz w:val="20"/>
          <w:szCs w:val="20"/>
        </w:rPr>
        <w:tab/>
      </w:r>
      <w:r w:rsidRPr="00DF48FF">
        <w:rPr>
          <w:rFonts w:ascii="Arial" w:hAnsi="Arial" w:cs="Arial"/>
          <w:sz w:val="20"/>
          <w:szCs w:val="20"/>
        </w:rPr>
        <w:tab/>
        <w:t xml:space="preserve">je rozptyl proměnné </w:t>
      </w:r>
      <w:r w:rsidRPr="00DF48FF">
        <w:rPr>
          <w:rFonts w:ascii="Arial" w:hAnsi="Arial" w:cs="Arial"/>
          <w:i/>
          <w:iCs/>
          <w:sz w:val="20"/>
          <w:szCs w:val="20"/>
        </w:rPr>
        <w:t>h</w:t>
      </w:r>
      <w:r w:rsidRPr="00DF48FF">
        <w:rPr>
          <w:rFonts w:ascii="Arial" w:hAnsi="Arial" w:cs="Arial"/>
          <w:sz w:val="20"/>
          <w:szCs w:val="20"/>
        </w:rPr>
        <w:t xml:space="preserve"> při skutečném výběrovém schématu</w:t>
      </w:r>
    </w:p>
    <w:p w:rsidR="002A4577" w:rsidRPr="00F83D7E" w:rsidRDefault="00DF48FF">
      <w:pPr>
        <w:spacing w:after="120"/>
        <w:rPr>
          <w:rFonts w:ascii="Arial" w:hAnsi="Arial" w:cs="Arial"/>
          <w:sz w:val="20"/>
          <w:szCs w:val="20"/>
        </w:rPr>
      </w:pPr>
      <w:r w:rsidRPr="00DF48FF">
        <w:rPr>
          <w:rFonts w:ascii="Arial" w:hAnsi="Arial" w:cs="Arial"/>
          <w:sz w:val="20"/>
          <w:szCs w:val="20"/>
        </w:rPr>
        <w:t xml:space="preserve">   </w:t>
      </w:r>
      <w:r w:rsidRPr="00DF48FF">
        <w:rPr>
          <w:rFonts w:ascii="Arial" w:hAnsi="Arial" w:cs="Arial"/>
          <w:sz w:val="20"/>
          <w:szCs w:val="20"/>
        </w:rPr>
        <w:tab/>
        <w:t>s</w:t>
      </w:r>
      <w:r w:rsidRPr="00DF48FF">
        <w:rPr>
          <w:rFonts w:ascii="Arial" w:hAnsi="Arial" w:cs="Arial"/>
          <w:sz w:val="20"/>
          <w:szCs w:val="20"/>
          <w:vertAlign w:val="subscript"/>
        </w:rPr>
        <w:t>h</w:t>
      </w:r>
      <w:r w:rsidRPr="00DF48FF">
        <w:rPr>
          <w:rFonts w:ascii="Arial" w:hAnsi="Arial" w:cs="Arial"/>
          <w:sz w:val="20"/>
          <w:szCs w:val="20"/>
          <w:vertAlign w:val="superscript"/>
        </w:rPr>
        <w:t>2</w:t>
      </w:r>
      <w:r w:rsidRPr="00DF48FF">
        <w:rPr>
          <w:rFonts w:ascii="Arial" w:hAnsi="Arial" w:cs="Arial"/>
          <w:i/>
          <w:iCs/>
          <w:sz w:val="20"/>
          <w:szCs w:val="20"/>
        </w:rPr>
        <w:t>{</w:t>
      </w:r>
      <w:proofErr w:type="spellStart"/>
      <w:r w:rsidRPr="00DF48FF">
        <w:rPr>
          <w:rFonts w:ascii="Arial" w:hAnsi="Arial" w:cs="Arial"/>
          <w:i/>
          <w:iCs/>
          <w:sz w:val="20"/>
          <w:szCs w:val="20"/>
        </w:rPr>
        <w:t>pnv</w:t>
      </w:r>
      <w:proofErr w:type="spellEnd"/>
      <w:r w:rsidRPr="00DF48FF">
        <w:rPr>
          <w:rFonts w:ascii="Arial" w:hAnsi="Arial" w:cs="Arial"/>
          <w:i/>
          <w:iCs/>
          <w:sz w:val="20"/>
          <w:szCs w:val="20"/>
        </w:rPr>
        <w:t>}</w:t>
      </w:r>
      <w:r w:rsidRPr="00DF48FF">
        <w:rPr>
          <w:rFonts w:ascii="Arial" w:hAnsi="Arial" w:cs="Arial"/>
          <w:sz w:val="20"/>
          <w:szCs w:val="20"/>
        </w:rPr>
        <w:t xml:space="preserve"> </w:t>
      </w:r>
      <w:r w:rsidRPr="00DF48FF">
        <w:rPr>
          <w:rFonts w:ascii="Arial" w:hAnsi="Arial" w:cs="Arial"/>
          <w:sz w:val="20"/>
          <w:szCs w:val="20"/>
        </w:rPr>
        <w:tab/>
        <w:t xml:space="preserve">je rozptyl proměnné </w:t>
      </w:r>
      <w:r w:rsidRPr="00DF48FF">
        <w:rPr>
          <w:rFonts w:ascii="Arial" w:hAnsi="Arial" w:cs="Arial"/>
          <w:i/>
          <w:iCs/>
          <w:sz w:val="20"/>
          <w:szCs w:val="20"/>
        </w:rPr>
        <w:t>h</w:t>
      </w:r>
      <w:r w:rsidRPr="00DF48FF">
        <w:rPr>
          <w:rFonts w:ascii="Arial" w:hAnsi="Arial" w:cs="Arial"/>
          <w:sz w:val="20"/>
          <w:szCs w:val="20"/>
        </w:rPr>
        <w:t xml:space="preserve"> při prostém náhodném výběru.</w:t>
      </w:r>
    </w:p>
    <w:p w:rsidR="002A4577" w:rsidRPr="00F83D7E" w:rsidRDefault="002A4577">
      <w:pPr>
        <w:pStyle w:val="Zpat"/>
        <w:tabs>
          <w:tab w:val="clear" w:pos="4536"/>
          <w:tab w:val="clear" w:pos="9072"/>
        </w:tabs>
        <w:rPr>
          <w:rFonts w:ascii="Arial" w:hAnsi="Arial" w:cs="Arial"/>
          <w:sz w:val="20"/>
          <w:szCs w:val="20"/>
        </w:rPr>
      </w:pPr>
    </w:p>
    <w:p w:rsidR="002A4577" w:rsidRPr="00F83D7E" w:rsidRDefault="00DF48FF">
      <w:pPr>
        <w:spacing w:after="120"/>
        <w:jc w:val="both"/>
        <w:rPr>
          <w:rFonts w:ascii="Arial" w:hAnsi="Arial" w:cs="Arial"/>
          <w:sz w:val="20"/>
          <w:szCs w:val="20"/>
        </w:rPr>
      </w:pPr>
      <w:r w:rsidRPr="00DF48FF">
        <w:rPr>
          <w:rFonts w:ascii="Arial" w:hAnsi="Arial" w:cs="Arial"/>
          <w:sz w:val="20"/>
          <w:szCs w:val="20"/>
        </w:rPr>
        <w:tab/>
        <w:t>Z obecné teorie je známo, že stratifikace výběru rozptyl o něco snižuje, zatímco „</w:t>
      </w:r>
      <w:proofErr w:type="spellStart"/>
      <w:r w:rsidRPr="00DF48FF">
        <w:rPr>
          <w:rFonts w:ascii="Arial" w:hAnsi="Arial" w:cs="Arial"/>
          <w:sz w:val="20"/>
          <w:szCs w:val="20"/>
        </w:rPr>
        <w:t>dvoustupňovost</w:t>
      </w:r>
      <w:proofErr w:type="spellEnd"/>
      <w:r w:rsidRPr="00DF48FF">
        <w:rPr>
          <w:rFonts w:ascii="Arial" w:hAnsi="Arial" w:cs="Arial"/>
          <w:sz w:val="20"/>
          <w:szCs w:val="20"/>
        </w:rPr>
        <w:t xml:space="preserve">“ naopak činí odhady ze stejného počtu pozorování méně vydatnými. Do výběrového souboru se vzhledem k celkovému počtu bytů dostalo absolutně i relativně více sčítacích obvodů. Vliv zmíněného </w:t>
      </w:r>
      <w:proofErr w:type="spellStart"/>
      <w:r w:rsidRPr="00DF48FF">
        <w:rPr>
          <w:rFonts w:ascii="Arial" w:hAnsi="Arial" w:cs="Arial"/>
          <w:sz w:val="20"/>
          <w:szCs w:val="20"/>
        </w:rPr>
        <w:t>deff</w:t>
      </w:r>
      <w:proofErr w:type="spellEnd"/>
      <w:r w:rsidRPr="00DF48FF">
        <w:rPr>
          <w:rFonts w:ascii="Arial" w:hAnsi="Arial" w:cs="Arial"/>
          <w:sz w:val="20"/>
          <w:szCs w:val="20"/>
        </w:rPr>
        <w:t xml:space="preserve"> se tedy v souladu s očekáváními o něco snížil tak, že došlo k vyrovnání obou efektů a jeho hodnoty se u ne zřídka zastoupených druhů příjmů za celou ČR pohybovaly v těsné blízkosti 1.</w:t>
      </w:r>
    </w:p>
    <w:p w:rsidR="00315362" w:rsidRDefault="00F526C1">
      <w:pPr>
        <w:pStyle w:val="Zkladntext"/>
        <w:tabs>
          <w:tab w:val="left" w:pos="709"/>
          <w:tab w:val="left" w:pos="2340"/>
          <w:tab w:val="left" w:pos="3420"/>
        </w:tabs>
        <w:rPr>
          <w:rFonts w:ascii="Arial" w:hAnsi="Arial" w:cs="Arial"/>
          <w:sz w:val="20"/>
          <w:szCs w:val="20"/>
          <w:u w:val="single"/>
        </w:rPr>
      </w:pPr>
      <w:r>
        <w:rPr>
          <w:rFonts w:ascii="Arial" w:hAnsi="Arial" w:cs="Arial"/>
          <w:sz w:val="20"/>
          <w:szCs w:val="20"/>
        </w:rPr>
        <w:tab/>
      </w:r>
      <w:r w:rsidR="00DF48FF" w:rsidRPr="00DF48FF">
        <w:rPr>
          <w:rFonts w:ascii="Arial" w:hAnsi="Arial" w:cs="Arial"/>
          <w:sz w:val="20"/>
          <w:szCs w:val="20"/>
        </w:rPr>
        <w:t>Pro výpočet hodnot v tabulkách III. až V. byla tedy použita modifikace vzorců (2a) resp. (2b) s tím, že bylo nutné zvlášť pro každý případ rozložit variabilitu na jednotlivé složky podle použitého výběrového schématu.</w:t>
      </w:r>
      <w:r>
        <w:rPr>
          <w:rFonts w:ascii="Arial" w:hAnsi="Arial" w:cs="Arial"/>
          <w:sz w:val="20"/>
          <w:szCs w:val="20"/>
          <w:u w:val="single"/>
        </w:rPr>
        <w:t xml:space="preserve"> </w:t>
      </w:r>
    </w:p>
    <w:p w:rsidR="00315362" w:rsidRDefault="00E269F7">
      <w:pPr>
        <w:pStyle w:val="Zkladntext"/>
        <w:tabs>
          <w:tab w:val="left" w:pos="709"/>
          <w:tab w:val="left" w:pos="2340"/>
          <w:tab w:val="left" w:pos="3420"/>
        </w:tabs>
        <w:spacing w:before="120"/>
        <w:rPr>
          <w:rFonts w:ascii="Arial" w:hAnsi="Arial" w:cs="Arial"/>
          <w:sz w:val="20"/>
          <w:szCs w:val="20"/>
        </w:rPr>
      </w:pPr>
      <w:r w:rsidRPr="00E269F7">
        <w:rPr>
          <w:rFonts w:ascii="Arial" w:hAnsi="Arial" w:cs="Arial"/>
          <w:sz w:val="20"/>
          <w:szCs w:val="20"/>
        </w:rPr>
        <w:tab/>
        <w:t>Pro hodnoty v tabulce VI. byly použity analogické vzorce zohledňující fakt, že se jedná o podíl odhadů četností v závislosti na splnění podmínek pro zahrnutí do výpočtu jednotlivých indikátorů.</w:t>
      </w:r>
    </w:p>
    <w:p w:rsidR="00CE265B" w:rsidRDefault="00CE265B">
      <w:pPr>
        <w:pStyle w:val="Zkladntext"/>
        <w:tabs>
          <w:tab w:val="left" w:pos="900"/>
          <w:tab w:val="left" w:pos="2340"/>
          <w:tab w:val="left" w:pos="3420"/>
        </w:tabs>
        <w:ind w:firstLine="720"/>
        <w:rPr>
          <w:rFonts w:ascii="Arial" w:hAnsi="Arial" w:cs="Arial"/>
          <w:sz w:val="20"/>
          <w:szCs w:val="20"/>
          <w:u w:val="single"/>
        </w:rPr>
      </w:pPr>
    </w:p>
    <w:p w:rsidR="002F09DA" w:rsidRDefault="002F09DA">
      <w:pPr>
        <w:pStyle w:val="Zkladntext"/>
        <w:tabs>
          <w:tab w:val="left" w:pos="900"/>
          <w:tab w:val="left" w:pos="2340"/>
          <w:tab w:val="left" w:pos="3420"/>
        </w:tabs>
        <w:ind w:firstLine="720"/>
        <w:rPr>
          <w:rFonts w:ascii="Arial" w:hAnsi="Arial" w:cs="Arial"/>
          <w:sz w:val="20"/>
          <w:szCs w:val="20"/>
          <w:u w:val="single"/>
        </w:rPr>
      </w:pPr>
    </w:p>
    <w:p w:rsidR="00CE265B" w:rsidRDefault="00CE265B">
      <w:pPr>
        <w:pStyle w:val="Zkladntext"/>
        <w:tabs>
          <w:tab w:val="left" w:pos="900"/>
          <w:tab w:val="left" w:pos="2340"/>
          <w:tab w:val="left" w:pos="3420"/>
        </w:tabs>
        <w:ind w:firstLine="720"/>
        <w:rPr>
          <w:rFonts w:ascii="Arial" w:hAnsi="Arial" w:cs="Arial"/>
          <w:sz w:val="20"/>
          <w:szCs w:val="20"/>
          <w:u w:val="single"/>
        </w:rPr>
      </w:pPr>
    </w:p>
    <w:p w:rsidR="00F9161F" w:rsidRDefault="00F9161F">
      <w:pPr>
        <w:pStyle w:val="Zkladntext"/>
        <w:tabs>
          <w:tab w:val="left" w:pos="900"/>
          <w:tab w:val="left" w:pos="2340"/>
          <w:tab w:val="left" w:pos="3420"/>
        </w:tabs>
        <w:ind w:firstLine="720"/>
        <w:rPr>
          <w:rFonts w:ascii="Arial" w:hAnsi="Arial" w:cs="Arial"/>
          <w:sz w:val="20"/>
          <w:szCs w:val="20"/>
          <w:u w:val="single"/>
        </w:rPr>
      </w:pPr>
    </w:p>
    <w:p w:rsidR="00F9161F" w:rsidRDefault="00F9161F">
      <w:pPr>
        <w:pStyle w:val="Zkladntext"/>
        <w:tabs>
          <w:tab w:val="left" w:pos="900"/>
          <w:tab w:val="left" w:pos="2340"/>
          <w:tab w:val="left" w:pos="3420"/>
        </w:tabs>
        <w:ind w:firstLine="720"/>
        <w:rPr>
          <w:rFonts w:ascii="Arial" w:hAnsi="Arial" w:cs="Arial"/>
          <w:sz w:val="20"/>
          <w:szCs w:val="20"/>
          <w:u w:val="single"/>
        </w:rPr>
      </w:pPr>
    </w:p>
    <w:p w:rsidR="00F9161F" w:rsidRDefault="00F9161F">
      <w:pPr>
        <w:pStyle w:val="Zkladntext"/>
        <w:tabs>
          <w:tab w:val="left" w:pos="900"/>
          <w:tab w:val="left" w:pos="2340"/>
          <w:tab w:val="left" w:pos="3420"/>
        </w:tabs>
        <w:ind w:firstLine="720"/>
        <w:rPr>
          <w:rFonts w:ascii="Arial" w:hAnsi="Arial" w:cs="Arial"/>
          <w:sz w:val="20"/>
          <w:szCs w:val="20"/>
          <w:u w:val="single"/>
        </w:rPr>
      </w:pPr>
    </w:p>
    <w:p w:rsidR="00F9161F" w:rsidRDefault="00F9161F">
      <w:pPr>
        <w:pStyle w:val="Zkladntext"/>
        <w:tabs>
          <w:tab w:val="left" w:pos="900"/>
          <w:tab w:val="left" w:pos="2340"/>
          <w:tab w:val="left" w:pos="3420"/>
        </w:tabs>
        <w:ind w:firstLine="720"/>
        <w:rPr>
          <w:rFonts w:ascii="Arial" w:hAnsi="Arial" w:cs="Arial"/>
          <w:sz w:val="20"/>
          <w:szCs w:val="20"/>
          <w:u w:val="single"/>
        </w:rPr>
      </w:pPr>
    </w:p>
    <w:p w:rsidR="00CE265B" w:rsidRDefault="00CE265B">
      <w:pPr>
        <w:pStyle w:val="Zkladntext"/>
        <w:tabs>
          <w:tab w:val="left" w:pos="900"/>
          <w:tab w:val="left" w:pos="2340"/>
          <w:tab w:val="left" w:pos="3420"/>
        </w:tabs>
        <w:ind w:firstLine="720"/>
        <w:rPr>
          <w:rFonts w:ascii="Arial" w:hAnsi="Arial" w:cs="Arial"/>
          <w:sz w:val="20"/>
          <w:szCs w:val="20"/>
          <w:u w:val="single"/>
        </w:rPr>
      </w:pPr>
    </w:p>
    <w:p w:rsidR="00CE265B" w:rsidRPr="00F83D7E" w:rsidRDefault="00CE265B">
      <w:pPr>
        <w:pStyle w:val="Zkladntext"/>
        <w:tabs>
          <w:tab w:val="left" w:pos="900"/>
          <w:tab w:val="left" w:pos="2340"/>
          <w:tab w:val="left" w:pos="3420"/>
        </w:tabs>
        <w:ind w:firstLine="720"/>
        <w:rPr>
          <w:rFonts w:ascii="Arial" w:hAnsi="Arial" w:cs="Arial"/>
          <w:sz w:val="20"/>
          <w:szCs w:val="20"/>
          <w:u w:val="single"/>
        </w:rPr>
      </w:pPr>
    </w:p>
    <w:p w:rsidR="002A4577" w:rsidRPr="00F83D7E" w:rsidRDefault="00DF48FF">
      <w:pPr>
        <w:pStyle w:val="Zkladntext"/>
        <w:tabs>
          <w:tab w:val="left" w:pos="900"/>
          <w:tab w:val="left" w:pos="2340"/>
          <w:tab w:val="left" w:pos="3420"/>
        </w:tabs>
        <w:rPr>
          <w:rFonts w:ascii="Arial" w:hAnsi="Arial" w:cs="Arial"/>
          <w:sz w:val="20"/>
          <w:szCs w:val="20"/>
        </w:rPr>
      </w:pPr>
      <w:r w:rsidRPr="00DF48FF">
        <w:rPr>
          <w:rFonts w:ascii="Arial" w:hAnsi="Arial" w:cs="Arial"/>
          <w:sz w:val="20"/>
          <w:szCs w:val="20"/>
        </w:rPr>
        <w:tab/>
      </w:r>
      <w:r w:rsidRPr="00DF48FF">
        <w:rPr>
          <w:rFonts w:ascii="Arial" w:hAnsi="Arial" w:cs="Arial"/>
          <w:sz w:val="20"/>
          <w:szCs w:val="20"/>
        </w:rPr>
        <w:tab/>
      </w:r>
      <w:r w:rsidRPr="00DF48FF">
        <w:rPr>
          <w:rFonts w:ascii="Arial" w:hAnsi="Arial" w:cs="Arial"/>
          <w:sz w:val="20"/>
          <w:szCs w:val="20"/>
        </w:rPr>
        <w:tab/>
      </w:r>
      <w:r w:rsidRPr="00DF48FF">
        <w:rPr>
          <w:rFonts w:ascii="Arial" w:hAnsi="Arial" w:cs="Arial"/>
          <w:sz w:val="20"/>
          <w:szCs w:val="20"/>
        </w:rPr>
        <w:tab/>
      </w:r>
      <w:r w:rsidR="00EC5424">
        <w:rPr>
          <w:rFonts w:ascii="Arial" w:hAnsi="Arial" w:cs="Arial"/>
          <w:sz w:val="20"/>
          <w:szCs w:val="20"/>
        </w:rPr>
        <w:tab/>
      </w:r>
      <w:r w:rsidRPr="00DF48FF">
        <w:rPr>
          <w:rFonts w:ascii="Arial" w:hAnsi="Arial" w:cs="Arial"/>
          <w:sz w:val="20"/>
          <w:szCs w:val="20"/>
        </w:rPr>
        <w:t xml:space="preserve">x    </w:t>
      </w:r>
      <w:proofErr w:type="spellStart"/>
      <w:r w:rsidRPr="00DF48FF">
        <w:rPr>
          <w:rFonts w:ascii="Arial" w:hAnsi="Arial" w:cs="Arial"/>
          <w:sz w:val="20"/>
          <w:szCs w:val="20"/>
        </w:rPr>
        <w:t>x</w:t>
      </w:r>
      <w:proofErr w:type="spellEnd"/>
      <w:r w:rsidRPr="00DF48FF">
        <w:rPr>
          <w:rFonts w:ascii="Arial" w:hAnsi="Arial" w:cs="Arial"/>
          <w:sz w:val="20"/>
          <w:szCs w:val="20"/>
        </w:rPr>
        <w:t xml:space="preserve">    </w:t>
      </w:r>
      <w:proofErr w:type="spellStart"/>
      <w:r w:rsidRPr="00DF48FF">
        <w:rPr>
          <w:rFonts w:ascii="Arial" w:hAnsi="Arial" w:cs="Arial"/>
          <w:sz w:val="20"/>
          <w:szCs w:val="20"/>
        </w:rPr>
        <w:t>x</w:t>
      </w:r>
      <w:proofErr w:type="spellEnd"/>
    </w:p>
    <w:p w:rsidR="002A4577" w:rsidRPr="00F83D7E" w:rsidRDefault="002A4577">
      <w:pPr>
        <w:pStyle w:val="Zkladntext"/>
        <w:tabs>
          <w:tab w:val="left" w:pos="900"/>
          <w:tab w:val="left" w:pos="2340"/>
          <w:tab w:val="left" w:pos="3420"/>
        </w:tabs>
        <w:spacing w:line="360" w:lineRule="auto"/>
        <w:ind w:firstLine="720"/>
        <w:rPr>
          <w:rFonts w:ascii="Arial" w:hAnsi="Arial" w:cs="Arial"/>
          <w:sz w:val="20"/>
          <w:szCs w:val="20"/>
        </w:rPr>
      </w:pPr>
    </w:p>
    <w:p w:rsidR="002A4577" w:rsidRPr="00E55FF1" w:rsidRDefault="00DF48FF">
      <w:pPr>
        <w:pStyle w:val="Zkladntext"/>
        <w:tabs>
          <w:tab w:val="left" w:pos="900"/>
          <w:tab w:val="left" w:pos="2340"/>
          <w:tab w:val="left" w:pos="3420"/>
        </w:tabs>
        <w:rPr>
          <w:rFonts w:ascii="Arial" w:hAnsi="Arial" w:cs="Arial"/>
          <w:sz w:val="20"/>
          <w:szCs w:val="20"/>
        </w:rPr>
      </w:pPr>
      <w:r w:rsidRPr="00DF48FF">
        <w:rPr>
          <w:rFonts w:ascii="Arial" w:hAnsi="Arial" w:cs="Arial"/>
          <w:sz w:val="20"/>
          <w:szCs w:val="20"/>
        </w:rPr>
        <w:t xml:space="preserve">Publikace zahrnuje jen některé výsledky šetření o příjmech a životních podmínkách domácností ČR - </w:t>
      </w:r>
      <w:r w:rsidRPr="00DF48FF">
        <w:rPr>
          <w:rFonts w:ascii="Arial" w:hAnsi="Arial" w:cs="Arial"/>
          <w:i/>
          <w:iCs/>
          <w:sz w:val="20"/>
          <w:szCs w:val="20"/>
        </w:rPr>
        <w:t>Životní podmínky 201</w:t>
      </w:r>
      <w:r w:rsidR="0014539B">
        <w:rPr>
          <w:rFonts w:ascii="Arial" w:hAnsi="Arial" w:cs="Arial"/>
          <w:i/>
          <w:iCs/>
          <w:sz w:val="20"/>
          <w:szCs w:val="20"/>
        </w:rPr>
        <w:t>8</w:t>
      </w:r>
      <w:r w:rsidRPr="00DF48FF">
        <w:rPr>
          <w:rFonts w:ascii="Arial" w:hAnsi="Arial" w:cs="Arial"/>
          <w:sz w:val="20"/>
          <w:szCs w:val="20"/>
        </w:rPr>
        <w:t xml:space="preserve">. Zpracování jiných výstupů zprostředkuje zájemcům v rámci svých placených služeb (úhrada nákladů zpracování) Oddělení informačních služeb ČSÚ, Na padesátém 81, 100 82 Praha 10 - Strašnice, tel. 274 052 304 nebo </w:t>
      </w:r>
      <w:r w:rsidR="00CA40B3">
        <w:rPr>
          <w:rFonts w:ascii="Arial" w:hAnsi="Arial" w:cs="Arial"/>
          <w:sz w:val="20"/>
          <w:szCs w:val="20"/>
        </w:rPr>
        <w:t>274 052 6</w:t>
      </w:r>
      <w:r w:rsidR="001B2640" w:rsidRPr="001B2640">
        <w:rPr>
          <w:rFonts w:ascii="Arial" w:hAnsi="Arial" w:cs="Arial"/>
          <w:sz w:val="20"/>
          <w:szCs w:val="20"/>
        </w:rPr>
        <w:t>48, e</w:t>
      </w:r>
      <w:r w:rsidR="001B2640" w:rsidRPr="001B2640">
        <w:rPr>
          <w:rFonts w:ascii="Arial" w:hAnsi="Arial" w:cs="Arial"/>
          <w:sz w:val="20"/>
          <w:szCs w:val="20"/>
        </w:rPr>
        <w:noBreakHyphen/>
        <w:t xml:space="preserve">mail: </w:t>
      </w:r>
      <w:hyperlink r:id="rId34" w:history="1">
        <w:r w:rsidR="001B2640" w:rsidRPr="001B2640">
          <w:rPr>
            <w:rStyle w:val="Hypertextovodkaz"/>
            <w:rFonts w:ascii="Arial" w:hAnsi="Arial" w:cs="Arial"/>
            <w:color w:val="auto"/>
            <w:sz w:val="20"/>
            <w:szCs w:val="20"/>
          </w:rPr>
          <w:t>infoservis@czso.cz</w:t>
        </w:r>
      </w:hyperlink>
    </w:p>
    <w:sectPr w:rsidR="002A4577" w:rsidRPr="00E55FF1" w:rsidSect="00CF3C06">
      <w:headerReference w:type="even" r:id="rId35"/>
      <w:headerReference w:type="default" r:id="rId36"/>
      <w:footerReference w:type="even" r:id="rId37"/>
      <w:footerReference w:type="default" r:id="rId38"/>
      <w:pgSz w:w="11906" w:h="16838"/>
      <w:pgMar w:top="1134" w:right="1134" w:bottom="1418"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0C2" w:rsidRDefault="00FD10C2">
      <w:r>
        <w:separator/>
      </w:r>
    </w:p>
  </w:endnote>
  <w:endnote w:type="continuationSeparator" w:id="0">
    <w:p w:rsidR="00FD10C2" w:rsidRDefault="00FD1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92D" w:rsidRDefault="00AA092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AA092D" w:rsidRDefault="00AA092D">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92D" w:rsidRDefault="00AA092D">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0C2" w:rsidRDefault="00FD10C2">
      <w:r>
        <w:separator/>
      </w:r>
    </w:p>
  </w:footnote>
  <w:footnote w:type="continuationSeparator" w:id="0">
    <w:p w:rsidR="00FD10C2" w:rsidRDefault="00FD1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92D" w:rsidRDefault="00AA092D">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AA092D" w:rsidRDefault="00AA092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92D" w:rsidRDefault="00AA092D">
    <w:pPr>
      <w:pStyle w:val="Zhlav"/>
      <w:framePr w:wrap="around" w:vAnchor="text" w:hAnchor="margin" w:xAlign="center" w:y="1"/>
      <w:rPr>
        <w:rStyle w:val="slostrnky"/>
      </w:rPr>
    </w:pPr>
  </w:p>
  <w:p w:rsidR="00AA092D" w:rsidRDefault="00AA092D">
    <w:pPr>
      <w:pStyle w:val="Zhlav"/>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C75B3"/>
    <w:multiLevelType w:val="hybridMultilevel"/>
    <w:tmpl w:val="6CA0A71C"/>
    <w:lvl w:ilvl="0" w:tplc="23C0EED2">
      <w:numFmt w:val="bullet"/>
      <w:lvlText w:val="-"/>
      <w:lvlJc w:val="left"/>
      <w:pPr>
        <w:tabs>
          <w:tab w:val="num" w:pos="720"/>
        </w:tabs>
        <w:ind w:left="700" w:hanging="340"/>
      </w:pPr>
      <w:rPr>
        <w:rFonts w:ascii="Times New Roman" w:eastAsia="Times New Roman" w:hAnsi="Times New Roman" w:cs="Times New Roman" w:hint="default"/>
      </w:rPr>
    </w:lvl>
    <w:lvl w:ilvl="1" w:tplc="23C0EED2">
      <w:numFmt w:val="bullet"/>
      <w:lvlText w:val="-"/>
      <w:lvlJc w:val="left"/>
      <w:pPr>
        <w:tabs>
          <w:tab w:val="num" w:pos="1440"/>
        </w:tabs>
        <w:ind w:left="1420" w:hanging="34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EA0507"/>
    <w:multiLevelType w:val="hybridMultilevel"/>
    <w:tmpl w:val="862A6D60"/>
    <w:lvl w:ilvl="0" w:tplc="A754B368">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2" w15:restartNumberingAfterBreak="0">
    <w:nsid w:val="13AB4B08"/>
    <w:multiLevelType w:val="hybridMultilevel"/>
    <w:tmpl w:val="6CA0A71C"/>
    <w:lvl w:ilvl="0" w:tplc="1C6A5520">
      <w:start w:val="1"/>
      <w:numFmt w:val="bullet"/>
      <w:lvlText w:val=""/>
      <w:lvlJc w:val="left"/>
      <w:pPr>
        <w:tabs>
          <w:tab w:val="num" w:pos="360"/>
        </w:tabs>
        <w:ind w:left="360" w:hanging="360"/>
      </w:pPr>
      <w:rPr>
        <w:rFonts w:ascii="Wingdings" w:hAnsi="Wingdings"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2543CE"/>
    <w:multiLevelType w:val="hybridMultilevel"/>
    <w:tmpl w:val="6CA0A71C"/>
    <w:lvl w:ilvl="0" w:tplc="A754B368">
      <w:start w:val="1"/>
      <w:numFmt w:val="bullet"/>
      <w:lvlText w:val=""/>
      <w:lvlJc w:val="left"/>
      <w:pPr>
        <w:tabs>
          <w:tab w:val="num" w:pos="720"/>
        </w:tabs>
        <w:ind w:left="720" w:hanging="360"/>
      </w:pPr>
      <w:rPr>
        <w:rFonts w:ascii="Wingdings" w:hAnsi="Wingdings" w:hint="default"/>
      </w:rPr>
    </w:lvl>
    <w:lvl w:ilvl="1" w:tplc="A754B368">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776503"/>
    <w:multiLevelType w:val="hybridMultilevel"/>
    <w:tmpl w:val="BE10244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 w15:restartNumberingAfterBreak="0">
    <w:nsid w:val="206C0299"/>
    <w:multiLevelType w:val="hybridMultilevel"/>
    <w:tmpl w:val="B5E0FF56"/>
    <w:lvl w:ilvl="0" w:tplc="C02A922C">
      <w:start w:val="1"/>
      <w:numFmt w:val="bullet"/>
      <w:pStyle w:val="normalnsodrkami"/>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4F58A9"/>
    <w:multiLevelType w:val="hybridMultilevel"/>
    <w:tmpl w:val="8390D0DC"/>
    <w:lvl w:ilvl="0" w:tplc="23C0EED2">
      <w:numFmt w:val="bullet"/>
      <w:lvlText w:val="-"/>
      <w:lvlJc w:val="left"/>
      <w:pPr>
        <w:tabs>
          <w:tab w:val="num" w:pos="720"/>
        </w:tabs>
        <w:ind w:left="700" w:hanging="340"/>
      </w:pPr>
      <w:rPr>
        <w:rFonts w:ascii="Times New Roman" w:eastAsia="Times New Roman" w:hAnsi="Times New Roman" w:cs="Times New Roman" w:hint="default"/>
      </w:rPr>
    </w:lvl>
    <w:lvl w:ilvl="1" w:tplc="23C0EED2">
      <w:numFmt w:val="bullet"/>
      <w:lvlText w:val="-"/>
      <w:lvlJc w:val="left"/>
      <w:pPr>
        <w:tabs>
          <w:tab w:val="num" w:pos="1800"/>
        </w:tabs>
        <w:ind w:left="1780" w:hanging="340"/>
      </w:pPr>
      <w:rPr>
        <w:rFonts w:ascii="Times New Roman" w:eastAsia="Times New Roman" w:hAnsi="Times New Roman" w:cs="Times New Roman"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D6A76F9"/>
    <w:multiLevelType w:val="hybridMultilevel"/>
    <w:tmpl w:val="12B65670"/>
    <w:lvl w:ilvl="0" w:tplc="A754B368">
      <w:start w:val="1"/>
      <w:numFmt w:val="bullet"/>
      <w:lvlText w:val=""/>
      <w:lvlJc w:val="left"/>
      <w:pPr>
        <w:tabs>
          <w:tab w:val="num" w:pos="360"/>
        </w:tabs>
        <w:ind w:left="360" w:hanging="360"/>
      </w:pPr>
      <w:rPr>
        <w:rFonts w:ascii="Wingdings" w:hAnsi="Wingdings" w:hint="default"/>
      </w:rPr>
    </w:lvl>
    <w:lvl w:ilvl="1" w:tplc="19B6D3EA">
      <w:start w:val="1"/>
      <w:numFmt w:val="bullet"/>
      <w:lvlText w:val=""/>
      <w:lvlJc w:val="left"/>
      <w:pPr>
        <w:tabs>
          <w:tab w:val="num" w:pos="360"/>
        </w:tabs>
        <w:ind w:left="357" w:hanging="357"/>
      </w:pPr>
      <w:rPr>
        <w:rFonts w:ascii="Wingdings" w:hAnsi="Wingdings" w:hint="default"/>
        <w:sz w:val="24"/>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58C7F3B"/>
    <w:multiLevelType w:val="hybridMultilevel"/>
    <w:tmpl w:val="12B65670"/>
    <w:lvl w:ilvl="0" w:tplc="A754B368">
      <w:start w:val="1"/>
      <w:numFmt w:val="bullet"/>
      <w:lvlText w:val=""/>
      <w:lvlJc w:val="left"/>
      <w:pPr>
        <w:tabs>
          <w:tab w:val="num" w:pos="360"/>
        </w:tabs>
        <w:ind w:left="360" w:hanging="360"/>
      </w:pPr>
      <w:rPr>
        <w:rFonts w:ascii="Wingdings" w:hAnsi="Wingdings" w:hint="default"/>
      </w:rPr>
    </w:lvl>
    <w:lvl w:ilvl="1" w:tplc="3538F0EA">
      <w:start w:val="1"/>
      <w:numFmt w:val="bullet"/>
      <w:lvlText w:val=""/>
      <w:lvlJc w:val="left"/>
      <w:pPr>
        <w:tabs>
          <w:tab w:val="num" w:pos="1080"/>
        </w:tabs>
        <w:ind w:left="1080" w:hanging="360"/>
      </w:pPr>
      <w:rPr>
        <w:rFonts w:ascii="Wingdings" w:hAnsi="Wingdings" w:hint="default"/>
        <w:sz w:val="18"/>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9472051"/>
    <w:multiLevelType w:val="hybridMultilevel"/>
    <w:tmpl w:val="14AECB44"/>
    <w:lvl w:ilvl="0" w:tplc="04050005">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CE44046"/>
    <w:multiLevelType w:val="hybridMultilevel"/>
    <w:tmpl w:val="73421578"/>
    <w:lvl w:ilvl="0" w:tplc="6BD8DA4E">
      <w:start w:val="1"/>
      <w:numFmt w:val="bullet"/>
      <w:lvlText w:val=""/>
      <w:lvlJc w:val="left"/>
      <w:pPr>
        <w:tabs>
          <w:tab w:val="num" w:pos="1069"/>
        </w:tabs>
        <w:ind w:left="1049" w:hanging="340"/>
      </w:pPr>
      <w:rPr>
        <w:rFonts w:ascii="Wingdings" w:hAnsi="Wingdings" w:hint="default"/>
        <w:sz w:val="16"/>
      </w:rPr>
    </w:lvl>
    <w:lvl w:ilvl="1" w:tplc="04050003">
      <w:start w:val="1"/>
      <w:numFmt w:val="bullet"/>
      <w:lvlText w:val="o"/>
      <w:lvlJc w:val="left"/>
      <w:pPr>
        <w:tabs>
          <w:tab w:val="num" w:pos="1451"/>
        </w:tabs>
        <w:ind w:left="1451" w:hanging="360"/>
      </w:pPr>
      <w:rPr>
        <w:rFonts w:ascii="Courier New" w:hAnsi="Courier New" w:hint="default"/>
      </w:rPr>
    </w:lvl>
    <w:lvl w:ilvl="2" w:tplc="04050005" w:tentative="1">
      <w:start w:val="1"/>
      <w:numFmt w:val="bullet"/>
      <w:lvlText w:val=""/>
      <w:lvlJc w:val="left"/>
      <w:pPr>
        <w:tabs>
          <w:tab w:val="num" w:pos="2171"/>
        </w:tabs>
        <w:ind w:left="2171" w:hanging="360"/>
      </w:pPr>
      <w:rPr>
        <w:rFonts w:ascii="Wingdings" w:hAnsi="Wingdings" w:hint="default"/>
      </w:rPr>
    </w:lvl>
    <w:lvl w:ilvl="3" w:tplc="04050001" w:tentative="1">
      <w:start w:val="1"/>
      <w:numFmt w:val="bullet"/>
      <w:lvlText w:val=""/>
      <w:lvlJc w:val="left"/>
      <w:pPr>
        <w:tabs>
          <w:tab w:val="num" w:pos="2891"/>
        </w:tabs>
        <w:ind w:left="2891" w:hanging="360"/>
      </w:pPr>
      <w:rPr>
        <w:rFonts w:ascii="Symbol" w:hAnsi="Symbol" w:hint="default"/>
      </w:rPr>
    </w:lvl>
    <w:lvl w:ilvl="4" w:tplc="04050003" w:tentative="1">
      <w:start w:val="1"/>
      <w:numFmt w:val="bullet"/>
      <w:lvlText w:val="o"/>
      <w:lvlJc w:val="left"/>
      <w:pPr>
        <w:tabs>
          <w:tab w:val="num" w:pos="3611"/>
        </w:tabs>
        <w:ind w:left="3611" w:hanging="360"/>
      </w:pPr>
      <w:rPr>
        <w:rFonts w:ascii="Courier New" w:hAnsi="Courier New" w:hint="default"/>
      </w:rPr>
    </w:lvl>
    <w:lvl w:ilvl="5" w:tplc="04050005" w:tentative="1">
      <w:start w:val="1"/>
      <w:numFmt w:val="bullet"/>
      <w:lvlText w:val=""/>
      <w:lvlJc w:val="left"/>
      <w:pPr>
        <w:tabs>
          <w:tab w:val="num" w:pos="4331"/>
        </w:tabs>
        <w:ind w:left="4331" w:hanging="360"/>
      </w:pPr>
      <w:rPr>
        <w:rFonts w:ascii="Wingdings" w:hAnsi="Wingdings" w:hint="default"/>
      </w:rPr>
    </w:lvl>
    <w:lvl w:ilvl="6" w:tplc="04050001" w:tentative="1">
      <w:start w:val="1"/>
      <w:numFmt w:val="bullet"/>
      <w:lvlText w:val=""/>
      <w:lvlJc w:val="left"/>
      <w:pPr>
        <w:tabs>
          <w:tab w:val="num" w:pos="5051"/>
        </w:tabs>
        <w:ind w:left="5051" w:hanging="360"/>
      </w:pPr>
      <w:rPr>
        <w:rFonts w:ascii="Symbol" w:hAnsi="Symbol" w:hint="default"/>
      </w:rPr>
    </w:lvl>
    <w:lvl w:ilvl="7" w:tplc="04050003" w:tentative="1">
      <w:start w:val="1"/>
      <w:numFmt w:val="bullet"/>
      <w:lvlText w:val="o"/>
      <w:lvlJc w:val="left"/>
      <w:pPr>
        <w:tabs>
          <w:tab w:val="num" w:pos="5771"/>
        </w:tabs>
        <w:ind w:left="5771" w:hanging="360"/>
      </w:pPr>
      <w:rPr>
        <w:rFonts w:ascii="Courier New" w:hAnsi="Courier New" w:hint="default"/>
      </w:rPr>
    </w:lvl>
    <w:lvl w:ilvl="8" w:tplc="04050005" w:tentative="1">
      <w:start w:val="1"/>
      <w:numFmt w:val="bullet"/>
      <w:lvlText w:val=""/>
      <w:lvlJc w:val="left"/>
      <w:pPr>
        <w:tabs>
          <w:tab w:val="num" w:pos="6491"/>
        </w:tabs>
        <w:ind w:left="6491" w:hanging="360"/>
      </w:pPr>
      <w:rPr>
        <w:rFonts w:ascii="Wingdings" w:hAnsi="Wingdings" w:hint="default"/>
      </w:rPr>
    </w:lvl>
  </w:abstractNum>
  <w:abstractNum w:abstractNumId="11" w15:restartNumberingAfterBreak="0">
    <w:nsid w:val="4014783B"/>
    <w:multiLevelType w:val="hybridMultilevel"/>
    <w:tmpl w:val="8390D0DC"/>
    <w:lvl w:ilvl="0" w:tplc="A754B368">
      <w:start w:val="1"/>
      <w:numFmt w:val="bullet"/>
      <w:lvlText w:val=""/>
      <w:lvlJc w:val="left"/>
      <w:pPr>
        <w:tabs>
          <w:tab w:val="num" w:pos="720"/>
        </w:tabs>
        <w:ind w:left="720" w:hanging="360"/>
      </w:pPr>
      <w:rPr>
        <w:rFonts w:ascii="Wingdings" w:hAnsi="Wingdings" w:hint="default"/>
      </w:rPr>
    </w:lvl>
    <w:lvl w:ilvl="1" w:tplc="23C0EED2">
      <w:numFmt w:val="bullet"/>
      <w:lvlText w:val="-"/>
      <w:lvlJc w:val="left"/>
      <w:pPr>
        <w:tabs>
          <w:tab w:val="num" w:pos="1800"/>
        </w:tabs>
        <w:ind w:left="1780" w:hanging="340"/>
      </w:pPr>
      <w:rPr>
        <w:rFonts w:ascii="Times New Roman" w:eastAsia="Times New Roman" w:hAnsi="Times New Roman" w:cs="Times New Roman"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26E2DA8"/>
    <w:multiLevelType w:val="hybridMultilevel"/>
    <w:tmpl w:val="73421578"/>
    <w:lvl w:ilvl="0" w:tplc="B89CCD9C">
      <w:start w:val="2"/>
      <w:numFmt w:val="bullet"/>
      <w:lvlText w:val="-"/>
      <w:lvlJc w:val="left"/>
      <w:pPr>
        <w:tabs>
          <w:tab w:val="num" w:pos="1418"/>
        </w:tabs>
        <w:ind w:left="1418" w:hanging="397"/>
      </w:pPr>
      <w:rPr>
        <w:rFonts w:ascii="Times New Roman" w:eastAsia="Times New Roman" w:hAnsi="Times New Roman" w:cs="Times New Roman" w:hint="default"/>
      </w:rPr>
    </w:lvl>
    <w:lvl w:ilvl="1" w:tplc="5FE43328">
      <w:numFmt w:val="bullet"/>
      <w:lvlText w:val=""/>
      <w:lvlJc w:val="left"/>
      <w:pPr>
        <w:tabs>
          <w:tab w:val="num" w:pos="1800"/>
        </w:tabs>
        <w:ind w:left="1780" w:hanging="340"/>
      </w:pPr>
      <w:rPr>
        <w:rFonts w:ascii="Wingdings" w:eastAsia="Times New Roman" w:hAnsi="Wingdings" w:cs="Times New Roman"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374060B"/>
    <w:multiLevelType w:val="hybridMultilevel"/>
    <w:tmpl w:val="73421578"/>
    <w:lvl w:ilvl="0" w:tplc="A754B368">
      <w:start w:val="1"/>
      <w:numFmt w:val="bullet"/>
      <w:lvlText w:val=""/>
      <w:lvlJc w:val="left"/>
      <w:pPr>
        <w:tabs>
          <w:tab w:val="num" w:pos="360"/>
        </w:tabs>
        <w:ind w:left="360" w:hanging="360"/>
      </w:pPr>
      <w:rPr>
        <w:rFonts w:ascii="Wingdings" w:hAnsi="Wingdings" w:hint="default"/>
      </w:rPr>
    </w:lvl>
    <w:lvl w:ilvl="1" w:tplc="016CCA5A">
      <w:start w:val="1"/>
      <w:numFmt w:val="bullet"/>
      <w:lvlText w:val=""/>
      <w:lvlJc w:val="left"/>
      <w:pPr>
        <w:tabs>
          <w:tab w:val="num" w:pos="360"/>
        </w:tabs>
        <w:ind w:left="357" w:hanging="357"/>
      </w:pPr>
      <w:rPr>
        <w:rFonts w:ascii="Wingdings" w:hAnsi="Wingdings" w:hint="default"/>
        <w:sz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E82D97"/>
    <w:multiLevelType w:val="hybridMultilevel"/>
    <w:tmpl w:val="6CA0A71C"/>
    <w:lvl w:ilvl="0" w:tplc="1C6A5520">
      <w:start w:val="1"/>
      <w:numFmt w:val="bullet"/>
      <w:lvlText w:val=""/>
      <w:lvlJc w:val="left"/>
      <w:pPr>
        <w:tabs>
          <w:tab w:val="num" w:pos="360"/>
        </w:tabs>
        <w:ind w:left="360" w:hanging="360"/>
      </w:pPr>
      <w:rPr>
        <w:rFonts w:ascii="Wingdings" w:hAnsi="Wingdings"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86D38DB"/>
    <w:multiLevelType w:val="hybridMultilevel"/>
    <w:tmpl w:val="73421578"/>
    <w:lvl w:ilvl="0" w:tplc="D51C280A">
      <w:start w:val="1"/>
      <w:numFmt w:val="bullet"/>
      <w:lvlText w:val=""/>
      <w:lvlJc w:val="left"/>
      <w:pPr>
        <w:tabs>
          <w:tab w:val="num" w:pos="1069"/>
        </w:tabs>
        <w:ind w:left="1049" w:hanging="340"/>
      </w:pPr>
      <w:rPr>
        <w:rFonts w:ascii="Wingdings" w:hAnsi="Wingdings" w:hint="default"/>
        <w:sz w:val="16"/>
      </w:rPr>
    </w:lvl>
    <w:lvl w:ilvl="1" w:tplc="04050003">
      <w:start w:val="1"/>
      <w:numFmt w:val="bullet"/>
      <w:lvlText w:val="o"/>
      <w:lvlJc w:val="left"/>
      <w:pPr>
        <w:tabs>
          <w:tab w:val="num" w:pos="1451"/>
        </w:tabs>
        <w:ind w:left="1451" w:hanging="360"/>
      </w:pPr>
      <w:rPr>
        <w:rFonts w:ascii="Courier New" w:hAnsi="Courier New" w:hint="default"/>
      </w:rPr>
    </w:lvl>
    <w:lvl w:ilvl="2" w:tplc="04050005" w:tentative="1">
      <w:start w:val="1"/>
      <w:numFmt w:val="bullet"/>
      <w:lvlText w:val=""/>
      <w:lvlJc w:val="left"/>
      <w:pPr>
        <w:tabs>
          <w:tab w:val="num" w:pos="2171"/>
        </w:tabs>
        <w:ind w:left="2171" w:hanging="360"/>
      </w:pPr>
      <w:rPr>
        <w:rFonts w:ascii="Wingdings" w:hAnsi="Wingdings" w:hint="default"/>
      </w:rPr>
    </w:lvl>
    <w:lvl w:ilvl="3" w:tplc="04050001" w:tentative="1">
      <w:start w:val="1"/>
      <w:numFmt w:val="bullet"/>
      <w:lvlText w:val=""/>
      <w:lvlJc w:val="left"/>
      <w:pPr>
        <w:tabs>
          <w:tab w:val="num" w:pos="2891"/>
        </w:tabs>
        <w:ind w:left="2891" w:hanging="360"/>
      </w:pPr>
      <w:rPr>
        <w:rFonts w:ascii="Symbol" w:hAnsi="Symbol" w:hint="default"/>
      </w:rPr>
    </w:lvl>
    <w:lvl w:ilvl="4" w:tplc="04050003" w:tentative="1">
      <w:start w:val="1"/>
      <w:numFmt w:val="bullet"/>
      <w:lvlText w:val="o"/>
      <w:lvlJc w:val="left"/>
      <w:pPr>
        <w:tabs>
          <w:tab w:val="num" w:pos="3611"/>
        </w:tabs>
        <w:ind w:left="3611" w:hanging="360"/>
      </w:pPr>
      <w:rPr>
        <w:rFonts w:ascii="Courier New" w:hAnsi="Courier New" w:hint="default"/>
      </w:rPr>
    </w:lvl>
    <w:lvl w:ilvl="5" w:tplc="04050005" w:tentative="1">
      <w:start w:val="1"/>
      <w:numFmt w:val="bullet"/>
      <w:lvlText w:val=""/>
      <w:lvlJc w:val="left"/>
      <w:pPr>
        <w:tabs>
          <w:tab w:val="num" w:pos="4331"/>
        </w:tabs>
        <w:ind w:left="4331" w:hanging="360"/>
      </w:pPr>
      <w:rPr>
        <w:rFonts w:ascii="Wingdings" w:hAnsi="Wingdings" w:hint="default"/>
      </w:rPr>
    </w:lvl>
    <w:lvl w:ilvl="6" w:tplc="04050001" w:tentative="1">
      <w:start w:val="1"/>
      <w:numFmt w:val="bullet"/>
      <w:lvlText w:val=""/>
      <w:lvlJc w:val="left"/>
      <w:pPr>
        <w:tabs>
          <w:tab w:val="num" w:pos="5051"/>
        </w:tabs>
        <w:ind w:left="5051" w:hanging="360"/>
      </w:pPr>
      <w:rPr>
        <w:rFonts w:ascii="Symbol" w:hAnsi="Symbol" w:hint="default"/>
      </w:rPr>
    </w:lvl>
    <w:lvl w:ilvl="7" w:tplc="04050003" w:tentative="1">
      <w:start w:val="1"/>
      <w:numFmt w:val="bullet"/>
      <w:lvlText w:val="o"/>
      <w:lvlJc w:val="left"/>
      <w:pPr>
        <w:tabs>
          <w:tab w:val="num" w:pos="5771"/>
        </w:tabs>
        <w:ind w:left="5771" w:hanging="360"/>
      </w:pPr>
      <w:rPr>
        <w:rFonts w:ascii="Courier New" w:hAnsi="Courier New" w:hint="default"/>
      </w:rPr>
    </w:lvl>
    <w:lvl w:ilvl="8" w:tplc="04050005" w:tentative="1">
      <w:start w:val="1"/>
      <w:numFmt w:val="bullet"/>
      <w:lvlText w:val=""/>
      <w:lvlJc w:val="left"/>
      <w:pPr>
        <w:tabs>
          <w:tab w:val="num" w:pos="6491"/>
        </w:tabs>
        <w:ind w:left="6491" w:hanging="360"/>
      </w:pPr>
      <w:rPr>
        <w:rFonts w:ascii="Wingdings" w:hAnsi="Wingdings" w:hint="default"/>
      </w:rPr>
    </w:lvl>
  </w:abstractNum>
  <w:abstractNum w:abstractNumId="16" w15:restartNumberingAfterBreak="0">
    <w:nsid w:val="4B042F4C"/>
    <w:multiLevelType w:val="hybridMultilevel"/>
    <w:tmpl w:val="73421578"/>
    <w:lvl w:ilvl="0" w:tplc="BCF801E8">
      <w:start w:val="1"/>
      <w:numFmt w:val="bullet"/>
      <w:lvlText w:val=""/>
      <w:lvlJc w:val="left"/>
      <w:pPr>
        <w:tabs>
          <w:tab w:val="num" w:pos="1069"/>
        </w:tabs>
        <w:ind w:left="1049" w:hanging="340"/>
      </w:pPr>
      <w:rPr>
        <w:rFonts w:ascii="Wingdings" w:hAnsi="Wingdings" w:hint="default"/>
        <w:sz w:val="16"/>
      </w:rPr>
    </w:lvl>
    <w:lvl w:ilvl="1" w:tplc="04050003">
      <w:start w:val="1"/>
      <w:numFmt w:val="bullet"/>
      <w:lvlText w:val="o"/>
      <w:lvlJc w:val="left"/>
      <w:pPr>
        <w:tabs>
          <w:tab w:val="num" w:pos="1451"/>
        </w:tabs>
        <w:ind w:left="1451" w:hanging="360"/>
      </w:pPr>
      <w:rPr>
        <w:rFonts w:ascii="Courier New" w:hAnsi="Courier New" w:hint="default"/>
      </w:rPr>
    </w:lvl>
    <w:lvl w:ilvl="2" w:tplc="04050005" w:tentative="1">
      <w:start w:val="1"/>
      <w:numFmt w:val="bullet"/>
      <w:lvlText w:val=""/>
      <w:lvlJc w:val="left"/>
      <w:pPr>
        <w:tabs>
          <w:tab w:val="num" w:pos="2171"/>
        </w:tabs>
        <w:ind w:left="2171" w:hanging="360"/>
      </w:pPr>
      <w:rPr>
        <w:rFonts w:ascii="Wingdings" w:hAnsi="Wingdings" w:hint="default"/>
      </w:rPr>
    </w:lvl>
    <w:lvl w:ilvl="3" w:tplc="04050001" w:tentative="1">
      <w:start w:val="1"/>
      <w:numFmt w:val="bullet"/>
      <w:lvlText w:val=""/>
      <w:lvlJc w:val="left"/>
      <w:pPr>
        <w:tabs>
          <w:tab w:val="num" w:pos="2891"/>
        </w:tabs>
        <w:ind w:left="2891" w:hanging="360"/>
      </w:pPr>
      <w:rPr>
        <w:rFonts w:ascii="Symbol" w:hAnsi="Symbol" w:hint="default"/>
      </w:rPr>
    </w:lvl>
    <w:lvl w:ilvl="4" w:tplc="04050003" w:tentative="1">
      <w:start w:val="1"/>
      <w:numFmt w:val="bullet"/>
      <w:lvlText w:val="o"/>
      <w:lvlJc w:val="left"/>
      <w:pPr>
        <w:tabs>
          <w:tab w:val="num" w:pos="3611"/>
        </w:tabs>
        <w:ind w:left="3611" w:hanging="360"/>
      </w:pPr>
      <w:rPr>
        <w:rFonts w:ascii="Courier New" w:hAnsi="Courier New" w:hint="default"/>
      </w:rPr>
    </w:lvl>
    <w:lvl w:ilvl="5" w:tplc="04050005" w:tentative="1">
      <w:start w:val="1"/>
      <w:numFmt w:val="bullet"/>
      <w:lvlText w:val=""/>
      <w:lvlJc w:val="left"/>
      <w:pPr>
        <w:tabs>
          <w:tab w:val="num" w:pos="4331"/>
        </w:tabs>
        <w:ind w:left="4331" w:hanging="360"/>
      </w:pPr>
      <w:rPr>
        <w:rFonts w:ascii="Wingdings" w:hAnsi="Wingdings" w:hint="default"/>
      </w:rPr>
    </w:lvl>
    <w:lvl w:ilvl="6" w:tplc="04050001" w:tentative="1">
      <w:start w:val="1"/>
      <w:numFmt w:val="bullet"/>
      <w:lvlText w:val=""/>
      <w:lvlJc w:val="left"/>
      <w:pPr>
        <w:tabs>
          <w:tab w:val="num" w:pos="5051"/>
        </w:tabs>
        <w:ind w:left="5051" w:hanging="360"/>
      </w:pPr>
      <w:rPr>
        <w:rFonts w:ascii="Symbol" w:hAnsi="Symbol" w:hint="default"/>
      </w:rPr>
    </w:lvl>
    <w:lvl w:ilvl="7" w:tplc="04050003" w:tentative="1">
      <w:start w:val="1"/>
      <w:numFmt w:val="bullet"/>
      <w:lvlText w:val="o"/>
      <w:lvlJc w:val="left"/>
      <w:pPr>
        <w:tabs>
          <w:tab w:val="num" w:pos="5771"/>
        </w:tabs>
        <w:ind w:left="5771" w:hanging="360"/>
      </w:pPr>
      <w:rPr>
        <w:rFonts w:ascii="Courier New" w:hAnsi="Courier New" w:hint="default"/>
      </w:rPr>
    </w:lvl>
    <w:lvl w:ilvl="8" w:tplc="04050005" w:tentative="1">
      <w:start w:val="1"/>
      <w:numFmt w:val="bullet"/>
      <w:lvlText w:val=""/>
      <w:lvlJc w:val="left"/>
      <w:pPr>
        <w:tabs>
          <w:tab w:val="num" w:pos="6491"/>
        </w:tabs>
        <w:ind w:left="6491" w:hanging="360"/>
      </w:pPr>
      <w:rPr>
        <w:rFonts w:ascii="Wingdings" w:hAnsi="Wingdings" w:hint="default"/>
      </w:rPr>
    </w:lvl>
  </w:abstractNum>
  <w:abstractNum w:abstractNumId="17" w15:restartNumberingAfterBreak="0">
    <w:nsid w:val="4D156552"/>
    <w:multiLevelType w:val="hybridMultilevel"/>
    <w:tmpl w:val="73421578"/>
    <w:lvl w:ilvl="0" w:tplc="A754B368">
      <w:start w:val="1"/>
      <w:numFmt w:val="bullet"/>
      <w:lvlText w:val=""/>
      <w:lvlJc w:val="left"/>
      <w:pPr>
        <w:tabs>
          <w:tab w:val="num" w:pos="360"/>
        </w:tabs>
        <w:ind w:left="36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D80C9B"/>
    <w:multiLevelType w:val="hybridMultilevel"/>
    <w:tmpl w:val="8390D0DC"/>
    <w:lvl w:ilvl="0" w:tplc="8D547C80">
      <w:start w:val="1"/>
      <w:numFmt w:val="bullet"/>
      <w:lvlText w:val=""/>
      <w:lvlJc w:val="left"/>
      <w:pPr>
        <w:tabs>
          <w:tab w:val="num" w:pos="1069"/>
        </w:tabs>
        <w:ind w:left="1049" w:hanging="340"/>
      </w:pPr>
      <w:rPr>
        <w:rFonts w:ascii="Wingdings" w:hAnsi="Wingdings" w:hint="default"/>
        <w:sz w:val="16"/>
      </w:rPr>
    </w:lvl>
    <w:lvl w:ilvl="1" w:tplc="23C0EED2">
      <w:numFmt w:val="bullet"/>
      <w:lvlText w:val="-"/>
      <w:lvlJc w:val="left"/>
      <w:pPr>
        <w:tabs>
          <w:tab w:val="num" w:pos="2149"/>
        </w:tabs>
        <w:ind w:left="2129" w:hanging="340"/>
      </w:pPr>
      <w:rPr>
        <w:rFonts w:ascii="Times New Roman" w:eastAsia="Times New Roman" w:hAnsi="Times New Roman" w:cs="Times New Roman"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9" w15:restartNumberingAfterBreak="0">
    <w:nsid w:val="56B51746"/>
    <w:multiLevelType w:val="hybridMultilevel"/>
    <w:tmpl w:val="2D2E9218"/>
    <w:lvl w:ilvl="0" w:tplc="04050005">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7064D32"/>
    <w:multiLevelType w:val="hybridMultilevel"/>
    <w:tmpl w:val="73421578"/>
    <w:lvl w:ilvl="0" w:tplc="6BD8DA4E">
      <w:start w:val="1"/>
      <w:numFmt w:val="bullet"/>
      <w:lvlText w:val=""/>
      <w:lvlJc w:val="left"/>
      <w:pPr>
        <w:tabs>
          <w:tab w:val="num" w:pos="1069"/>
        </w:tabs>
        <w:ind w:left="1049" w:hanging="340"/>
      </w:pPr>
      <w:rPr>
        <w:rFonts w:ascii="Wingdings" w:hAnsi="Wingdings" w:hint="default"/>
        <w:sz w:val="16"/>
      </w:rPr>
    </w:lvl>
    <w:lvl w:ilvl="1" w:tplc="04050003">
      <w:start w:val="1"/>
      <w:numFmt w:val="bullet"/>
      <w:lvlText w:val="o"/>
      <w:lvlJc w:val="left"/>
      <w:pPr>
        <w:tabs>
          <w:tab w:val="num" w:pos="1451"/>
        </w:tabs>
        <w:ind w:left="1451" w:hanging="360"/>
      </w:pPr>
      <w:rPr>
        <w:rFonts w:ascii="Courier New" w:hAnsi="Courier New" w:hint="default"/>
      </w:rPr>
    </w:lvl>
    <w:lvl w:ilvl="2" w:tplc="04050005" w:tentative="1">
      <w:start w:val="1"/>
      <w:numFmt w:val="bullet"/>
      <w:lvlText w:val=""/>
      <w:lvlJc w:val="left"/>
      <w:pPr>
        <w:tabs>
          <w:tab w:val="num" w:pos="2171"/>
        </w:tabs>
        <w:ind w:left="2171" w:hanging="360"/>
      </w:pPr>
      <w:rPr>
        <w:rFonts w:ascii="Wingdings" w:hAnsi="Wingdings" w:hint="default"/>
      </w:rPr>
    </w:lvl>
    <w:lvl w:ilvl="3" w:tplc="04050001" w:tentative="1">
      <w:start w:val="1"/>
      <w:numFmt w:val="bullet"/>
      <w:lvlText w:val=""/>
      <w:lvlJc w:val="left"/>
      <w:pPr>
        <w:tabs>
          <w:tab w:val="num" w:pos="2891"/>
        </w:tabs>
        <w:ind w:left="2891" w:hanging="360"/>
      </w:pPr>
      <w:rPr>
        <w:rFonts w:ascii="Symbol" w:hAnsi="Symbol" w:hint="default"/>
      </w:rPr>
    </w:lvl>
    <w:lvl w:ilvl="4" w:tplc="04050003" w:tentative="1">
      <w:start w:val="1"/>
      <w:numFmt w:val="bullet"/>
      <w:lvlText w:val="o"/>
      <w:lvlJc w:val="left"/>
      <w:pPr>
        <w:tabs>
          <w:tab w:val="num" w:pos="3611"/>
        </w:tabs>
        <w:ind w:left="3611" w:hanging="360"/>
      </w:pPr>
      <w:rPr>
        <w:rFonts w:ascii="Courier New" w:hAnsi="Courier New" w:hint="default"/>
      </w:rPr>
    </w:lvl>
    <w:lvl w:ilvl="5" w:tplc="04050005" w:tentative="1">
      <w:start w:val="1"/>
      <w:numFmt w:val="bullet"/>
      <w:lvlText w:val=""/>
      <w:lvlJc w:val="left"/>
      <w:pPr>
        <w:tabs>
          <w:tab w:val="num" w:pos="4331"/>
        </w:tabs>
        <w:ind w:left="4331" w:hanging="360"/>
      </w:pPr>
      <w:rPr>
        <w:rFonts w:ascii="Wingdings" w:hAnsi="Wingdings" w:hint="default"/>
      </w:rPr>
    </w:lvl>
    <w:lvl w:ilvl="6" w:tplc="04050001" w:tentative="1">
      <w:start w:val="1"/>
      <w:numFmt w:val="bullet"/>
      <w:lvlText w:val=""/>
      <w:lvlJc w:val="left"/>
      <w:pPr>
        <w:tabs>
          <w:tab w:val="num" w:pos="5051"/>
        </w:tabs>
        <w:ind w:left="5051" w:hanging="360"/>
      </w:pPr>
      <w:rPr>
        <w:rFonts w:ascii="Symbol" w:hAnsi="Symbol" w:hint="default"/>
      </w:rPr>
    </w:lvl>
    <w:lvl w:ilvl="7" w:tplc="04050003" w:tentative="1">
      <w:start w:val="1"/>
      <w:numFmt w:val="bullet"/>
      <w:lvlText w:val="o"/>
      <w:lvlJc w:val="left"/>
      <w:pPr>
        <w:tabs>
          <w:tab w:val="num" w:pos="5771"/>
        </w:tabs>
        <w:ind w:left="5771" w:hanging="360"/>
      </w:pPr>
      <w:rPr>
        <w:rFonts w:ascii="Courier New" w:hAnsi="Courier New" w:hint="default"/>
      </w:rPr>
    </w:lvl>
    <w:lvl w:ilvl="8" w:tplc="04050005" w:tentative="1">
      <w:start w:val="1"/>
      <w:numFmt w:val="bullet"/>
      <w:lvlText w:val=""/>
      <w:lvlJc w:val="left"/>
      <w:pPr>
        <w:tabs>
          <w:tab w:val="num" w:pos="6491"/>
        </w:tabs>
        <w:ind w:left="6491" w:hanging="360"/>
      </w:pPr>
      <w:rPr>
        <w:rFonts w:ascii="Wingdings" w:hAnsi="Wingdings" w:hint="default"/>
      </w:rPr>
    </w:lvl>
  </w:abstractNum>
  <w:abstractNum w:abstractNumId="21" w15:restartNumberingAfterBreak="0">
    <w:nsid w:val="68BE158C"/>
    <w:multiLevelType w:val="hybridMultilevel"/>
    <w:tmpl w:val="73421578"/>
    <w:lvl w:ilvl="0" w:tplc="1074A01C">
      <w:start w:val="2"/>
      <w:numFmt w:val="bullet"/>
      <w:lvlText w:val="-"/>
      <w:lvlJc w:val="left"/>
      <w:pPr>
        <w:tabs>
          <w:tab w:val="num" w:pos="1418"/>
        </w:tabs>
        <w:ind w:left="1418" w:hanging="397"/>
      </w:pPr>
      <w:rPr>
        <w:rFonts w:ascii="Times New Roman" w:eastAsia="Times New Roman" w:hAnsi="Times New Roman" w:cs="Times New Roman" w:hint="default"/>
      </w:rPr>
    </w:lvl>
    <w:lvl w:ilvl="1" w:tplc="5FE43328">
      <w:numFmt w:val="bullet"/>
      <w:lvlText w:val=""/>
      <w:lvlJc w:val="left"/>
      <w:pPr>
        <w:tabs>
          <w:tab w:val="num" w:pos="1800"/>
        </w:tabs>
        <w:ind w:left="1780" w:hanging="340"/>
      </w:pPr>
      <w:rPr>
        <w:rFonts w:ascii="Wingdings" w:eastAsia="Times New Roman" w:hAnsi="Wingdings" w:cs="Times New Roman"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9A06349"/>
    <w:multiLevelType w:val="hybridMultilevel"/>
    <w:tmpl w:val="5192B586"/>
    <w:lvl w:ilvl="0" w:tplc="04050005">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BEA2B8B"/>
    <w:multiLevelType w:val="hybridMultilevel"/>
    <w:tmpl w:val="73421578"/>
    <w:lvl w:ilvl="0" w:tplc="7332CBD8">
      <w:start w:val="1"/>
      <w:numFmt w:val="bullet"/>
      <w:lvlText w:val=""/>
      <w:lvlJc w:val="left"/>
      <w:pPr>
        <w:tabs>
          <w:tab w:val="num" w:pos="1069"/>
        </w:tabs>
        <w:ind w:left="1049" w:hanging="340"/>
      </w:pPr>
      <w:rPr>
        <w:rFonts w:ascii="Wingdings" w:hAnsi="Wingdings" w:hint="default"/>
        <w:sz w:val="16"/>
      </w:rPr>
    </w:lvl>
    <w:lvl w:ilvl="1" w:tplc="04050003">
      <w:start w:val="1"/>
      <w:numFmt w:val="bullet"/>
      <w:lvlText w:val="o"/>
      <w:lvlJc w:val="left"/>
      <w:pPr>
        <w:tabs>
          <w:tab w:val="num" w:pos="1451"/>
        </w:tabs>
        <w:ind w:left="1451" w:hanging="360"/>
      </w:pPr>
      <w:rPr>
        <w:rFonts w:ascii="Courier New" w:hAnsi="Courier New" w:hint="default"/>
      </w:rPr>
    </w:lvl>
    <w:lvl w:ilvl="2" w:tplc="04050005" w:tentative="1">
      <w:start w:val="1"/>
      <w:numFmt w:val="bullet"/>
      <w:lvlText w:val=""/>
      <w:lvlJc w:val="left"/>
      <w:pPr>
        <w:tabs>
          <w:tab w:val="num" w:pos="2171"/>
        </w:tabs>
        <w:ind w:left="2171" w:hanging="360"/>
      </w:pPr>
      <w:rPr>
        <w:rFonts w:ascii="Wingdings" w:hAnsi="Wingdings" w:hint="default"/>
      </w:rPr>
    </w:lvl>
    <w:lvl w:ilvl="3" w:tplc="04050001" w:tentative="1">
      <w:start w:val="1"/>
      <w:numFmt w:val="bullet"/>
      <w:lvlText w:val=""/>
      <w:lvlJc w:val="left"/>
      <w:pPr>
        <w:tabs>
          <w:tab w:val="num" w:pos="2891"/>
        </w:tabs>
        <w:ind w:left="2891" w:hanging="360"/>
      </w:pPr>
      <w:rPr>
        <w:rFonts w:ascii="Symbol" w:hAnsi="Symbol" w:hint="default"/>
      </w:rPr>
    </w:lvl>
    <w:lvl w:ilvl="4" w:tplc="04050003" w:tentative="1">
      <w:start w:val="1"/>
      <w:numFmt w:val="bullet"/>
      <w:lvlText w:val="o"/>
      <w:lvlJc w:val="left"/>
      <w:pPr>
        <w:tabs>
          <w:tab w:val="num" w:pos="3611"/>
        </w:tabs>
        <w:ind w:left="3611" w:hanging="360"/>
      </w:pPr>
      <w:rPr>
        <w:rFonts w:ascii="Courier New" w:hAnsi="Courier New" w:hint="default"/>
      </w:rPr>
    </w:lvl>
    <w:lvl w:ilvl="5" w:tplc="04050005" w:tentative="1">
      <w:start w:val="1"/>
      <w:numFmt w:val="bullet"/>
      <w:lvlText w:val=""/>
      <w:lvlJc w:val="left"/>
      <w:pPr>
        <w:tabs>
          <w:tab w:val="num" w:pos="4331"/>
        </w:tabs>
        <w:ind w:left="4331" w:hanging="360"/>
      </w:pPr>
      <w:rPr>
        <w:rFonts w:ascii="Wingdings" w:hAnsi="Wingdings" w:hint="default"/>
      </w:rPr>
    </w:lvl>
    <w:lvl w:ilvl="6" w:tplc="04050001" w:tentative="1">
      <w:start w:val="1"/>
      <w:numFmt w:val="bullet"/>
      <w:lvlText w:val=""/>
      <w:lvlJc w:val="left"/>
      <w:pPr>
        <w:tabs>
          <w:tab w:val="num" w:pos="5051"/>
        </w:tabs>
        <w:ind w:left="5051" w:hanging="360"/>
      </w:pPr>
      <w:rPr>
        <w:rFonts w:ascii="Symbol" w:hAnsi="Symbol" w:hint="default"/>
      </w:rPr>
    </w:lvl>
    <w:lvl w:ilvl="7" w:tplc="04050003" w:tentative="1">
      <w:start w:val="1"/>
      <w:numFmt w:val="bullet"/>
      <w:lvlText w:val="o"/>
      <w:lvlJc w:val="left"/>
      <w:pPr>
        <w:tabs>
          <w:tab w:val="num" w:pos="5771"/>
        </w:tabs>
        <w:ind w:left="5771" w:hanging="360"/>
      </w:pPr>
      <w:rPr>
        <w:rFonts w:ascii="Courier New" w:hAnsi="Courier New" w:hint="default"/>
      </w:rPr>
    </w:lvl>
    <w:lvl w:ilvl="8" w:tplc="04050005" w:tentative="1">
      <w:start w:val="1"/>
      <w:numFmt w:val="bullet"/>
      <w:lvlText w:val=""/>
      <w:lvlJc w:val="left"/>
      <w:pPr>
        <w:tabs>
          <w:tab w:val="num" w:pos="6491"/>
        </w:tabs>
        <w:ind w:left="6491" w:hanging="360"/>
      </w:pPr>
      <w:rPr>
        <w:rFonts w:ascii="Wingdings" w:hAnsi="Wingdings" w:hint="default"/>
      </w:rPr>
    </w:lvl>
  </w:abstractNum>
  <w:abstractNum w:abstractNumId="24" w15:restartNumberingAfterBreak="0">
    <w:nsid w:val="72C94AA0"/>
    <w:multiLevelType w:val="hybridMultilevel"/>
    <w:tmpl w:val="37063FEE"/>
    <w:lvl w:ilvl="0" w:tplc="8BD4B008">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10"/>
        </w:tabs>
        <w:ind w:left="1410" w:hanging="360"/>
      </w:pPr>
    </w:lvl>
    <w:lvl w:ilvl="2" w:tplc="0405001B" w:tentative="1">
      <w:start w:val="1"/>
      <w:numFmt w:val="lowerRoman"/>
      <w:lvlText w:val="%3."/>
      <w:lvlJc w:val="right"/>
      <w:pPr>
        <w:tabs>
          <w:tab w:val="num" w:pos="2130"/>
        </w:tabs>
        <w:ind w:left="2130" w:hanging="180"/>
      </w:pPr>
    </w:lvl>
    <w:lvl w:ilvl="3" w:tplc="0405000F" w:tentative="1">
      <w:start w:val="1"/>
      <w:numFmt w:val="decimal"/>
      <w:lvlText w:val="%4."/>
      <w:lvlJc w:val="left"/>
      <w:pPr>
        <w:tabs>
          <w:tab w:val="num" w:pos="2850"/>
        </w:tabs>
        <w:ind w:left="2850" w:hanging="360"/>
      </w:pPr>
    </w:lvl>
    <w:lvl w:ilvl="4" w:tplc="04050019" w:tentative="1">
      <w:start w:val="1"/>
      <w:numFmt w:val="lowerLetter"/>
      <w:lvlText w:val="%5."/>
      <w:lvlJc w:val="left"/>
      <w:pPr>
        <w:tabs>
          <w:tab w:val="num" w:pos="3570"/>
        </w:tabs>
        <w:ind w:left="3570" w:hanging="360"/>
      </w:pPr>
    </w:lvl>
    <w:lvl w:ilvl="5" w:tplc="0405001B" w:tentative="1">
      <w:start w:val="1"/>
      <w:numFmt w:val="lowerRoman"/>
      <w:lvlText w:val="%6."/>
      <w:lvlJc w:val="right"/>
      <w:pPr>
        <w:tabs>
          <w:tab w:val="num" w:pos="4290"/>
        </w:tabs>
        <w:ind w:left="4290" w:hanging="180"/>
      </w:pPr>
    </w:lvl>
    <w:lvl w:ilvl="6" w:tplc="0405000F" w:tentative="1">
      <w:start w:val="1"/>
      <w:numFmt w:val="decimal"/>
      <w:lvlText w:val="%7."/>
      <w:lvlJc w:val="left"/>
      <w:pPr>
        <w:tabs>
          <w:tab w:val="num" w:pos="5010"/>
        </w:tabs>
        <w:ind w:left="5010" w:hanging="360"/>
      </w:pPr>
    </w:lvl>
    <w:lvl w:ilvl="7" w:tplc="04050019" w:tentative="1">
      <w:start w:val="1"/>
      <w:numFmt w:val="lowerLetter"/>
      <w:lvlText w:val="%8."/>
      <w:lvlJc w:val="left"/>
      <w:pPr>
        <w:tabs>
          <w:tab w:val="num" w:pos="5730"/>
        </w:tabs>
        <w:ind w:left="5730" w:hanging="360"/>
      </w:pPr>
    </w:lvl>
    <w:lvl w:ilvl="8" w:tplc="0405001B" w:tentative="1">
      <w:start w:val="1"/>
      <w:numFmt w:val="lowerRoman"/>
      <w:lvlText w:val="%9."/>
      <w:lvlJc w:val="right"/>
      <w:pPr>
        <w:tabs>
          <w:tab w:val="num" w:pos="6450"/>
        </w:tabs>
        <w:ind w:left="6450" w:hanging="180"/>
      </w:pPr>
    </w:lvl>
  </w:abstractNum>
  <w:abstractNum w:abstractNumId="25" w15:restartNumberingAfterBreak="0">
    <w:nsid w:val="7C91138C"/>
    <w:multiLevelType w:val="hybridMultilevel"/>
    <w:tmpl w:val="8F623A06"/>
    <w:lvl w:ilvl="0" w:tplc="A754B368">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4"/>
  </w:num>
  <w:num w:numId="3">
    <w:abstractNumId w:val="11"/>
  </w:num>
  <w:num w:numId="4">
    <w:abstractNumId w:val="3"/>
  </w:num>
  <w:num w:numId="5">
    <w:abstractNumId w:val="0"/>
  </w:num>
  <w:num w:numId="6">
    <w:abstractNumId w:val="6"/>
  </w:num>
  <w:num w:numId="7">
    <w:abstractNumId w:val="18"/>
  </w:num>
  <w:num w:numId="8">
    <w:abstractNumId w:val="8"/>
  </w:num>
  <w:num w:numId="9">
    <w:abstractNumId w:val="17"/>
  </w:num>
  <w:num w:numId="10">
    <w:abstractNumId w:val="1"/>
  </w:num>
  <w:num w:numId="11">
    <w:abstractNumId w:val="25"/>
  </w:num>
  <w:num w:numId="12">
    <w:abstractNumId w:val="13"/>
  </w:num>
  <w:num w:numId="13">
    <w:abstractNumId w:val="7"/>
  </w:num>
  <w:num w:numId="14">
    <w:abstractNumId w:val="24"/>
  </w:num>
  <w:num w:numId="15">
    <w:abstractNumId w:val="15"/>
  </w:num>
  <w:num w:numId="16">
    <w:abstractNumId w:val="16"/>
  </w:num>
  <w:num w:numId="17">
    <w:abstractNumId w:val="23"/>
  </w:num>
  <w:num w:numId="18">
    <w:abstractNumId w:val="10"/>
  </w:num>
  <w:num w:numId="19">
    <w:abstractNumId w:val="20"/>
  </w:num>
  <w:num w:numId="20">
    <w:abstractNumId w:val="21"/>
  </w:num>
  <w:num w:numId="21">
    <w:abstractNumId w:val="12"/>
  </w:num>
  <w:num w:numId="22">
    <w:abstractNumId w:val="5"/>
  </w:num>
  <w:num w:numId="23">
    <w:abstractNumId w:val="22"/>
  </w:num>
  <w:num w:numId="24">
    <w:abstractNumId w:val="9"/>
  </w:num>
  <w:num w:numId="25">
    <w:abstractNumId w:val="19"/>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oNotTrackMoves/>
  <w:defaultTabStop w:val="709"/>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AMO_ReportControlsVisible" w:val="Empty"/>
    <w:docVar w:name="_AMO_UniqueIdentifier" w:val="Empty"/>
  </w:docVars>
  <w:rsids>
    <w:rsidRoot w:val="005C110F"/>
    <w:rsid w:val="000056B9"/>
    <w:rsid w:val="00006FEC"/>
    <w:rsid w:val="0001184A"/>
    <w:rsid w:val="000240BF"/>
    <w:rsid w:val="000247DD"/>
    <w:rsid w:val="000362F7"/>
    <w:rsid w:val="00036990"/>
    <w:rsid w:val="000415A6"/>
    <w:rsid w:val="0004279B"/>
    <w:rsid w:val="00042A9D"/>
    <w:rsid w:val="00044426"/>
    <w:rsid w:val="00045659"/>
    <w:rsid w:val="000507AC"/>
    <w:rsid w:val="00051668"/>
    <w:rsid w:val="00052C3B"/>
    <w:rsid w:val="00052DDB"/>
    <w:rsid w:val="00052FC2"/>
    <w:rsid w:val="00053CA2"/>
    <w:rsid w:val="000578C2"/>
    <w:rsid w:val="00060A7F"/>
    <w:rsid w:val="000630C1"/>
    <w:rsid w:val="000637D0"/>
    <w:rsid w:val="00084D77"/>
    <w:rsid w:val="00092BF4"/>
    <w:rsid w:val="0009684D"/>
    <w:rsid w:val="000977FF"/>
    <w:rsid w:val="00097E85"/>
    <w:rsid w:val="000A4A0B"/>
    <w:rsid w:val="000A5B02"/>
    <w:rsid w:val="000B11E2"/>
    <w:rsid w:val="000B77BB"/>
    <w:rsid w:val="000C5B45"/>
    <w:rsid w:val="000C6B51"/>
    <w:rsid w:val="000E1968"/>
    <w:rsid w:val="000E48D5"/>
    <w:rsid w:val="000E4BB7"/>
    <w:rsid w:val="000E5E34"/>
    <w:rsid w:val="000F503F"/>
    <w:rsid w:val="0010104B"/>
    <w:rsid w:val="00106CBF"/>
    <w:rsid w:val="00114158"/>
    <w:rsid w:val="00122C2A"/>
    <w:rsid w:val="00131562"/>
    <w:rsid w:val="0013485B"/>
    <w:rsid w:val="001414A5"/>
    <w:rsid w:val="001429A5"/>
    <w:rsid w:val="0014539B"/>
    <w:rsid w:val="0014677B"/>
    <w:rsid w:val="001502CE"/>
    <w:rsid w:val="00150612"/>
    <w:rsid w:val="00153FF8"/>
    <w:rsid w:val="001622C0"/>
    <w:rsid w:val="00170166"/>
    <w:rsid w:val="00170654"/>
    <w:rsid w:val="00170CDE"/>
    <w:rsid w:val="00175471"/>
    <w:rsid w:val="00177D74"/>
    <w:rsid w:val="00177D96"/>
    <w:rsid w:val="00180262"/>
    <w:rsid w:val="00194E6A"/>
    <w:rsid w:val="001A0AA3"/>
    <w:rsid w:val="001A33CE"/>
    <w:rsid w:val="001A4F9A"/>
    <w:rsid w:val="001B150F"/>
    <w:rsid w:val="001B2640"/>
    <w:rsid w:val="001C2B25"/>
    <w:rsid w:val="001C5FD4"/>
    <w:rsid w:val="001D37F3"/>
    <w:rsid w:val="001D7F37"/>
    <w:rsid w:val="001E2CBA"/>
    <w:rsid w:val="001E4317"/>
    <w:rsid w:val="001E6CCE"/>
    <w:rsid w:val="001F1C95"/>
    <w:rsid w:val="001F4A92"/>
    <w:rsid w:val="00204397"/>
    <w:rsid w:val="00207AE1"/>
    <w:rsid w:val="00207B67"/>
    <w:rsid w:val="00213A5B"/>
    <w:rsid w:val="00231F86"/>
    <w:rsid w:val="00234185"/>
    <w:rsid w:val="00242891"/>
    <w:rsid w:val="00244DC0"/>
    <w:rsid w:val="002457C6"/>
    <w:rsid w:val="0024739A"/>
    <w:rsid w:val="002518E3"/>
    <w:rsid w:val="002543D4"/>
    <w:rsid w:val="00254F93"/>
    <w:rsid w:val="002573CF"/>
    <w:rsid w:val="00265CE8"/>
    <w:rsid w:val="002662BA"/>
    <w:rsid w:val="00272733"/>
    <w:rsid w:val="002749FD"/>
    <w:rsid w:val="0028085D"/>
    <w:rsid w:val="00281705"/>
    <w:rsid w:val="002830EE"/>
    <w:rsid w:val="00283AF7"/>
    <w:rsid w:val="002927E5"/>
    <w:rsid w:val="00293728"/>
    <w:rsid w:val="002943DA"/>
    <w:rsid w:val="002A2167"/>
    <w:rsid w:val="002A4577"/>
    <w:rsid w:val="002A5003"/>
    <w:rsid w:val="002A6EA9"/>
    <w:rsid w:val="002A7ED6"/>
    <w:rsid w:val="002B1C3E"/>
    <w:rsid w:val="002B46A2"/>
    <w:rsid w:val="002B7E30"/>
    <w:rsid w:val="002C15D1"/>
    <w:rsid w:val="002C3B74"/>
    <w:rsid w:val="002C3FCD"/>
    <w:rsid w:val="002C5094"/>
    <w:rsid w:val="002C5E7F"/>
    <w:rsid w:val="002D0F2D"/>
    <w:rsid w:val="002D2D58"/>
    <w:rsid w:val="002D3381"/>
    <w:rsid w:val="002D3639"/>
    <w:rsid w:val="002D4676"/>
    <w:rsid w:val="002D4824"/>
    <w:rsid w:val="002D6577"/>
    <w:rsid w:val="002D65EA"/>
    <w:rsid w:val="002E5913"/>
    <w:rsid w:val="002E7A67"/>
    <w:rsid w:val="002F09DA"/>
    <w:rsid w:val="002F114D"/>
    <w:rsid w:val="002F25C4"/>
    <w:rsid w:val="0030363F"/>
    <w:rsid w:val="00305046"/>
    <w:rsid w:val="00315362"/>
    <w:rsid w:val="00316DB5"/>
    <w:rsid w:val="0032523C"/>
    <w:rsid w:val="003263AF"/>
    <w:rsid w:val="00334840"/>
    <w:rsid w:val="0033523D"/>
    <w:rsid w:val="003359A7"/>
    <w:rsid w:val="0035163D"/>
    <w:rsid w:val="00360ABB"/>
    <w:rsid w:val="0036188A"/>
    <w:rsid w:val="003659DD"/>
    <w:rsid w:val="00365BFD"/>
    <w:rsid w:val="00380A77"/>
    <w:rsid w:val="003868D5"/>
    <w:rsid w:val="003869ED"/>
    <w:rsid w:val="0039030E"/>
    <w:rsid w:val="00391294"/>
    <w:rsid w:val="00391DFD"/>
    <w:rsid w:val="0039357E"/>
    <w:rsid w:val="003953F2"/>
    <w:rsid w:val="003973BD"/>
    <w:rsid w:val="003A225E"/>
    <w:rsid w:val="003A2363"/>
    <w:rsid w:val="003A3599"/>
    <w:rsid w:val="003B74D4"/>
    <w:rsid w:val="003C52BA"/>
    <w:rsid w:val="003C59DF"/>
    <w:rsid w:val="003E4F9C"/>
    <w:rsid w:val="003E680B"/>
    <w:rsid w:val="003E7AE8"/>
    <w:rsid w:val="003F102C"/>
    <w:rsid w:val="003F19E9"/>
    <w:rsid w:val="003F2784"/>
    <w:rsid w:val="003F4F4E"/>
    <w:rsid w:val="003F642C"/>
    <w:rsid w:val="0040039B"/>
    <w:rsid w:val="00402163"/>
    <w:rsid w:val="00403095"/>
    <w:rsid w:val="00406BBD"/>
    <w:rsid w:val="00415151"/>
    <w:rsid w:val="0041653F"/>
    <w:rsid w:val="00424778"/>
    <w:rsid w:val="004262EB"/>
    <w:rsid w:val="00431778"/>
    <w:rsid w:val="004340BC"/>
    <w:rsid w:val="00437559"/>
    <w:rsid w:val="004454E5"/>
    <w:rsid w:val="004523DB"/>
    <w:rsid w:val="00453DE7"/>
    <w:rsid w:val="004619CB"/>
    <w:rsid w:val="004656B6"/>
    <w:rsid w:val="004732F3"/>
    <w:rsid w:val="00476FEB"/>
    <w:rsid w:val="004860A7"/>
    <w:rsid w:val="004902EB"/>
    <w:rsid w:val="00492B54"/>
    <w:rsid w:val="00496F73"/>
    <w:rsid w:val="004B4407"/>
    <w:rsid w:val="004B7A64"/>
    <w:rsid w:val="004D20E8"/>
    <w:rsid w:val="004D368C"/>
    <w:rsid w:val="004E456F"/>
    <w:rsid w:val="004E46E0"/>
    <w:rsid w:val="004E4A69"/>
    <w:rsid w:val="004E52FB"/>
    <w:rsid w:val="004F452A"/>
    <w:rsid w:val="00503F44"/>
    <w:rsid w:val="00522EA8"/>
    <w:rsid w:val="00525013"/>
    <w:rsid w:val="00531479"/>
    <w:rsid w:val="0053283C"/>
    <w:rsid w:val="00537235"/>
    <w:rsid w:val="00540B6D"/>
    <w:rsid w:val="00541D46"/>
    <w:rsid w:val="00545BB4"/>
    <w:rsid w:val="005471E1"/>
    <w:rsid w:val="005506DD"/>
    <w:rsid w:val="00563A2C"/>
    <w:rsid w:val="005762C5"/>
    <w:rsid w:val="005808FE"/>
    <w:rsid w:val="00584D28"/>
    <w:rsid w:val="00586FC4"/>
    <w:rsid w:val="0059158E"/>
    <w:rsid w:val="005A0688"/>
    <w:rsid w:val="005A0AA2"/>
    <w:rsid w:val="005B0B94"/>
    <w:rsid w:val="005B4818"/>
    <w:rsid w:val="005B4853"/>
    <w:rsid w:val="005B5BB8"/>
    <w:rsid w:val="005B6522"/>
    <w:rsid w:val="005C046A"/>
    <w:rsid w:val="005C0DF0"/>
    <w:rsid w:val="005C110F"/>
    <w:rsid w:val="005C138F"/>
    <w:rsid w:val="005C2011"/>
    <w:rsid w:val="005E2E1D"/>
    <w:rsid w:val="005E64F4"/>
    <w:rsid w:val="00607DA1"/>
    <w:rsid w:val="006120EF"/>
    <w:rsid w:val="00615FD1"/>
    <w:rsid w:val="00624842"/>
    <w:rsid w:val="00626FD9"/>
    <w:rsid w:val="0063190F"/>
    <w:rsid w:val="00633182"/>
    <w:rsid w:val="0064340B"/>
    <w:rsid w:val="0064604A"/>
    <w:rsid w:val="0064637C"/>
    <w:rsid w:val="00654F45"/>
    <w:rsid w:val="00655A9C"/>
    <w:rsid w:val="00655E7E"/>
    <w:rsid w:val="00656849"/>
    <w:rsid w:val="00670473"/>
    <w:rsid w:val="00671B01"/>
    <w:rsid w:val="006836BD"/>
    <w:rsid w:val="00690162"/>
    <w:rsid w:val="0069770A"/>
    <w:rsid w:val="006A6E8D"/>
    <w:rsid w:val="006B130A"/>
    <w:rsid w:val="006B20E3"/>
    <w:rsid w:val="006B3D79"/>
    <w:rsid w:val="006B7615"/>
    <w:rsid w:val="006C17E0"/>
    <w:rsid w:val="006C271E"/>
    <w:rsid w:val="006C5AD5"/>
    <w:rsid w:val="006D0037"/>
    <w:rsid w:val="006E1121"/>
    <w:rsid w:val="006E1EB7"/>
    <w:rsid w:val="006F33D2"/>
    <w:rsid w:val="006F5513"/>
    <w:rsid w:val="00704966"/>
    <w:rsid w:val="00704EEB"/>
    <w:rsid w:val="0070588E"/>
    <w:rsid w:val="007079DC"/>
    <w:rsid w:val="00707F16"/>
    <w:rsid w:val="007204E9"/>
    <w:rsid w:val="00723A72"/>
    <w:rsid w:val="00724C75"/>
    <w:rsid w:val="00724E21"/>
    <w:rsid w:val="007326B4"/>
    <w:rsid w:val="007342BC"/>
    <w:rsid w:val="00735559"/>
    <w:rsid w:val="0074384B"/>
    <w:rsid w:val="00754C2B"/>
    <w:rsid w:val="00761049"/>
    <w:rsid w:val="00761322"/>
    <w:rsid w:val="00761433"/>
    <w:rsid w:val="00763E47"/>
    <w:rsid w:val="0076508F"/>
    <w:rsid w:val="00766DC8"/>
    <w:rsid w:val="00770EC5"/>
    <w:rsid w:val="00782411"/>
    <w:rsid w:val="00782C1F"/>
    <w:rsid w:val="00786FD5"/>
    <w:rsid w:val="00793AA4"/>
    <w:rsid w:val="00794E07"/>
    <w:rsid w:val="00794E48"/>
    <w:rsid w:val="007B3D31"/>
    <w:rsid w:val="007C4DBB"/>
    <w:rsid w:val="007D031C"/>
    <w:rsid w:val="007D2B90"/>
    <w:rsid w:val="007D5BDF"/>
    <w:rsid w:val="007E3191"/>
    <w:rsid w:val="007F5D1C"/>
    <w:rsid w:val="00800B13"/>
    <w:rsid w:val="0080492F"/>
    <w:rsid w:val="0081055A"/>
    <w:rsid w:val="00811140"/>
    <w:rsid w:val="00812138"/>
    <w:rsid w:val="008172D5"/>
    <w:rsid w:val="00841064"/>
    <w:rsid w:val="008410EB"/>
    <w:rsid w:val="00843B55"/>
    <w:rsid w:val="0085012C"/>
    <w:rsid w:val="00855AAD"/>
    <w:rsid w:val="00862A72"/>
    <w:rsid w:val="008706FB"/>
    <w:rsid w:val="008743D8"/>
    <w:rsid w:val="00875FFA"/>
    <w:rsid w:val="00882DF2"/>
    <w:rsid w:val="00884689"/>
    <w:rsid w:val="008862CC"/>
    <w:rsid w:val="00890E84"/>
    <w:rsid w:val="00894156"/>
    <w:rsid w:val="008A0E19"/>
    <w:rsid w:val="008A33A8"/>
    <w:rsid w:val="008A4F6F"/>
    <w:rsid w:val="008B18B5"/>
    <w:rsid w:val="008B7D35"/>
    <w:rsid w:val="008C43FE"/>
    <w:rsid w:val="008D207D"/>
    <w:rsid w:val="008D494C"/>
    <w:rsid w:val="008D74CC"/>
    <w:rsid w:val="008D77FB"/>
    <w:rsid w:val="008E3115"/>
    <w:rsid w:val="00902E5E"/>
    <w:rsid w:val="00903142"/>
    <w:rsid w:val="009034EC"/>
    <w:rsid w:val="00911678"/>
    <w:rsid w:val="00916782"/>
    <w:rsid w:val="009200AE"/>
    <w:rsid w:val="00920B8F"/>
    <w:rsid w:val="00923DCD"/>
    <w:rsid w:val="00924C0B"/>
    <w:rsid w:val="00925A8E"/>
    <w:rsid w:val="00926191"/>
    <w:rsid w:val="009273B7"/>
    <w:rsid w:val="00934D4B"/>
    <w:rsid w:val="00942B54"/>
    <w:rsid w:val="009438F7"/>
    <w:rsid w:val="00951288"/>
    <w:rsid w:val="00951584"/>
    <w:rsid w:val="009618DB"/>
    <w:rsid w:val="0097292D"/>
    <w:rsid w:val="00976D6D"/>
    <w:rsid w:val="009773A7"/>
    <w:rsid w:val="00980F7E"/>
    <w:rsid w:val="00983626"/>
    <w:rsid w:val="00985AA1"/>
    <w:rsid w:val="00986341"/>
    <w:rsid w:val="009918E9"/>
    <w:rsid w:val="009A1116"/>
    <w:rsid w:val="009A28D9"/>
    <w:rsid w:val="009A774C"/>
    <w:rsid w:val="009B7B6C"/>
    <w:rsid w:val="009C1D7E"/>
    <w:rsid w:val="009C2BE1"/>
    <w:rsid w:val="009C4B21"/>
    <w:rsid w:val="009C5BF3"/>
    <w:rsid w:val="009D58CC"/>
    <w:rsid w:val="009D6018"/>
    <w:rsid w:val="009D6183"/>
    <w:rsid w:val="009D65BB"/>
    <w:rsid w:val="009F00F8"/>
    <w:rsid w:val="009F0F10"/>
    <w:rsid w:val="009F1A56"/>
    <w:rsid w:val="009F5CFC"/>
    <w:rsid w:val="00A0214C"/>
    <w:rsid w:val="00A043CE"/>
    <w:rsid w:val="00A06D01"/>
    <w:rsid w:val="00A11057"/>
    <w:rsid w:val="00A17CFD"/>
    <w:rsid w:val="00A31F5C"/>
    <w:rsid w:val="00A3763C"/>
    <w:rsid w:val="00A37956"/>
    <w:rsid w:val="00A40B37"/>
    <w:rsid w:val="00A4215F"/>
    <w:rsid w:val="00A55FB6"/>
    <w:rsid w:val="00A61F9A"/>
    <w:rsid w:val="00A63792"/>
    <w:rsid w:val="00A63EC9"/>
    <w:rsid w:val="00A675C9"/>
    <w:rsid w:val="00A731EA"/>
    <w:rsid w:val="00A81F34"/>
    <w:rsid w:val="00A974AA"/>
    <w:rsid w:val="00AA092D"/>
    <w:rsid w:val="00AA4ED1"/>
    <w:rsid w:val="00AB7992"/>
    <w:rsid w:val="00AE0DF2"/>
    <w:rsid w:val="00AF1C62"/>
    <w:rsid w:val="00AF2337"/>
    <w:rsid w:val="00AF50D4"/>
    <w:rsid w:val="00B03747"/>
    <w:rsid w:val="00B039A0"/>
    <w:rsid w:val="00B10117"/>
    <w:rsid w:val="00B236D4"/>
    <w:rsid w:val="00B2433F"/>
    <w:rsid w:val="00B275ED"/>
    <w:rsid w:val="00B32CFE"/>
    <w:rsid w:val="00B33EA1"/>
    <w:rsid w:val="00B356C2"/>
    <w:rsid w:val="00B51214"/>
    <w:rsid w:val="00B51DFC"/>
    <w:rsid w:val="00B53107"/>
    <w:rsid w:val="00B53857"/>
    <w:rsid w:val="00B56679"/>
    <w:rsid w:val="00B6362F"/>
    <w:rsid w:val="00B676F0"/>
    <w:rsid w:val="00B67729"/>
    <w:rsid w:val="00B72771"/>
    <w:rsid w:val="00B7405E"/>
    <w:rsid w:val="00B77CC9"/>
    <w:rsid w:val="00B841D0"/>
    <w:rsid w:val="00B8767E"/>
    <w:rsid w:val="00BA3D67"/>
    <w:rsid w:val="00BA50CD"/>
    <w:rsid w:val="00BA6FF3"/>
    <w:rsid w:val="00BB26DA"/>
    <w:rsid w:val="00BB55ED"/>
    <w:rsid w:val="00BB7DC1"/>
    <w:rsid w:val="00BC2711"/>
    <w:rsid w:val="00BC2A8B"/>
    <w:rsid w:val="00BD6A8C"/>
    <w:rsid w:val="00BE5D04"/>
    <w:rsid w:val="00BE6C26"/>
    <w:rsid w:val="00BE737C"/>
    <w:rsid w:val="00BF395F"/>
    <w:rsid w:val="00BF5572"/>
    <w:rsid w:val="00BF5A53"/>
    <w:rsid w:val="00C00B2D"/>
    <w:rsid w:val="00C00E12"/>
    <w:rsid w:val="00C04DA3"/>
    <w:rsid w:val="00C04DD2"/>
    <w:rsid w:val="00C134BD"/>
    <w:rsid w:val="00C17D9C"/>
    <w:rsid w:val="00C26E72"/>
    <w:rsid w:val="00C314E4"/>
    <w:rsid w:val="00C32ACF"/>
    <w:rsid w:val="00C4353D"/>
    <w:rsid w:val="00C52EE0"/>
    <w:rsid w:val="00C57079"/>
    <w:rsid w:val="00C63551"/>
    <w:rsid w:val="00C637FE"/>
    <w:rsid w:val="00C63F57"/>
    <w:rsid w:val="00C77709"/>
    <w:rsid w:val="00C87765"/>
    <w:rsid w:val="00C93EB0"/>
    <w:rsid w:val="00CA29C1"/>
    <w:rsid w:val="00CA40B3"/>
    <w:rsid w:val="00CB160B"/>
    <w:rsid w:val="00CB2791"/>
    <w:rsid w:val="00CB374F"/>
    <w:rsid w:val="00CB613C"/>
    <w:rsid w:val="00CB7465"/>
    <w:rsid w:val="00CC7B38"/>
    <w:rsid w:val="00CD62B5"/>
    <w:rsid w:val="00CE265B"/>
    <w:rsid w:val="00CF2D70"/>
    <w:rsid w:val="00CF32F2"/>
    <w:rsid w:val="00CF33C5"/>
    <w:rsid w:val="00CF3C06"/>
    <w:rsid w:val="00CF514F"/>
    <w:rsid w:val="00CF7CEE"/>
    <w:rsid w:val="00D045C2"/>
    <w:rsid w:val="00D05214"/>
    <w:rsid w:val="00D05CB0"/>
    <w:rsid w:val="00D07BA5"/>
    <w:rsid w:val="00D1647E"/>
    <w:rsid w:val="00D226E6"/>
    <w:rsid w:val="00D309DB"/>
    <w:rsid w:val="00D3341C"/>
    <w:rsid w:val="00D3681E"/>
    <w:rsid w:val="00D40B70"/>
    <w:rsid w:val="00D43612"/>
    <w:rsid w:val="00D51BDF"/>
    <w:rsid w:val="00D5431F"/>
    <w:rsid w:val="00D567D8"/>
    <w:rsid w:val="00D57A02"/>
    <w:rsid w:val="00D57CE2"/>
    <w:rsid w:val="00D61424"/>
    <w:rsid w:val="00D62410"/>
    <w:rsid w:val="00D83959"/>
    <w:rsid w:val="00D87F59"/>
    <w:rsid w:val="00DB0A39"/>
    <w:rsid w:val="00DB41B7"/>
    <w:rsid w:val="00DB5B4D"/>
    <w:rsid w:val="00DC3638"/>
    <w:rsid w:val="00DC70E1"/>
    <w:rsid w:val="00DD3099"/>
    <w:rsid w:val="00DD4026"/>
    <w:rsid w:val="00DD7C3C"/>
    <w:rsid w:val="00DF48FF"/>
    <w:rsid w:val="00DF566F"/>
    <w:rsid w:val="00E01FCF"/>
    <w:rsid w:val="00E03369"/>
    <w:rsid w:val="00E13B87"/>
    <w:rsid w:val="00E14C8B"/>
    <w:rsid w:val="00E152FE"/>
    <w:rsid w:val="00E17B2B"/>
    <w:rsid w:val="00E208D0"/>
    <w:rsid w:val="00E25487"/>
    <w:rsid w:val="00E269F7"/>
    <w:rsid w:val="00E31682"/>
    <w:rsid w:val="00E35F97"/>
    <w:rsid w:val="00E37136"/>
    <w:rsid w:val="00E37223"/>
    <w:rsid w:val="00E444D3"/>
    <w:rsid w:val="00E477A0"/>
    <w:rsid w:val="00E50B8F"/>
    <w:rsid w:val="00E527BA"/>
    <w:rsid w:val="00E53E74"/>
    <w:rsid w:val="00E55FF1"/>
    <w:rsid w:val="00E623CF"/>
    <w:rsid w:val="00E65223"/>
    <w:rsid w:val="00E87202"/>
    <w:rsid w:val="00E926D0"/>
    <w:rsid w:val="00EB043E"/>
    <w:rsid w:val="00EB08F4"/>
    <w:rsid w:val="00EB68AA"/>
    <w:rsid w:val="00EB794E"/>
    <w:rsid w:val="00EC13A4"/>
    <w:rsid w:val="00EC2D23"/>
    <w:rsid w:val="00EC34AE"/>
    <w:rsid w:val="00EC5424"/>
    <w:rsid w:val="00ED2C0A"/>
    <w:rsid w:val="00EE2E47"/>
    <w:rsid w:val="00EE69AB"/>
    <w:rsid w:val="00EF2D6C"/>
    <w:rsid w:val="00F007BC"/>
    <w:rsid w:val="00F135A5"/>
    <w:rsid w:val="00F1573B"/>
    <w:rsid w:val="00F17487"/>
    <w:rsid w:val="00F26763"/>
    <w:rsid w:val="00F27970"/>
    <w:rsid w:val="00F316FA"/>
    <w:rsid w:val="00F35E05"/>
    <w:rsid w:val="00F37D3F"/>
    <w:rsid w:val="00F5050B"/>
    <w:rsid w:val="00F526C1"/>
    <w:rsid w:val="00F5351A"/>
    <w:rsid w:val="00F5372D"/>
    <w:rsid w:val="00F5480D"/>
    <w:rsid w:val="00F55A26"/>
    <w:rsid w:val="00F5613E"/>
    <w:rsid w:val="00F57F02"/>
    <w:rsid w:val="00F602A6"/>
    <w:rsid w:val="00F60E82"/>
    <w:rsid w:val="00F64CC9"/>
    <w:rsid w:val="00F66CD5"/>
    <w:rsid w:val="00F7242D"/>
    <w:rsid w:val="00F76797"/>
    <w:rsid w:val="00F808EC"/>
    <w:rsid w:val="00F83D7E"/>
    <w:rsid w:val="00F9161F"/>
    <w:rsid w:val="00F937BC"/>
    <w:rsid w:val="00F95F92"/>
    <w:rsid w:val="00FA0C82"/>
    <w:rsid w:val="00FB03A9"/>
    <w:rsid w:val="00FB4826"/>
    <w:rsid w:val="00FB4C86"/>
    <w:rsid w:val="00FB65B5"/>
    <w:rsid w:val="00FC041C"/>
    <w:rsid w:val="00FC4B2E"/>
    <w:rsid w:val="00FC75EE"/>
    <w:rsid w:val="00FC778F"/>
    <w:rsid w:val="00FD1004"/>
    <w:rsid w:val="00FD10C2"/>
    <w:rsid w:val="00FE0366"/>
    <w:rsid w:val="00FE1C92"/>
    <w:rsid w:val="00FE20AA"/>
    <w:rsid w:val="00FE2BFC"/>
    <w:rsid w:val="00FE36B1"/>
    <w:rsid w:val="00FE7E23"/>
    <w:rsid w:val="00FF45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85E710"/>
  <w15:docId w15:val="{22247AD6-1DB5-4C0D-9555-C7F9E4869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7F59"/>
    <w:rPr>
      <w:sz w:val="24"/>
      <w:szCs w:val="24"/>
    </w:rPr>
  </w:style>
  <w:style w:type="paragraph" w:styleId="Nadpis1">
    <w:name w:val="heading 1"/>
    <w:basedOn w:val="Normln"/>
    <w:next w:val="Normln"/>
    <w:qFormat/>
    <w:rsid w:val="00D87F59"/>
    <w:pPr>
      <w:keepNext/>
      <w:spacing w:line="360" w:lineRule="auto"/>
      <w:outlineLvl w:val="0"/>
    </w:pPr>
    <w:rPr>
      <w:b/>
      <w:bCs/>
    </w:rPr>
  </w:style>
  <w:style w:type="paragraph" w:styleId="Nadpis2">
    <w:name w:val="heading 2"/>
    <w:basedOn w:val="Normln"/>
    <w:next w:val="Normln"/>
    <w:qFormat/>
    <w:rsid w:val="00D87F59"/>
    <w:pPr>
      <w:keepNext/>
      <w:ind w:firstLine="709"/>
      <w:jc w:val="both"/>
      <w:outlineLvl w:val="1"/>
    </w:pPr>
    <w:rPr>
      <w:b/>
      <w:bCs/>
    </w:rPr>
  </w:style>
  <w:style w:type="paragraph" w:styleId="Nadpis3">
    <w:name w:val="heading 3"/>
    <w:basedOn w:val="Normln"/>
    <w:next w:val="Normln"/>
    <w:link w:val="Nadpis3Char"/>
    <w:qFormat/>
    <w:rsid w:val="00D87F59"/>
    <w:pPr>
      <w:keepNext/>
      <w:jc w:val="both"/>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D87F59"/>
    <w:pPr>
      <w:jc w:val="both"/>
    </w:pPr>
  </w:style>
  <w:style w:type="paragraph" w:styleId="Zpat">
    <w:name w:val="footer"/>
    <w:basedOn w:val="Normln"/>
    <w:semiHidden/>
    <w:rsid w:val="00D87F59"/>
    <w:pPr>
      <w:tabs>
        <w:tab w:val="center" w:pos="4536"/>
        <w:tab w:val="right" w:pos="9072"/>
      </w:tabs>
    </w:pPr>
  </w:style>
  <w:style w:type="character" w:styleId="slostrnky">
    <w:name w:val="page number"/>
    <w:basedOn w:val="Standardnpsmoodstavce"/>
    <w:semiHidden/>
    <w:rsid w:val="00D87F59"/>
  </w:style>
  <w:style w:type="paragraph" w:styleId="Zhlav">
    <w:name w:val="header"/>
    <w:basedOn w:val="Normln"/>
    <w:semiHidden/>
    <w:rsid w:val="00D87F59"/>
    <w:pPr>
      <w:tabs>
        <w:tab w:val="center" w:pos="4536"/>
        <w:tab w:val="right" w:pos="9072"/>
      </w:tabs>
    </w:pPr>
  </w:style>
  <w:style w:type="paragraph" w:styleId="Zkladntextodsazen2">
    <w:name w:val="Body Text Indent 2"/>
    <w:basedOn w:val="Normln"/>
    <w:semiHidden/>
    <w:rsid w:val="00D87F59"/>
    <w:pPr>
      <w:tabs>
        <w:tab w:val="left" w:pos="0"/>
        <w:tab w:val="left" w:pos="284"/>
        <w:tab w:val="left" w:pos="708"/>
        <w:tab w:val="left" w:pos="101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84" w:hanging="284"/>
      <w:jc w:val="both"/>
    </w:pPr>
  </w:style>
  <w:style w:type="character" w:styleId="Hypertextovodkaz">
    <w:name w:val="Hyperlink"/>
    <w:semiHidden/>
    <w:rsid w:val="00D87F59"/>
    <w:rPr>
      <w:color w:val="0000FF"/>
      <w:u w:val="single"/>
    </w:rPr>
  </w:style>
  <w:style w:type="paragraph" w:styleId="Zkladntextodsazen">
    <w:name w:val="Body Text Indent"/>
    <w:basedOn w:val="Normln"/>
    <w:semiHidden/>
    <w:rsid w:val="00D87F59"/>
    <w:pPr>
      <w:ind w:left="900" w:hanging="900"/>
      <w:jc w:val="both"/>
    </w:pPr>
  </w:style>
  <w:style w:type="paragraph" w:styleId="Zkladntextodsazen3">
    <w:name w:val="Body Text Indent 3"/>
    <w:basedOn w:val="Normln"/>
    <w:semiHidden/>
    <w:rsid w:val="00D87F59"/>
    <w:pPr>
      <w:ind w:firstLine="709"/>
      <w:jc w:val="both"/>
    </w:pPr>
  </w:style>
  <w:style w:type="paragraph" w:styleId="Rozloendokumentu">
    <w:name w:val="Document Map"/>
    <w:basedOn w:val="Normln"/>
    <w:semiHidden/>
    <w:rsid w:val="00D87F59"/>
    <w:pPr>
      <w:shd w:val="clear" w:color="auto" w:fill="000080"/>
    </w:pPr>
    <w:rPr>
      <w:rFonts w:ascii="Tahoma" w:hAnsi="Tahoma" w:cs="Tahoma"/>
    </w:rPr>
  </w:style>
  <w:style w:type="character" w:styleId="Sledovanodkaz">
    <w:name w:val="FollowedHyperlink"/>
    <w:semiHidden/>
    <w:rsid w:val="00D87F59"/>
    <w:rPr>
      <w:color w:val="800080"/>
      <w:u w:val="single"/>
    </w:rPr>
  </w:style>
  <w:style w:type="paragraph" w:customStyle="1" w:styleId="normalnsodrkami">
    <w:name w:val="normalní s odrážkami"/>
    <w:basedOn w:val="Normln"/>
    <w:rsid w:val="00D87F59"/>
    <w:pPr>
      <w:numPr>
        <w:numId w:val="22"/>
      </w:numPr>
      <w:jc w:val="both"/>
    </w:pPr>
    <w:rPr>
      <w:rFonts w:ascii="Arial" w:hAnsi="Arial"/>
      <w:sz w:val="20"/>
    </w:rPr>
  </w:style>
  <w:style w:type="character" w:customStyle="1" w:styleId="ZkladntextChar">
    <w:name w:val="Základní text Char"/>
    <w:semiHidden/>
    <w:rsid w:val="00D87F59"/>
    <w:rPr>
      <w:sz w:val="24"/>
      <w:szCs w:val="24"/>
    </w:rPr>
  </w:style>
  <w:style w:type="paragraph" w:styleId="Textbubliny">
    <w:name w:val="Balloon Text"/>
    <w:basedOn w:val="Normln"/>
    <w:semiHidden/>
    <w:unhideWhenUsed/>
    <w:rsid w:val="00D87F59"/>
    <w:rPr>
      <w:rFonts w:ascii="Tahoma" w:hAnsi="Tahoma" w:cs="Tahoma"/>
      <w:sz w:val="16"/>
      <w:szCs w:val="16"/>
    </w:rPr>
  </w:style>
  <w:style w:type="character" w:customStyle="1" w:styleId="TextbublinyChar">
    <w:name w:val="Text bubliny Char"/>
    <w:semiHidden/>
    <w:rsid w:val="00D87F59"/>
    <w:rPr>
      <w:rFonts w:ascii="Tahoma" w:hAnsi="Tahoma" w:cs="Tahoma"/>
      <w:sz w:val="16"/>
      <w:szCs w:val="16"/>
    </w:rPr>
  </w:style>
  <w:style w:type="paragraph" w:styleId="Revize">
    <w:name w:val="Revision"/>
    <w:hidden/>
    <w:uiPriority w:val="99"/>
    <w:semiHidden/>
    <w:rsid w:val="00782C1F"/>
    <w:rPr>
      <w:sz w:val="24"/>
      <w:szCs w:val="24"/>
    </w:rPr>
  </w:style>
  <w:style w:type="character" w:customStyle="1" w:styleId="Nadpis3Char">
    <w:name w:val="Nadpis 3 Char"/>
    <w:link w:val="Nadpis3"/>
    <w:rsid w:val="00D1647E"/>
    <w:rPr>
      <w:b/>
      <w:bCs/>
      <w:sz w:val="24"/>
      <w:szCs w:val="24"/>
    </w:rPr>
  </w:style>
  <w:style w:type="character" w:styleId="Zdraznn">
    <w:name w:val="Emphasis"/>
    <w:uiPriority w:val="20"/>
    <w:qFormat/>
    <w:rsid w:val="00522EA8"/>
    <w:rPr>
      <w:i/>
      <w:iCs/>
    </w:rPr>
  </w:style>
  <w:style w:type="character" w:styleId="Odkaznakoment">
    <w:name w:val="annotation reference"/>
    <w:uiPriority w:val="99"/>
    <w:semiHidden/>
    <w:unhideWhenUsed/>
    <w:rsid w:val="00EB08F4"/>
    <w:rPr>
      <w:sz w:val="16"/>
      <w:szCs w:val="16"/>
    </w:rPr>
  </w:style>
  <w:style w:type="paragraph" w:styleId="Textkomente">
    <w:name w:val="annotation text"/>
    <w:basedOn w:val="Normln"/>
    <w:link w:val="TextkomenteChar"/>
    <w:uiPriority w:val="99"/>
    <w:semiHidden/>
    <w:unhideWhenUsed/>
    <w:rsid w:val="00EB08F4"/>
    <w:rPr>
      <w:sz w:val="20"/>
      <w:szCs w:val="20"/>
    </w:rPr>
  </w:style>
  <w:style w:type="character" w:customStyle="1" w:styleId="TextkomenteChar">
    <w:name w:val="Text komentáře Char"/>
    <w:basedOn w:val="Standardnpsmoodstavce"/>
    <w:link w:val="Textkomente"/>
    <w:uiPriority w:val="99"/>
    <w:semiHidden/>
    <w:rsid w:val="00EB08F4"/>
  </w:style>
  <w:style w:type="paragraph" w:styleId="Pedmtkomente">
    <w:name w:val="annotation subject"/>
    <w:basedOn w:val="Textkomente"/>
    <w:next w:val="Textkomente"/>
    <w:link w:val="PedmtkomenteChar"/>
    <w:uiPriority w:val="99"/>
    <w:semiHidden/>
    <w:unhideWhenUsed/>
    <w:rsid w:val="00EB08F4"/>
    <w:rPr>
      <w:b/>
      <w:bCs/>
    </w:rPr>
  </w:style>
  <w:style w:type="character" w:customStyle="1" w:styleId="PedmtkomenteChar">
    <w:name w:val="Předmět komentáře Char"/>
    <w:link w:val="Pedmtkomente"/>
    <w:uiPriority w:val="99"/>
    <w:semiHidden/>
    <w:rsid w:val="00EB08F4"/>
    <w:rPr>
      <w:b/>
      <w:bCs/>
    </w:rPr>
  </w:style>
  <w:style w:type="character" w:customStyle="1" w:styleId="st">
    <w:name w:val="st"/>
    <w:basedOn w:val="Standardnpsmoodstavce"/>
    <w:rsid w:val="008C4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211540">
      <w:bodyDiv w:val="1"/>
      <w:marLeft w:val="0"/>
      <w:marRight w:val="0"/>
      <w:marTop w:val="0"/>
      <w:marBottom w:val="0"/>
      <w:divBdr>
        <w:top w:val="none" w:sz="0" w:space="0" w:color="auto"/>
        <w:left w:val="none" w:sz="0" w:space="0" w:color="auto"/>
        <w:bottom w:val="none" w:sz="0" w:space="0" w:color="auto"/>
        <w:right w:val="none" w:sz="0" w:space="0" w:color="auto"/>
      </w:divBdr>
    </w:div>
    <w:div w:id="269969502">
      <w:bodyDiv w:val="1"/>
      <w:marLeft w:val="0"/>
      <w:marRight w:val="0"/>
      <w:marTop w:val="0"/>
      <w:marBottom w:val="0"/>
      <w:divBdr>
        <w:top w:val="none" w:sz="0" w:space="0" w:color="auto"/>
        <w:left w:val="none" w:sz="0" w:space="0" w:color="auto"/>
        <w:bottom w:val="none" w:sz="0" w:space="0" w:color="auto"/>
        <w:right w:val="none" w:sz="0" w:space="0" w:color="auto"/>
      </w:divBdr>
    </w:div>
    <w:div w:id="484395111">
      <w:bodyDiv w:val="1"/>
      <w:marLeft w:val="0"/>
      <w:marRight w:val="0"/>
      <w:marTop w:val="0"/>
      <w:marBottom w:val="0"/>
      <w:divBdr>
        <w:top w:val="none" w:sz="0" w:space="0" w:color="auto"/>
        <w:left w:val="none" w:sz="0" w:space="0" w:color="auto"/>
        <w:bottom w:val="none" w:sz="0" w:space="0" w:color="auto"/>
        <w:right w:val="none" w:sz="0" w:space="0" w:color="auto"/>
      </w:divBdr>
    </w:div>
    <w:div w:id="594942733">
      <w:bodyDiv w:val="1"/>
      <w:marLeft w:val="0"/>
      <w:marRight w:val="0"/>
      <w:marTop w:val="0"/>
      <w:marBottom w:val="0"/>
      <w:divBdr>
        <w:top w:val="none" w:sz="0" w:space="0" w:color="auto"/>
        <w:left w:val="none" w:sz="0" w:space="0" w:color="auto"/>
        <w:bottom w:val="none" w:sz="0" w:space="0" w:color="auto"/>
        <w:right w:val="none" w:sz="0" w:space="0" w:color="auto"/>
      </w:divBdr>
    </w:div>
    <w:div w:id="1542791435">
      <w:bodyDiv w:val="1"/>
      <w:marLeft w:val="0"/>
      <w:marRight w:val="0"/>
      <w:marTop w:val="0"/>
      <w:marBottom w:val="0"/>
      <w:divBdr>
        <w:top w:val="none" w:sz="0" w:space="0" w:color="auto"/>
        <w:left w:val="none" w:sz="0" w:space="0" w:color="auto"/>
        <w:bottom w:val="none" w:sz="0" w:space="0" w:color="auto"/>
        <w:right w:val="none" w:sz="0" w:space="0" w:color="auto"/>
      </w:divBdr>
    </w:div>
    <w:div w:id="1578514457">
      <w:bodyDiv w:val="1"/>
      <w:marLeft w:val="0"/>
      <w:marRight w:val="0"/>
      <w:marTop w:val="0"/>
      <w:marBottom w:val="0"/>
      <w:divBdr>
        <w:top w:val="none" w:sz="0" w:space="0" w:color="auto"/>
        <w:left w:val="none" w:sz="0" w:space="0" w:color="auto"/>
        <w:bottom w:val="none" w:sz="0" w:space="0" w:color="auto"/>
        <w:right w:val="none" w:sz="0" w:space="0" w:color="auto"/>
      </w:divBdr>
    </w:div>
    <w:div w:id="1651013602">
      <w:bodyDiv w:val="1"/>
      <w:marLeft w:val="0"/>
      <w:marRight w:val="0"/>
      <w:marTop w:val="0"/>
      <w:marBottom w:val="0"/>
      <w:divBdr>
        <w:top w:val="none" w:sz="0" w:space="0" w:color="auto"/>
        <w:left w:val="none" w:sz="0" w:space="0" w:color="auto"/>
        <w:bottom w:val="none" w:sz="0" w:space="0" w:color="auto"/>
        <w:right w:val="none" w:sz="0" w:space="0" w:color="auto"/>
      </w:divBdr>
    </w:div>
    <w:div w:id="1652951447">
      <w:bodyDiv w:val="1"/>
      <w:marLeft w:val="0"/>
      <w:marRight w:val="0"/>
      <w:marTop w:val="0"/>
      <w:marBottom w:val="0"/>
      <w:divBdr>
        <w:top w:val="none" w:sz="0" w:space="0" w:color="auto"/>
        <w:left w:val="none" w:sz="0" w:space="0" w:color="auto"/>
        <w:bottom w:val="none" w:sz="0" w:space="0" w:color="auto"/>
        <w:right w:val="none" w:sz="0" w:space="0" w:color="auto"/>
      </w:divBdr>
    </w:div>
    <w:div w:id="192638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image" Target="media/image8.wmf"/><Relationship Id="rId39" Type="http://schemas.openxmlformats.org/officeDocument/2006/relationships/fontTable" Target="fontTable.xml"/><Relationship Id="rId21" Type="http://schemas.openxmlformats.org/officeDocument/2006/relationships/oleObject" Target="embeddings/oleObject8.bin"/><Relationship Id="rId34" Type="http://schemas.openxmlformats.org/officeDocument/2006/relationships/hyperlink" Target="mailto:infoservis@czso.cz"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image" Target="media/image6.wmf"/><Relationship Id="rId29" Type="http://schemas.openxmlformats.org/officeDocument/2006/relationships/oleObject" Target="embeddings/oleObject1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10.bin"/><Relationship Id="rId32" Type="http://schemas.openxmlformats.org/officeDocument/2006/relationships/image" Target="media/image11.wmf"/><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7.wmf"/><Relationship Id="rId28" Type="http://schemas.openxmlformats.org/officeDocument/2006/relationships/image" Target="media/image9.wmf"/><Relationship Id="rId36"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oleObject" Target="embeddings/oleObject14.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image" Target="media/image10.wmf"/><Relationship Id="rId35" Type="http://schemas.openxmlformats.org/officeDocument/2006/relationships/header" Target="header1.xml"/><Relationship Id="rId8" Type="http://schemas.openxmlformats.org/officeDocument/2006/relationships/image" Target="media/image1.wmf"/><Relationship Id="rId3" Type="http://schemas.openxmlformats.org/officeDocument/2006/relationships/styles" Target="styl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88662-8A1D-42BB-8932-56342496D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621</TotalTime>
  <Pages>15</Pages>
  <Words>8634</Words>
  <Characters>50944</Characters>
  <Application>Microsoft Office Word</Application>
  <DocSecurity>0</DocSecurity>
  <Lines>424</Lines>
  <Paragraphs>118</Paragraphs>
  <ScaleCrop>false</ScaleCrop>
  <HeadingPairs>
    <vt:vector size="2" baseType="variant">
      <vt:variant>
        <vt:lpstr>Název</vt:lpstr>
      </vt:variant>
      <vt:variant>
        <vt:i4>1</vt:i4>
      </vt:variant>
    </vt:vector>
  </HeadingPairs>
  <TitlesOfParts>
    <vt:vector size="1" baseType="lpstr">
      <vt:lpstr>Metodické vysvětlivky</vt:lpstr>
    </vt:vector>
  </TitlesOfParts>
  <Company>ČSÚ</Company>
  <LinksUpToDate>false</LinksUpToDate>
  <CharactersWithSpaces>59460</CharactersWithSpaces>
  <SharedDoc>false</SharedDoc>
  <HLinks>
    <vt:vector size="6" baseType="variant">
      <vt:variant>
        <vt:i4>7274525</vt:i4>
      </vt:variant>
      <vt:variant>
        <vt:i4>45</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Metodické vysvětlivky</dc:title>
  <dc:creator>System Service</dc:creator>
  <cp:lastModifiedBy>Helena Kovářová</cp:lastModifiedBy>
  <cp:revision>59</cp:revision>
  <cp:lastPrinted>2019-03-12T12:13:00Z</cp:lastPrinted>
  <dcterms:created xsi:type="dcterms:W3CDTF">2018-03-22T08:40:00Z</dcterms:created>
  <dcterms:modified xsi:type="dcterms:W3CDTF">2019-05-02T06:25:00Z</dcterms:modified>
</cp:coreProperties>
</file>