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header2.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Default Extension="png" ContentType="image/pn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B7" w:rsidRPr="00EB2612" w:rsidRDefault="00781DF4">
      <w:pPr>
        <w:spacing w:line="240" w:lineRule="auto"/>
        <w:rPr>
          <w:rFonts w:cs="Arial"/>
          <w:lang w:eastAsia="ar-SA"/>
        </w:rPr>
      </w:pPr>
      <w:r>
        <w:rPr>
          <w:rFonts w:cs="Arial"/>
          <w:noProof/>
        </w:rPr>
        <w:pict>
          <v:shapetype id="_x0000_t202" coordsize="21600,21600" o:spt="202" path="m,l,21600r21600,l21600,xe">
            <v:stroke joinstyle="miter"/>
            <v:path gradientshapeok="t" o:connecttype="rect"/>
          </v:shapetype>
          <v:shape id="Textové pole 2" o:spid="_x0000_s1026" type="#_x0000_t202" style="position:absolute;left:0;text-align:left;margin-left:134.65pt;margin-top:759.8pt;width:403.95pt;height:14.15pt;z-index:25166182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IoA&#10;A41IAgAAOwQAAA4AAAAAAAAAAAAAAAAALgIAAGRycy9lMm9Eb2MueG1sUEsBAi0AFAAGAAgAAAAh&#10;AAdlcHfhAAAADgEAAA8AAAAAAAAAAAAAAAAAogQAAGRycy9kb3ducmV2LnhtbFBLBQYAAAAABAAE&#10;APMAAACwBQAAAAA=&#10;" filled="f" stroked="f">
            <v:textbox style="mso-next-textbox:#Textové pole 2" inset="0,0,0,0">
              <w:txbxContent>
                <w:p w:rsidR="00705045" w:rsidRPr="005251DD" w:rsidRDefault="00231003" w:rsidP="00A33EFD">
                  <w:r>
                    <w:t>Č</w:t>
                  </w:r>
                  <w:r w:rsidR="00705045" w:rsidRPr="005251DD">
                    <w:t xml:space="preserve">eský statistický úřad, </w:t>
                  </w:r>
                  <w:r w:rsidR="00705045">
                    <w:t>Praha, 2020</w:t>
                  </w:r>
                </w:p>
              </w:txbxContent>
            </v:textbox>
            <w10:wrap anchorx="page" anchory="page"/>
            <w10:anchorlock/>
          </v:shape>
        </w:pict>
      </w:r>
      <w:r>
        <w:rPr>
          <w:rFonts w:cs="Arial"/>
          <w:noProof/>
        </w:rPr>
        <w:pict>
          <v:shape id="_x0000_s1027" type="#_x0000_t202" style="position:absolute;left:0;text-align:left;margin-left:134.3pt;margin-top:652.05pt;width:403.95pt;height:72.85pt;z-index:25166080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" filled="f" stroked="f">
            <v:textbox style="mso-next-textbox:#_x0000_s1027" inset="0,0,0,0">
              <w:txbxContent>
                <w:p w:rsidR="00705045" w:rsidRPr="006C5577" w:rsidRDefault="00705045" w:rsidP="00A33EFD">
                  <w:pPr>
                    <w:pStyle w:val="TL-Identifikace-dole"/>
                  </w:pPr>
                  <w:r>
                    <w:t>Z</w:t>
                  </w:r>
                  <w:r w:rsidRPr="006C5577">
                    <w:t xml:space="preserve">pracoval: Odbor </w:t>
                  </w:r>
                  <w:r>
                    <w:t>statistik rozvoje společnosti</w:t>
                  </w:r>
                </w:p>
                <w:p w:rsidR="00705045" w:rsidRPr="006C5577" w:rsidRDefault="00705045" w:rsidP="00A33EFD">
                  <w:pPr>
                    <w:pStyle w:val="TL-Identifikace-dole"/>
                  </w:pPr>
                  <w:r w:rsidRPr="006C5577">
                    <w:t xml:space="preserve">Ředitel odboru: </w:t>
                  </w:r>
                  <w:r>
                    <w:t>Martin Mana</w:t>
                  </w:r>
                </w:p>
                <w:p w:rsidR="00705045" w:rsidRPr="006C5577" w:rsidRDefault="00705045" w:rsidP="00A33EFD">
                  <w:pPr>
                    <w:pStyle w:val="TL-Identifikace-dole"/>
                  </w:pPr>
                  <w:r w:rsidRPr="006C5577">
                    <w:t xml:space="preserve">Kontaktní osoba: </w:t>
                  </w:r>
                  <w:r>
                    <w:t xml:space="preserve">Milan </w:t>
                  </w:r>
                  <w:proofErr w:type="spellStart"/>
                  <w:r>
                    <w:t>Dedera</w:t>
                  </w:r>
                  <w:proofErr w:type="spellEnd"/>
                  <w:r w:rsidRPr="006C5577">
                    <w:t xml:space="preserve">, e-mail: </w:t>
                  </w:r>
                  <w:r>
                    <w:t>milan</w:t>
                  </w:r>
                  <w:r w:rsidRPr="006C5577">
                    <w:t>.</w:t>
                  </w:r>
                  <w:r>
                    <w:t>dedera</w:t>
                  </w:r>
                  <w:r w:rsidRPr="006C5577">
                    <w:t>@czso.cz</w:t>
                  </w:r>
                </w:p>
              </w:txbxContent>
            </v:textbox>
            <w10:wrap anchorx="page" anchory="page"/>
            <w10:anchorlock/>
          </v:shape>
        </w:pict>
      </w:r>
      <w:r>
        <w:rPr>
          <w:rFonts w:cs="Arial"/>
          <w:noProof/>
        </w:rPr>
        <w:pict>
          <v:shape id="_x0000_s1028" type="#_x0000_t202" style="position:absolute;left:0;text-align:left;margin-left:134.65pt;margin-top:368.55pt;width:403.9pt;height:122.8pt;z-index:2516597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" filled="f" stroked="f">
            <v:textbox style="mso-next-textbox:#_x0000_s1028;mso-fit-shape-to-text:t" inset="0,0,0,0">
              <w:txbxContent>
                <w:p w:rsidR="00705045" w:rsidRPr="00D31445" w:rsidRDefault="00705045" w:rsidP="00A33EFD">
                  <w:pPr>
                    <w:pStyle w:val="TL-identifikace-sted"/>
                  </w:pPr>
                  <w:r>
                    <w:t>Lidé a společnost</w:t>
                  </w:r>
                </w:p>
                <w:p w:rsidR="00705045" w:rsidRPr="00D31445" w:rsidRDefault="00705045" w:rsidP="00A33EFD">
                  <w:pPr>
                    <w:pStyle w:val="TL-identifikace-sted"/>
                  </w:pPr>
                  <w:r>
                    <w:t>Praha</w:t>
                  </w:r>
                  <w:r w:rsidRPr="00D31445">
                    <w:t xml:space="preserve">, </w:t>
                  </w:r>
                  <w:r w:rsidR="00231003">
                    <w:t>5</w:t>
                  </w:r>
                  <w:r>
                    <w:t>. 11. 2020</w:t>
                  </w:r>
                </w:p>
                <w:p w:rsidR="00705045" w:rsidRDefault="00705045" w:rsidP="00A33EFD">
                  <w:pPr>
                    <w:pStyle w:val="TL-identifikace-sted"/>
                  </w:pPr>
                  <w:r w:rsidRPr="00D31445">
                    <w:t xml:space="preserve">Kód publikace: </w:t>
                  </w:r>
                  <w:r>
                    <w:t>090004-20</w:t>
                  </w:r>
                </w:p>
                <w:p w:rsidR="00705045" w:rsidRPr="004B5F06" w:rsidRDefault="00705045" w:rsidP="00A33EFD">
                  <w:pPr>
                    <w:pStyle w:val="TL-identifikace-sted"/>
                  </w:pPr>
                  <w:proofErr w:type="spellStart"/>
                  <w:proofErr w:type="gramStart"/>
                  <w:r w:rsidRPr="00A55993">
                    <w:t>Č.j</w:t>
                  </w:r>
                  <w:proofErr w:type="spellEnd"/>
                  <w:r w:rsidRPr="00A55993">
                    <w:t>.</w:t>
                  </w:r>
                  <w:proofErr w:type="gramEnd"/>
                  <w:r w:rsidRPr="00A55993">
                    <w:t xml:space="preserve">: </w:t>
                  </w:r>
                  <w:r w:rsidR="00A55993" w:rsidRPr="00A55993">
                    <w:t>CSU-014204/2020-63</w:t>
                  </w:r>
                </w:p>
              </w:txbxContent>
            </v:textbox>
            <w10:wrap anchorx="page" anchory="page"/>
            <w10:anchorlock/>
          </v:shape>
        </w:pict>
      </w:r>
      <w:r>
        <w:rPr>
          <w:rFonts w:cs="Arial"/>
          <w:noProof/>
        </w:rPr>
        <w:pict>
          <v:shape id="_x0000_s1029" type="#_x0000_t202" style="position:absolute;left:0;text-align:left;margin-left:134.65pt;margin-top:116.25pt;width:403.9pt;height:118.65pt;z-index:25165875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" filled="f" stroked="f">
            <v:textbox style="mso-next-textbox:#_x0000_s1029;mso-fit-shape-to-text:t" inset="0,0,0,0">
              <w:txbxContent>
                <w:p w:rsidR="00705045" w:rsidRPr="000F0B50" w:rsidRDefault="00705045" w:rsidP="00A33EFD">
                  <w:pPr>
                    <w:pStyle w:val="Nzev"/>
                    <w:rPr>
                      <w:sz w:val="40"/>
                      <w:szCs w:val="40"/>
                    </w:rPr>
                  </w:pPr>
                  <w:bookmarkStart w:id="0" w:name="_Toc431475015"/>
                  <w:bookmarkStart w:id="1" w:name="_Toc463969169"/>
                  <w:bookmarkStart w:id="2" w:name="_Toc465253879"/>
                  <w:bookmarkStart w:id="3" w:name="_Toc55384417"/>
                  <w:r w:rsidRPr="000F0B50">
                    <w:rPr>
                      <w:sz w:val="40"/>
                      <w:szCs w:val="40"/>
                    </w:rPr>
                    <w:t>KULTURNÍ PRůmysly v ČR: audiovizuální a mediální sektor</w:t>
                  </w:r>
                  <w:bookmarkEnd w:id="0"/>
                  <w:bookmarkEnd w:id="1"/>
                  <w:bookmarkEnd w:id="2"/>
                  <w:bookmarkEnd w:id="3"/>
                </w:p>
                <w:p w:rsidR="00705045" w:rsidRPr="009B04D0" w:rsidRDefault="00705045" w:rsidP="00A33EFD">
                  <w:pPr>
                    <w:pStyle w:val="Podtitul"/>
                  </w:pPr>
                </w:p>
                <w:p w:rsidR="00705045" w:rsidRPr="000F0B50" w:rsidRDefault="00705045" w:rsidP="00A33EFD">
                  <w:pPr>
                    <w:pStyle w:val="Podtitul"/>
                    <w:rPr>
                      <w:sz w:val="32"/>
                      <w:szCs w:val="32"/>
                    </w:rPr>
                  </w:pPr>
                  <w:r>
                    <w:rPr>
                      <w:sz w:val="32"/>
                      <w:szCs w:val="32"/>
                    </w:rPr>
                    <w:t>2019</w:t>
                  </w:r>
                  <w:r w:rsidRPr="000F0B50">
                    <w:rPr>
                      <w:sz w:val="32"/>
                      <w:szCs w:val="32"/>
                    </w:rPr>
                    <w:br/>
                  </w:r>
                </w:p>
              </w:txbxContent>
            </v:textbox>
            <w10:wrap anchorx="page" anchory="page"/>
            <w10:anchorlock/>
          </v:shape>
        </w:pict>
      </w:r>
      <w:r>
        <w:rPr>
          <w:rFonts w:cs="Arial"/>
          <w:noProof/>
        </w:rPr>
        <w:pict>
          <v:group id="Group 24" o:spid="_x0000_s1047" style="position:absolute;left:0;text-align:left;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">
            <o:lock v:ext="edit" aspectratio="t"/>
            <v:rect id="Rectangle 9" o:spid="_x0000_s1050" style="position:absolute;left:1215;top:901;width:676;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" fillcolor="#0071bc" stroked="f">
              <o:lock v:ext="edit" aspectratio="t"/>
            </v:rect>
            <v:rect id="Rectangle 10" o:spid="_x0000_s1049" style="position:absolute;left:567;top:1131;width:1324;height:1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niwQAAANsAAAAPAAAAZHJzL2Rvd25yZXYueG1sRE/LasJA&#10;FN0X/IfhFtzVSY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AvCSeLBAAAA2wAAAA8AAAAA&#10;AAAAAAAAAAAABwIAAGRycy9kb3ducmV2LnhtbFBLBQYAAAAAAwADALcAAAD1AgAAAAA=&#10;" fillcolor="#0071bc" stroked="f">
              <o:lock v:ext="edit" aspectratio="t"/>
            </v:rect>
            <v:rect id="Rectangle 11" o:spid="_x0000_s1048" style="position:absolute;left:1288;top:1361;width:603;height:1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" fillcolor="#0071bc" stroked="f">
              <o:lock v:ext="edit" aspectratio="t"/>
            </v:rect>
            <v:shape id="Freeform 12"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3F313C" w:rsidRPr="00EB2612" w:rsidRDefault="003F313C" w:rsidP="0060487F">
      <w:pPr>
        <w:pStyle w:val="Styl1"/>
        <w:rPr>
          <w:rFonts w:cs="Arial"/>
          <w:sz w:val="20"/>
        </w:rPr>
      </w:pPr>
    </w:p>
    <w:p w:rsidR="003F313C" w:rsidRPr="00EB2612" w:rsidRDefault="003F313C" w:rsidP="0060487F">
      <w:pPr>
        <w:pStyle w:val="Styl1"/>
        <w:rPr>
          <w:rFonts w:cs="Arial"/>
          <w:sz w:val="20"/>
        </w:rPr>
      </w:pPr>
    </w:p>
    <w:p w:rsidR="00F63FB7" w:rsidRPr="00EB2612" w:rsidRDefault="00F63FB7" w:rsidP="0060487F">
      <w:pPr>
        <w:pStyle w:val="Styl1"/>
        <w:rPr>
          <w:rFonts w:cs="Arial"/>
          <w:sz w:val="20"/>
        </w:rPr>
      </w:pPr>
    </w:p>
    <w:p w:rsidR="00F63FB7" w:rsidRPr="00EB2612" w:rsidRDefault="00781DF4">
      <w:pPr>
        <w:spacing w:line="240" w:lineRule="auto"/>
        <w:rPr>
          <w:rFonts w:cs="Arial"/>
          <w:lang w:eastAsia="ar-SA"/>
        </w:rPr>
      </w:pPr>
      <w:r w:rsidRPr="00781DF4">
        <w:rPr>
          <w:noProof/>
        </w:rPr>
        <w:pict>
          <v:line id="Přímá spojnice 33" o:spid="_x0000_s1046" style="position:absolute;left:0;text-align:left;z-index:251656704;visibility:visible;mso-wrap-distance-top:-6e-5mm;mso-wrap-distance-bottom:-6e-5mm;mso-position-horizontal-relative:page;mso-position-vertical-relative:page;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DUivTn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F63FB7" w:rsidRPr="00EB2612">
        <w:rPr>
          <w:rFonts w:cs="Arial"/>
        </w:rPr>
        <w:br w:type="page"/>
      </w:r>
    </w:p>
    <w:p w:rsidR="00F63FB7" w:rsidRPr="00EB2612" w:rsidRDefault="00F63FB7" w:rsidP="0060487F">
      <w:pPr>
        <w:pStyle w:val="Styl1"/>
        <w:rPr>
          <w:rFonts w:cs="Arial"/>
          <w:sz w:val="20"/>
        </w:rPr>
      </w:pPr>
    </w:p>
    <w:p w:rsidR="003F313C" w:rsidRPr="00EB2612" w:rsidRDefault="003F313C" w:rsidP="0060487F">
      <w:pPr>
        <w:pStyle w:val="Styl1"/>
        <w:rPr>
          <w:rFonts w:cs="Arial"/>
          <w:sz w:val="20"/>
        </w:rPr>
      </w:pPr>
    </w:p>
    <w:p w:rsidR="003F313C" w:rsidRPr="00EB2612" w:rsidRDefault="003F313C">
      <w:pPr>
        <w:spacing w:line="240" w:lineRule="auto"/>
        <w:rPr>
          <w:rFonts w:cs="Arial"/>
          <w:lang w:eastAsia="ar-SA"/>
        </w:rPr>
      </w:pPr>
    </w:p>
    <w:p w:rsidR="0060487F" w:rsidRPr="00EB2612" w:rsidRDefault="0060487F" w:rsidP="0060487F">
      <w:pPr>
        <w:pStyle w:val="Styl1"/>
        <w:rPr>
          <w:rFonts w:cs="Arial"/>
          <w:sz w:val="20"/>
        </w:rPr>
      </w:pPr>
    </w:p>
    <w:p w:rsidR="0060487F" w:rsidRPr="00EB2612" w:rsidRDefault="00781DF4" w:rsidP="0060487F">
      <w:pPr>
        <w:pStyle w:val="Styl1"/>
        <w:rPr>
          <w:rFonts w:cs="Arial"/>
          <w:color w:val="7DB41E"/>
          <w:sz w:val="20"/>
          <w:szCs w:val="20"/>
        </w:rPr>
      </w:pPr>
      <w:r w:rsidRPr="00781DF4">
        <w:rPr>
          <w:noProof/>
          <w:lang w:eastAsia="cs-CZ"/>
        </w:rPr>
        <w:pict>
          <v:shape id="_x0000_s1045" type="#_x0000_t202" style="position:absolute;margin-left:56.7pt;margin-top:116.25pt;width:481.9pt;height:595.3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" filled="f" stroked="f">
            <v:textbox style="mso-next-textbox:#_x0000_s1045" inset="0,0,0,0">
              <w:txbxContent>
                <w:p w:rsidR="00705045" w:rsidRPr="00641938" w:rsidRDefault="00705045" w:rsidP="0048086F">
                  <w:pPr>
                    <w:pStyle w:val="TL-Kontakty"/>
                    <w:rPr>
                      <w:b w:val="0"/>
                    </w:rPr>
                  </w:pPr>
                  <w:r w:rsidRPr="00641938">
                    <w:rPr>
                      <w:rStyle w:val="TL-KontaktyChar"/>
                      <w:b/>
                    </w:rPr>
                    <w:t>KONTAKTY V</w:t>
                  </w:r>
                  <w:r w:rsidRPr="00641938">
                    <w:rPr>
                      <w:b w:val="0"/>
                    </w:rPr>
                    <w:t> </w:t>
                  </w:r>
                  <w:r w:rsidRPr="00641938">
                    <w:t>ÚSTŘEDÍ</w:t>
                  </w:r>
                </w:p>
                <w:p w:rsidR="00705045" w:rsidRPr="00EA4153" w:rsidRDefault="00705045"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705045" w:rsidRPr="00B27293" w:rsidRDefault="00705045"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705045" w:rsidRPr="00EA4153" w:rsidRDefault="00705045" w:rsidP="00BD366B">
                  <w:pPr>
                    <w:spacing w:after="80" w:line="240" w:lineRule="auto"/>
                    <w:rPr>
                      <w:b/>
                    </w:rPr>
                  </w:pPr>
                  <w:r w:rsidRPr="00100014">
                    <w:rPr>
                      <w:b/>
                    </w:rPr>
                    <w:t>Prodejna publikací ČSÚ</w:t>
                  </w:r>
                  <w:r>
                    <w:t xml:space="preserve"> | tel.: 274 052 361 | e-mail: prodejna@czso.cz</w:t>
                  </w:r>
                </w:p>
                <w:p w:rsidR="00705045" w:rsidRPr="00EA4153" w:rsidRDefault="00705045"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705045" w:rsidRPr="00EA4153" w:rsidRDefault="00705045" w:rsidP="00BD366B">
                  <w:pPr>
                    <w:spacing w:after="80" w:line="240" w:lineRule="auto"/>
                    <w:rPr>
                      <w:b/>
                    </w:rPr>
                  </w:pPr>
                  <w:r w:rsidRPr="00100014">
                    <w:rPr>
                      <w:b/>
                    </w:rPr>
                    <w:t>Ústřední statistická knihovna</w:t>
                  </w:r>
                  <w:r>
                    <w:t xml:space="preserve"> | tel.: 274 052 361 | e-mail: knihovna@czso.cz</w:t>
                  </w:r>
                </w:p>
                <w:p w:rsidR="00705045" w:rsidRDefault="00705045" w:rsidP="00BD366B">
                  <w:pPr>
                    <w:spacing w:line="240" w:lineRule="auto"/>
                  </w:pPr>
                </w:p>
                <w:p w:rsidR="00705045" w:rsidRPr="0071229A" w:rsidRDefault="00705045" w:rsidP="004F06F5">
                  <w:pPr>
                    <w:pStyle w:val="TL-Kontakty"/>
                  </w:pPr>
                  <w:r w:rsidRPr="0071229A">
                    <w:t>INFORMAČNÍ SLUŽBY V REGIONECH</w:t>
                  </w:r>
                </w:p>
                <w:p w:rsidR="00705045" w:rsidRDefault="00705045" w:rsidP="00BD366B">
                  <w:pPr>
                    <w:spacing w:line="240" w:lineRule="auto"/>
                  </w:pPr>
                  <w:r w:rsidRPr="00100014">
                    <w:rPr>
                      <w:b/>
                      <w:color w:val="0071BC"/>
                    </w:rPr>
                    <w:t>Hl. m. Praha</w:t>
                  </w:r>
                  <w:r>
                    <w:t xml:space="preserve"> | Na padesátém 81, 100 82 Praha 10 | tel.: 274 052 673, 274 054 223</w:t>
                  </w:r>
                </w:p>
                <w:p w:rsidR="00705045" w:rsidRPr="00100014" w:rsidRDefault="00705045" w:rsidP="00BD366B">
                  <w:pPr>
                    <w:spacing w:line="240" w:lineRule="auto"/>
                    <w:rPr>
                      <w:b/>
                    </w:rPr>
                  </w:pPr>
                  <w:r>
                    <w:t xml:space="preserve">e-mail: infoservispraha@czso.cz | </w:t>
                  </w:r>
                  <w:r w:rsidRPr="00100014">
                    <w:rPr>
                      <w:b/>
                    </w:rPr>
                    <w:t>www.praha.czso.cz</w:t>
                  </w:r>
                </w:p>
                <w:p w:rsidR="00705045" w:rsidRDefault="00705045" w:rsidP="00BD366B">
                  <w:pPr>
                    <w:spacing w:line="240" w:lineRule="auto"/>
                  </w:pPr>
                </w:p>
                <w:p w:rsidR="00705045" w:rsidRPr="00B27293" w:rsidRDefault="00705045"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705045" w:rsidRPr="00B27293" w:rsidRDefault="00705045" w:rsidP="00BD366B">
                  <w:pPr>
                    <w:spacing w:line="240" w:lineRule="auto"/>
                  </w:pPr>
                  <w:r>
                    <w:t xml:space="preserve">e-mail: infoservisstc@czso.cz | </w:t>
                  </w:r>
                  <w:r w:rsidRPr="00100014">
                    <w:rPr>
                      <w:b/>
                    </w:rPr>
                    <w:t>www.stredocesky.czso.cz</w:t>
                  </w:r>
                </w:p>
                <w:p w:rsidR="00705045" w:rsidRDefault="00705045" w:rsidP="00BD366B">
                  <w:pPr>
                    <w:spacing w:line="240" w:lineRule="auto"/>
                  </w:pPr>
                </w:p>
                <w:p w:rsidR="00705045" w:rsidRPr="00B27293" w:rsidRDefault="00705045" w:rsidP="00BD366B">
                  <w:pPr>
                    <w:spacing w:line="240" w:lineRule="auto"/>
                    <w:rPr>
                      <w:b/>
                      <w:color w:val="0071BC"/>
                    </w:rPr>
                  </w:pPr>
                  <w:r w:rsidRPr="00100014">
                    <w:rPr>
                      <w:b/>
                      <w:color w:val="0071BC"/>
                    </w:rPr>
                    <w:t>České Budějovice</w:t>
                  </w:r>
                  <w:r>
                    <w:t xml:space="preserve"> | Žižkova 1, 370 77 České Budějovice | tel.: 386 718 440</w:t>
                  </w:r>
                </w:p>
                <w:p w:rsidR="00705045" w:rsidRPr="00B27293" w:rsidRDefault="00705045" w:rsidP="00BD366B">
                  <w:pPr>
                    <w:spacing w:line="240" w:lineRule="auto"/>
                  </w:pPr>
                  <w:r>
                    <w:t xml:space="preserve">e-mail: infoserviscb@czso.cz | </w:t>
                  </w:r>
                  <w:r w:rsidRPr="00100014">
                    <w:rPr>
                      <w:b/>
                    </w:rPr>
                    <w:t>www.cbudejovice.czso.cz</w:t>
                  </w:r>
                </w:p>
                <w:p w:rsidR="00705045" w:rsidRDefault="00705045" w:rsidP="00BD366B">
                  <w:pPr>
                    <w:spacing w:line="240" w:lineRule="auto"/>
                  </w:pPr>
                </w:p>
                <w:p w:rsidR="00705045" w:rsidRPr="00B27293" w:rsidRDefault="00705045" w:rsidP="00BD366B">
                  <w:pPr>
                    <w:spacing w:line="240" w:lineRule="auto"/>
                    <w:rPr>
                      <w:b/>
                      <w:color w:val="0071BC"/>
                    </w:rPr>
                  </w:pPr>
                  <w:r w:rsidRPr="0071229A">
                    <w:rPr>
                      <w:b/>
                      <w:color w:val="0071BC"/>
                    </w:rPr>
                    <w:t>Plzeň</w:t>
                  </w:r>
                  <w:r>
                    <w:t xml:space="preserve"> | Slovanská alej 36, 326 64 Plzeň | tel.: 377 612 108, 377 612 249</w:t>
                  </w:r>
                </w:p>
                <w:p w:rsidR="00705045" w:rsidRPr="00B27293" w:rsidRDefault="00705045" w:rsidP="00BD366B">
                  <w:pPr>
                    <w:spacing w:line="240" w:lineRule="auto"/>
                  </w:pPr>
                  <w:r>
                    <w:t xml:space="preserve">e-mail: infoservisplzen@czso.cz | </w:t>
                  </w:r>
                  <w:r w:rsidRPr="0071229A">
                    <w:rPr>
                      <w:b/>
                    </w:rPr>
                    <w:t>www.plzen.czso.cz</w:t>
                  </w:r>
                </w:p>
                <w:p w:rsidR="00705045" w:rsidRDefault="00705045" w:rsidP="00BD366B">
                  <w:pPr>
                    <w:spacing w:line="240" w:lineRule="auto"/>
                  </w:pPr>
                </w:p>
                <w:p w:rsidR="00705045" w:rsidRPr="00B27293" w:rsidRDefault="00705045" w:rsidP="00BD366B">
                  <w:pPr>
                    <w:spacing w:line="240" w:lineRule="auto"/>
                    <w:rPr>
                      <w:b/>
                      <w:color w:val="0071BC"/>
                    </w:rPr>
                  </w:pPr>
                  <w:r w:rsidRPr="0071229A">
                    <w:rPr>
                      <w:b/>
                      <w:color w:val="0071BC"/>
                    </w:rPr>
                    <w:t>Karlovy Vary</w:t>
                  </w:r>
                  <w:r>
                    <w:t xml:space="preserve"> | Sportovní 28, 360 01 Karlovy Vary | tel.: 353 114 529, 353 114 525</w:t>
                  </w:r>
                </w:p>
                <w:p w:rsidR="00705045" w:rsidRDefault="00705045" w:rsidP="00BD366B">
                  <w:pPr>
                    <w:spacing w:line="240" w:lineRule="auto"/>
                    <w:rPr>
                      <w:b/>
                    </w:rPr>
                  </w:pPr>
                  <w:r>
                    <w:t xml:space="preserve">e-mail: infoserviskv@czso.cz | </w:t>
                  </w:r>
                  <w:r>
                    <w:rPr>
                      <w:b/>
                    </w:rPr>
                    <w:t>www.kvary.czso.cz</w:t>
                  </w:r>
                </w:p>
                <w:p w:rsidR="00705045" w:rsidRDefault="00705045" w:rsidP="00BD366B">
                  <w:pPr>
                    <w:spacing w:line="240" w:lineRule="auto"/>
                  </w:pPr>
                </w:p>
                <w:p w:rsidR="00705045" w:rsidRPr="00B27293" w:rsidRDefault="00705045" w:rsidP="00BD366B">
                  <w:pPr>
                    <w:spacing w:line="240" w:lineRule="auto"/>
                    <w:rPr>
                      <w:b/>
                      <w:bCs/>
                      <w:color w:val="0071BC"/>
                    </w:rPr>
                  </w:pPr>
                  <w:r w:rsidRPr="0071229A">
                    <w:rPr>
                      <w:b/>
                      <w:bCs/>
                      <w:color w:val="0071BC"/>
                    </w:rPr>
                    <w:t>Ústí nad Labem</w:t>
                  </w:r>
                  <w:r>
                    <w:t xml:space="preserve"> | </w:t>
                  </w:r>
                  <w:proofErr w:type="spellStart"/>
                  <w:r w:rsidRPr="0071229A">
                    <w:rPr>
                      <w:bCs/>
                    </w:rPr>
                    <w:t>Špálova</w:t>
                  </w:r>
                  <w:proofErr w:type="spellEnd"/>
                  <w:r w:rsidRPr="0071229A">
                    <w:rPr>
                      <w:bCs/>
                    </w:rPr>
                    <w:t xml:space="preserve"> 2684, 400 11 Ústí nad Labem</w:t>
                  </w:r>
                  <w:r>
                    <w:t xml:space="preserve"> | </w:t>
                  </w:r>
                  <w:r w:rsidRPr="0071229A">
                    <w:rPr>
                      <w:bCs/>
                    </w:rPr>
                    <w:t>tel.: 472 706 176, 472 706 121</w:t>
                  </w:r>
                </w:p>
                <w:p w:rsidR="00705045" w:rsidRPr="00B27293" w:rsidRDefault="00705045" w:rsidP="00BD366B">
                  <w:pPr>
                    <w:spacing w:line="240" w:lineRule="auto"/>
                    <w:rPr>
                      <w:bCs/>
                    </w:rPr>
                  </w:pPr>
                  <w:r w:rsidRPr="0071229A">
                    <w:rPr>
                      <w:bCs/>
                    </w:rPr>
                    <w:t>e-mail: infoservisul@czso.cz</w:t>
                  </w:r>
                  <w:r>
                    <w:t xml:space="preserve"> | </w:t>
                  </w:r>
                  <w:r w:rsidRPr="0071229A">
                    <w:rPr>
                      <w:b/>
                      <w:bCs/>
                    </w:rPr>
                    <w:t>www.ustinadlabem.czso.cz</w:t>
                  </w:r>
                </w:p>
                <w:p w:rsidR="00705045" w:rsidRPr="0071229A" w:rsidRDefault="00705045" w:rsidP="00BD366B">
                  <w:pPr>
                    <w:spacing w:line="240" w:lineRule="auto"/>
                    <w:rPr>
                      <w:bCs/>
                    </w:rPr>
                  </w:pPr>
                </w:p>
                <w:p w:rsidR="00705045" w:rsidRPr="00B27293" w:rsidRDefault="00705045"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705045" w:rsidRPr="00B27293" w:rsidRDefault="00705045" w:rsidP="00BD366B">
                  <w:pPr>
                    <w:spacing w:line="240" w:lineRule="auto"/>
                    <w:rPr>
                      <w:bCs/>
                    </w:rPr>
                  </w:pPr>
                  <w:r w:rsidRPr="0071229A">
                    <w:rPr>
                      <w:bCs/>
                    </w:rPr>
                    <w:t>e-mail: infoservislbc@czso.cz</w:t>
                  </w:r>
                  <w:r>
                    <w:t xml:space="preserve"> | </w:t>
                  </w:r>
                  <w:r w:rsidRPr="0071229A">
                    <w:rPr>
                      <w:b/>
                      <w:bCs/>
                    </w:rPr>
                    <w:t>www.liberec.czso.cz</w:t>
                  </w:r>
                </w:p>
                <w:p w:rsidR="00705045" w:rsidRPr="0071229A" w:rsidRDefault="00705045" w:rsidP="00BD366B">
                  <w:pPr>
                    <w:spacing w:line="240" w:lineRule="auto"/>
                    <w:rPr>
                      <w:bCs/>
                    </w:rPr>
                  </w:pPr>
                </w:p>
                <w:p w:rsidR="00705045" w:rsidRPr="00B27293" w:rsidRDefault="00705045"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705045" w:rsidRPr="00B27293" w:rsidRDefault="00705045" w:rsidP="00BD366B">
                  <w:pPr>
                    <w:spacing w:line="240" w:lineRule="auto"/>
                    <w:rPr>
                      <w:bCs/>
                    </w:rPr>
                  </w:pPr>
                  <w:r w:rsidRPr="0071229A">
                    <w:rPr>
                      <w:bCs/>
                    </w:rPr>
                    <w:t>e-mail: infoservishk@czso.cz</w:t>
                  </w:r>
                  <w:r>
                    <w:t xml:space="preserve"> | </w:t>
                  </w:r>
                  <w:r w:rsidRPr="0071229A">
                    <w:rPr>
                      <w:b/>
                      <w:bCs/>
                    </w:rPr>
                    <w:t>www.hradeckralove.czso.cz</w:t>
                  </w:r>
                </w:p>
                <w:p w:rsidR="00705045" w:rsidRPr="0071229A" w:rsidRDefault="00705045" w:rsidP="00BD366B">
                  <w:pPr>
                    <w:spacing w:line="240" w:lineRule="auto"/>
                    <w:rPr>
                      <w:bCs/>
                    </w:rPr>
                  </w:pPr>
                </w:p>
                <w:p w:rsidR="00705045" w:rsidRPr="00B27293" w:rsidRDefault="00705045"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705045" w:rsidRPr="00B27293" w:rsidRDefault="00705045" w:rsidP="00BD366B">
                  <w:pPr>
                    <w:spacing w:line="240" w:lineRule="auto"/>
                    <w:rPr>
                      <w:bCs/>
                    </w:rPr>
                  </w:pPr>
                  <w:r w:rsidRPr="0071229A">
                    <w:rPr>
                      <w:bCs/>
                    </w:rPr>
                    <w:t>e-mail: infoservispa@czso.cz</w:t>
                  </w:r>
                  <w:r>
                    <w:t xml:space="preserve"> | </w:t>
                  </w:r>
                  <w:r w:rsidRPr="0071229A">
                    <w:rPr>
                      <w:b/>
                      <w:bCs/>
                    </w:rPr>
                    <w:t>www.pardubice.czso.cz</w:t>
                  </w:r>
                </w:p>
                <w:p w:rsidR="00705045" w:rsidRPr="0071229A" w:rsidRDefault="00705045" w:rsidP="00BD366B">
                  <w:pPr>
                    <w:spacing w:line="240" w:lineRule="auto"/>
                    <w:rPr>
                      <w:bCs/>
                    </w:rPr>
                  </w:pPr>
                </w:p>
                <w:p w:rsidR="00705045" w:rsidRPr="00B27293" w:rsidRDefault="00705045"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705045" w:rsidRPr="00B27293" w:rsidRDefault="00705045" w:rsidP="00BD366B">
                  <w:pPr>
                    <w:spacing w:line="240" w:lineRule="auto"/>
                    <w:rPr>
                      <w:bCs/>
                    </w:rPr>
                  </w:pPr>
                  <w:r w:rsidRPr="0071229A">
                    <w:rPr>
                      <w:bCs/>
                    </w:rPr>
                    <w:t>e-mail: infoservisvys@czso.cz</w:t>
                  </w:r>
                  <w:r>
                    <w:t xml:space="preserve"> | </w:t>
                  </w:r>
                  <w:r w:rsidRPr="0071229A">
                    <w:rPr>
                      <w:b/>
                      <w:bCs/>
                    </w:rPr>
                    <w:t>www.jihlava.czso.cz</w:t>
                  </w:r>
                </w:p>
                <w:p w:rsidR="00705045" w:rsidRPr="0071229A" w:rsidRDefault="00705045" w:rsidP="00BD366B">
                  <w:pPr>
                    <w:spacing w:line="240" w:lineRule="auto"/>
                    <w:rPr>
                      <w:bCs/>
                    </w:rPr>
                  </w:pPr>
                </w:p>
                <w:p w:rsidR="00705045" w:rsidRPr="00B27293" w:rsidRDefault="00705045"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705045" w:rsidRPr="00B27293" w:rsidRDefault="00705045" w:rsidP="00BD366B">
                  <w:pPr>
                    <w:spacing w:line="240" w:lineRule="auto"/>
                    <w:rPr>
                      <w:bCs/>
                    </w:rPr>
                  </w:pPr>
                  <w:r w:rsidRPr="0071229A">
                    <w:rPr>
                      <w:bCs/>
                    </w:rPr>
                    <w:t>e-mail: infoservisbrno@czso.cz</w:t>
                  </w:r>
                  <w:r>
                    <w:t xml:space="preserve"> | </w:t>
                  </w:r>
                  <w:r w:rsidRPr="0071229A">
                    <w:rPr>
                      <w:b/>
                      <w:bCs/>
                    </w:rPr>
                    <w:t>www.brno.czso.cz</w:t>
                  </w:r>
                </w:p>
                <w:p w:rsidR="00705045" w:rsidRPr="0071229A" w:rsidRDefault="00705045" w:rsidP="00BD366B">
                  <w:pPr>
                    <w:spacing w:line="240" w:lineRule="auto"/>
                    <w:rPr>
                      <w:bCs/>
                    </w:rPr>
                  </w:pPr>
                </w:p>
                <w:p w:rsidR="00705045" w:rsidRPr="00B27293" w:rsidRDefault="00705045" w:rsidP="00BD366B">
                  <w:pPr>
                    <w:spacing w:line="240" w:lineRule="auto"/>
                    <w:rPr>
                      <w:b/>
                      <w:bCs/>
                    </w:rPr>
                  </w:pPr>
                  <w:r w:rsidRPr="0071229A">
                    <w:rPr>
                      <w:b/>
                      <w:bCs/>
                      <w:color w:val="0071BC"/>
                    </w:rPr>
                    <w:t>Olomouc</w:t>
                  </w:r>
                  <w:r>
                    <w:t xml:space="preserve"> | </w:t>
                  </w:r>
                  <w:proofErr w:type="spellStart"/>
                  <w:r w:rsidRPr="0071229A">
                    <w:rPr>
                      <w:bCs/>
                    </w:rPr>
                    <w:t>Jeremenkova</w:t>
                  </w:r>
                  <w:proofErr w:type="spellEnd"/>
                  <w:r w:rsidRPr="0071229A">
                    <w:rPr>
                      <w:bCs/>
                    </w:rPr>
                    <w:t xml:space="preserve"> 1142/42, 772 11 Olomouc</w:t>
                  </w:r>
                  <w:r>
                    <w:t xml:space="preserve"> | </w:t>
                  </w:r>
                  <w:r w:rsidRPr="0071229A">
                    <w:rPr>
                      <w:bCs/>
                    </w:rPr>
                    <w:t>tel.: 585 731 516, 585 731 509</w:t>
                  </w:r>
                </w:p>
                <w:p w:rsidR="00705045" w:rsidRPr="00B27293" w:rsidRDefault="00705045" w:rsidP="00BD366B">
                  <w:pPr>
                    <w:spacing w:line="240" w:lineRule="auto"/>
                    <w:rPr>
                      <w:bCs/>
                    </w:rPr>
                  </w:pPr>
                  <w:r w:rsidRPr="0071229A">
                    <w:rPr>
                      <w:bCs/>
                    </w:rPr>
                    <w:t>e-mail: infoservisolom@czso.cz</w:t>
                  </w:r>
                  <w:r>
                    <w:t xml:space="preserve"> | </w:t>
                  </w:r>
                  <w:r w:rsidRPr="0071229A">
                    <w:rPr>
                      <w:b/>
                      <w:bCs/>
                    </w:rPr>
                    <w:t>www.olomouc.czso.cz</w:t>
                  </w:r>
                </w:p>
                <w:p w:rsidR="00705045" w:rsidRPr="0071229A" w:rsidRDefault="00705045" w:rsidP="00BD366B">
                  <w:pPr>
                    <w:spacing w:line="240" w:lineRule="auto"/>
                    <w:rPr>
                      <w:bCs/>
                    </w:rPr>
                  </w:pPr>
                </w:p>
                <w:p w:rsidR="00705045" w:rsidRPr="00B27293" w:rsidRDefault="00705045" w:rsidP="00BD366B">
                  <w:pPr>
                    <w:spacing w:line="240" w:lineRule="auto"/>
                    <w:rPr>
                      <w:b/>
                      <w:bCs/>
                    </w:rPr>
                  </w:pPr>
                  <w:r w:rsidRPr="0071229A">
                    <w:rPr>
                      <w:b/>
                      <w:bCs/>
                      <w:color w:val="0071BC"/>
                    </w:rPr>
                    <w:t>Ostrava</w:t>
                  </w:r>
                  <w:r>
                    <w:t xml:space="preserve"> | </w:t>
                  </w:r>
                  <w:proofErr w:type="spellStart"/>
                  <w:r w:rsidRPr="0071229A">
                    <w:rPr>
                      <w:bCs/>
                    </w:rPr>
                    <w:t>Repinova</w:t>
                  </w:r>
                  <w:proofErr w:type="spellEnd"/>
                  <w:r w:rsidRPr="0071229A">
                    <w:rPr>
                      <w:bCs/>
                    </w:rPr>
                    <w:t xml:space="preserve"> 17, 702 03 Ostrava</w:t>
                  </w:r>
                  <w:r>
                    <w:t xml:space="preserve"> | </w:t>
                  </w:r>
                  <w:r w:rsidRPr="0071229A">
                    <w:rPr>
                      <w:bCs/>
                    </w:rPr>
                    <w:t>tel.: 595 131 230, 595 131 232</w:t>
                  </w:r>
                </w:p>
                <w:p w:rsidR="00705045" w:rsidRPr="00B27293" w:rsidRDefault="00705045" w:rsidP="00BD366B">
                  <w:pPr>
                    <w:spacing w:line="240" w:lineRule="auto"/>
                    <w:rPr>
                      <w:bCs/>
                    </w:rPr>
                  </w:pPr>
                  <w:r w:rsidRPr="0071229A">
                    <w:rPr>
                      <w:bCs/>
                    </w:rPr>
                    <w:t>e-mail: infoservis_ov@czso.cz</w:t>
                  </w:r>
                  <w:r>
                    <w:t xml:space="preserve"> | </w:t>
                  </w:r>
                  <w:r w:rsidRPr="0071229A">
                    <w:rPr>
                      <w:b/>
                      <w:bCs/>
                    </w:rPr>
                    <w:t>www.ostrava.czso.cz</w:t>
                  </w:r>
                </w:p>
                <w:p w:rsidR="00705045" w:rsidRPr="0071229A" w:rsidRDefault="00705045" w:rsidP="00BD366B">
                  <w:pPr>
                    <w:spacing w:line="240" w:lineRule="auto"/>
                    <w:rPr>
                      <w:bCs/>
                    </w:rPr>
                  </w:pPr>
                </w:p>
                <w:p w:rsidR="00705045" w:rsidRPr="0071229A" w:rsidRDefault="00705045"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705045" w:rsidRPr="00B27293" w:rsidRDefault="00705045" w:rsidP="00BD366B">
                  <w:pPr>
                    <w:spacing w:line="240" w:lineRule="auto"/>
                    <w:rPr>
                      <w:bCs/>
                    </w:rPr>
                  </w:pPr>
                  <w:r w:rsidRPr="0071229A">
                    <w:rPr>
                      <w:bCs/>
                    </w:rPr>
                    <w:t>e-mail: infoservis-zl@czso.cz</w:t>
                  </w:r>
                  <w:r>
                    <w:t xml:space="preserve"> | </w:t>
                  </w:r>
                  <w:r w:rsidRPr="0071229A">
                    <w:rPr>
                      <w:b/>
                      <w:bCs/>
                    </w:rPr>
                    <w:t>www.zlin.czso.cz</w:t>
                  </w:r>
                </w:p>
                <w:p w:rsidR="00705045" w:rsidRPr="00B27293" w:rsidRDefault="00705045" w:rsidP="00BD366B">
                  <w:pPr>
                    <w:spacing w:line="240" w:lineRule="auto"/>
                  </w:pPr>
                </w:p>
              </w:txbxContent>
            </v:textbox>
            <w10:wrap anchorx="page" anchory="page"/>
            <w10:anchorlock/>
          </v:shape>
        </w:pict>
      </w:r>
      <w:r w:rsidRPr="00781DF4">
        <w:rPr>
          <w:noProof/>
          <w:lang w:eastAsia="cs-CZ"/>
        </w:rPr>
        <w:pict>
          <v:shape id="_x0000_s1044" type="#_x0000_t202" style="position:absolute;margin-left:56.7pt;margin-top:56.7pt;width:481.85pt;height:47.4pt;z-index:2516536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" filled="f" stroked="f">
            <v:textbox style="mso-next-textbox:#_x0000_s1044;mso-fit-shape-to-text:t" inset="0,0,0,0">
              <w:txbxContent>
                <w:p w:rsidR="00705045" w:rsidRPr="00B95F50" w:rsidRDefault="00705045" w:rsidP="0060487F">
                  <w:pPr>
                    <w:rPr>
                      <w:b/>
                      <w:bCs/>
                      <w:sz w:val="24"/>
                    </w:rPr>
                  </w:pPr>
                  <w:r w:rsidRPr="00B95F50">
                    <w:rPr>
                      <w:b/>
                      <w:color w:val="0071BC"/>
                      <w:sz w:val="24"/>
                    </w:rPr>
                    <w:t>Zajímají Vás nejnovější údaje o inflaci, HDP, obyvatelstvu, průměrných mzdách a</w:t>
                  </w:r>
                  <w:r>
                    <w:rPr>
                      <w:b/>
                      <w:color w:val="0071BC"/>
                      <w:sz w:val="24"/>
                    </w:rPr>
                    <w:t> </w:t>
                  </w:r>
                  <w:r w:rsidRPr="00B95F50">
                    <w:rPr>
                      <w:b/>
                      <w:color w:val="0071BC"/>
                      <w:sz w:val="24"/>
                    </w:rPr>
                    <w:t xml:space="preserve">mnohé další? Najdete je na stránkách ČSÚ na internetu: </w:t>
                  </w:r>
                  <w:r w:rsidRPr="00B95F50">
                    <w:rPr>
                      <w:b/>
                      <w:bCs/>
                      <w:sz w:val="24"/>
                    </w:rPr>
                    <w:t>www.czso.cz</w:t>
                  </w:r>
                </w:p>
              </w:txbxContent>
            </v:textbox>
            <w10:wrap anchorx="page" anchory="page"/>
            <w10:anchorlock/>
          </v:shape>
        </w:pict>
      </w:r>
      <w:r w:rsidRPr="00781DF4">
        <w:rPr>
          <w:noProof/>
          <w:lang w:eastAsia="cs-CZ"/>
        </w:rPr>
        <w:pict>
          <v:shape id="_x0000_s1043" type="#_x0000_t202" style="position:absolute;margin-left:56.35pt;margin-top:747pt;width:481.9pt;height:29.25pt;z-index:2516546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" filled="f" stroked="f">
            <v:textbox style="mso-next-textbox:#_x0000_s1043" inset="0,0,0,0">
              <w:txbxContent>
                <w:p w:rsidR="00705045" w:rsidRPr="007B0B56" w:rsidRDefault="00705045" w:rsidP="00B21017">
                  <w:pPr>
                    <w:spacing w:after="0" w:line="276" w:lineRule="auto"/>
                    <w:rPr>
                      <w:szCs w:val="26"/>
                    </w:rPr>
                  </w:pPr>
                  <w:r w:rsidRPr="00A55993">
                    <w:rPr>
                      <w:szCs w:val="26"/>
                    </w:rPr>
                    <w:t xml:space="preserve">ISBN: </w:t>
                  </w:r>
                  <w:r w:rsidR="00A55993" w:rsidRPr="00A55993">
                    <w:rPr>
                      <w:szCs w:val="26"/>
                    </w:rPr>
                    <w:t>978-80-250-3054-7</w:t>
                  </w:r>
                </w:p>
                <w:p w:rsidR="00705045" w:rsidRDefault="00705045" w:rsidP="00B21017">
                  <w:pPr>
                    <w:spacing w:after="0" w:line="276" w:lineRule="auto"/>
                  </w:pPr>
                  <w:r w:rsidRPr="00841D9F">
                    <w:t>© Český sta</w:t>
                  </w:r>
                  <w:r>
                    <w:t>tistický úřad, Praha, 2020</w:t>
                  </w:r>
                </w:p>
              </w:txbxContent>
            </v:textbox>
            <w10:wrap anchorx="page" anchory="page"/>
            <w10:anchorlock/>
          </v:shape>
        </w:pict>
      </w:r>
    </w:p>
    <w:p w:rsidR="00A75E40" w:rsidRPr="00EB2612" w:rsidRDefault="00A75E40" w:rsidP="00F04811">
      <w:pPr>
        <w:pStyle w:val="Zkladnodstavec"/>
        <w:spacing w:after="240"/>
        <w:rPr>
          <w:rFonts w:ascii="Arial" w:hAnsi="Arial" w:cs="Arial"/>
          <w:b/>
          <w:color w:val="A5007B"/>
          <w:sz w:val="32"/>
          <w:szCs w:val="32"/>
        </w:rPr>
      </w:pPr>
    </w:p>
    <w:p w:rsidR="00A75E40" w:rsidRPr="00EB2612" w:rsidRDefault="00A75E40">
      <w:pPr>
        <w:rPr>
          <w:rFonts w:eastAsia="Calibri" w:cs="Arial"/>
          <w:b/>
          <w:color w:val="A5007B"/>
          <w:sz w:val="32"/>
          <w:szCs w:val="32"/>
        </w:rPr>
        <w:sectPr w:rsidR="00A75E40" w:rsidRPr="00EB2612" w:rsidSect="007B47EE">
          <w:pgSz w:w="11906" w:h="16838" w:code="9"/>
          <w:pgMar w:top="1134" w:right="1134" w:bottom="1418" w:left="1134" w:header="709" w:footer="709" w:gutter="0"/>
          <w:pgNumType w:start="1"/>
          <w:cols w:space="708"/>
          <w:docGrid w:linePitch="360"/>
        </w:sectPr>
      </w:pPr>
    </w:p>
    <w:sdt>
      <w:sdtPr>
        <w:rPr>
          <w:rFonts w:ascii="Arial" w:eastAsia="Times New Roman" w:hAnsi="Arial" w:cs="Times New Roman"/>
          <w:b w:val="0"/>
          <w:bCs w:val="0"/>
          <w:color w:val="auto"/>
          <w:sz w:val="20"/>
          <w:szCs w:val="24"/>
          <w:lang w:eastAsia="cs-CZ"/>
        </w:rPr>
        <w:id w:val="193750871"/>
        <w:docPartObj>
          <w:docPartGallery w:val="Table of Contents"/>
          <w:docPartUnique/>
        </w:docPartObj>
      </w:sdtPr>
      <w:sdtContent>
        <w:p w:rsidR="00B414F8" w:rsidRPr="00EB2612" w:rsidRDefault="00B414F8" w:rsidP="00C62ACF">
          <w:pPr>
            <w:pStyle w:val="Nadpisobsahu"/>
            <w:spacing w:before="120" w:after="120"/>
          </w:pPr>
          <w:r w:rsidRPr="00EB2612">
            <w:rPr>
              <w:rStyle w:val="ObsahChar"/>
              <w:b/>
            </w:rPr>
            <w:t>OBSAH</w:t>
          </w:r>
        </w:p>
        <w:p w:rsidR="00903CB1" w:rsidRDefault="00781DF4">
          <w:pPr>
            <w:pStyle w:val="Obsah1"/>
            <w:rPr>
              <w:rFonts w:eastAsiaTheme="minorEastAsia"/>
              <w:lang w:eastAsia="cs-CZ"/>
            </w:rPr>
          </w:pPr>
          <w:r w:rsidRPr="00781DF4">
            <w:fldChar w:fldCharType="begin"/>
          </w:r>
          <w:r w:rsidR="00B414F8" w:rsidRPr="00EB2612">
            <w:instrText xml:space="preserve"> TOC \o "1-3" \h \z \u </w:instrText>
          </w:r>
          <w:r w:rsidRPr="00781DF4">
            <w:fldChar w:fldCharType="separate"/>
          </w:r>
          <w:hyperlink w:anchor="_Toc55384418" w:history="1">
            <w:r w:rsidR="00903CB1" w:rsidRPr="00A40416">
              <w:rPr>
                <w:rStyle w:val="Hypertextovodkaz"/>
              </w:rPr>
              <w:t>ÚVOD</w:t>
            </w:r>
            <w:r w:rsidR="00903CB1">
              <w:rPr>
                <w:webHidden/>
              </w:rPr>
              <w:tab/>
            </w:r>
            <w:r>
              <w:rPr>
                <w:webHidden/>
              </w:rPr>
              <w:fldChar w:fldCharType="begin"/>
            </w:r>
            <w:r w:rsidR="00903CB1">
              <w:rPr>
                <w:webHidden/>
              </w:rPr>
              <w:instrText xml:space="preserve"> PAGEREF _Toc55384418 \h </w:instrText>
            </w:r>
            <w:r>
              <w:rPr>
                <w:webHidden/>
              </w:rPr>
            </w:r>
            <w:r>
              <w:rPr>
                <w:webHidden/>
              </w:rPr>
              <w:fldChar w:fldCharType="separate"/>
            </w:r>
            <w:r w:rsidR="00903CB1">
              <w:rPr>
                <w:webHidden/>
              </w:rPr>
              <w:t>4</w:t>
            </w:r>
            <w:r>
              <w:rPr>
                <w:webHidden/>
              </w:rPr>
              <w:fldChar w:fldCharType="end"/>
            </w:r>
          </w:hyperlink>
        </w:p>
        <w:p w:rsidR="00903CB1" w:rsidRDefault="00781DF4">
          <w:pPr>
            <w:pStyle w:val="Obsah1"/>
            <w:rPr>
              <w:rFonts w:eastAsiaTheme="minorEastAsia"/>
              <w:lang w:eastAsia="cs-CZ"/>
            </w:rPr>
          </w:pPr>
          <w:hyperlink w:anchor="_Toc55384419" w:history="1">
            <w:r w:rsidR="00903CB1" w:rsidRPr="00A40416">
              <w:rPr>
                <w:rStyle w:val="Hypertextovodkaz"/>
              </w:rPr>
              <w:t>1.</w:t>
            </w:r>
            <w:r w:rsidR="00903CB1">
              <w:rPr>
                <w:rFonts w:eastAsiaTheme="minorEastAsia"/>
                <w:lang w:eastAsia="cs-CZ"/>
              </w:rPr>
              <w:tab/>
            </w:r>
            <w:r w:rsidR="00903CB1" w:rsidRPr="00A40416">
              <w:rPr>
                <w:rStyle w:val="Hypertextovodkaz"/>
              </w:rPr>
              <w:t>VYMEZENÍ KULTURNÍCH PRŮMYSLŮ</w:t>
            </w:r>
            <w:r w:rsidR="00903CB1">
              <w:rPr>
                <w:webHidden/>
              </w:rPr>
              <w:tab/>
            </w:r>
            <w:r>
              <w:rPr>
                <w:webHidden/>
              </w:rPr>
              <w:fldChar w:fldCharType="begin"/>
            </w:r>
            <w:r w:rsidR="00903CB1">
              <w:rPr>
                <w:webHidden/>
              </w:rPr>
              <w:instrText xml:space="preserve"> PAGEREF _Toc55384419 \h </w:instrText>
            </w:r>
            <w:r>
              <w:rPr>
                <w:webHidden/>
              </w:rPr>
            </w:r>
            <w:r>
              <w:rPr>
                <w:webHidden/>
              </w:rPr>
              <w:fldChar w:fldCharType="separate"/>
            </w:r>
            <w:r w:rsidR="00903CB1">
              <w:rPr>
                <w:webHidden/>
              </w:rPr>
              <w:t>5</w:t>
            </w:r>
            <w:r>
              <w:rPr>
                <w:webHidden/>
              </w:rPr>
              <w:fldChar w:fldCharType="end"/>
            </w:r>
          </w:hyperlink>
        </w:p>
        <w:p w:rsidR="00903CB1" w:rsidRDefault="00781DF4">
          <w:pPr>
            <w:pStyle w:val="Obsah1"/>
            <w:rPr>
              <w:rFonts w:eastAsiaTheme="minorEastAsia"/>
              <w:lang w:eastAsia="cs-CZ"/>
            </w:rPr>
          </w:pPr>
          <w:hyperlink w:anchor="_Toc55384420" w:history="1">
            <w:r w:rsidR="00903CB1" w:rsidRPr="00A40416">
              <w:rPr>
                <w:rStyle w:val="Hypertextovodkaz"/>
              </w:rPr>
              <w:t>2.</w:t>
            </w:r>
            <w:r w:rsidR="00903CB1">
              <w:rPr>
                <w:rFonts w:eastAsiaTheme="minorEastAsia"/>
                <w:lang w:eastAsia="cs-CZ"/>
              </w:rPr>
              <w:tab/>
            </w:r>
            <w:r w:rsidR="00903CB1" w:rsidRPr="00A40416">
              <w:rPr>
                <w:rStyle w:val="Hypertextovodkaz"/>
              </w:rPr>
              <w:t>DEFINICE POJMŮ A ZDROJE DAT</w:t>
            </w:r>
            <w:r w:rsidR="00903CB1">
              <w:rPr>
                <w:webHidden/>
              </w:rPr>
              <w:tab/>
            </w:r>
            <w:r>
              <w:rPr>
                <w:webHidden/>
              </w:rPr>
              <w:fldChar w:fldCharType="begin"/>
            </w:r>
            <w:r w:rsidR="00903CB1">
              <w:rPr>
                <w:webHidden/>
              </w:rPr>
              <w:instrText xml:space="preserve"> PAGEREF _Toc55384420 \h </w:instrText>
            </w:r>
            <w:r>
              <w:rPr>
                <w:webHidden/>
              </w:rPr>
            </w:r>
            <w:r>
              <w:rPr>
                <w:webHidden/>
              </w:rPr>
              <w:fldChar w:fldCharType="separate"/>
            </w:r>
            <w:r w:rsidR="00903CB1">
              <w:rPr>
                <w:webHidden/>
              </w:rPr>
              <w:t>7</w:t>
            </w:r>
            <w:r>
              <w:rPr>
                <w:webHidden/>
              </w:rPr>
              <w:fldChar w:fldCharType="end"/>
            </w:r>
          </w:hyperlink>
        </w:p>
        <w:p w:rsidR="00903CB1" w:rsidRDefault="00781DF4">
          <w:pPr>
            <w:pStyle w:val="Obsah1"/>
            <w:rPr>
              <w:rFonts w:eastAsiaTheme="minorEastAsia"/>
              <w:lang w:eastAsia="cs-CZ"/>
            </w:rPr>
          </w:pPr>
          <w:hyperlink w:anchor="_Toc55384421" w:history="1">
            <w:r w:rsidR="00903CB1" w:rsidRPr="00A40416">
              <w:rPr>
                <w:rStyle w:val="Hypertextovodkaz"/>
              </w:rPr>
              <w:t>3.</w:t>
            </w:r>
            <w:r w:rsidR="00903CB1">
              <w:rPr>
                <w:rFonts w:eastAsiaTheme="minorEastAsia"/>
                <w:lang w:eastAsia="cs-CZ"/>
              </w:rPr>
              <w:tab/>
            </w:r>
            <w:r w:rsidR="00903CB1" w:rsidRPr="00A40416">
              <w:rPr>
                <w:rStyle w:val="Hypertextovodkaz"/>
              </w:rPr>
              <w:t>SPECIFIKA KULTURNÍCH PRŮMYSLŮ</w:t>
            </w:r>
            <w:r w:rsidR="00903CB1">
              <w:rPr>
                <w:webHidden/>
              </w:rPr>
              <w:tab/>
            </w:r>
            <w:r>
              <w:rPr>
                <w:webHidden/>
              </w:rPr>
              <w:fldChar w:fldCharType="begin"/>
            </w:r>
            <w:r w:rsidR="00903CB1">
              <w:rPr>
                <w:webHidden/>
              </w:rPr>
              <w:instrText xml:space="preserve"> PAGEREF _Toc55384421 \h </w:instrText>
            </w:r>
            <w:r>
              <w:rPr>
                <w:webHidden/>
              </w:rPr>
            </w:r>
            <w:r>
              <w:rPr>
                <w:webHidden/>
              </w:rPr>
              <w:fldChar w:fldCharType="separate"/>
            </w:r>
            <w:r w:rsidR="00903CB1">
              <w:rPr>
                <w:webHidden/>
              </w:rPr>
              <w:t>10</w:t>
            </w:r>
            <w:r>
              <w:rPr>
                <w:webHidden/>
              </w:rPr>
              <w:fldChar w:fldCharType="end"/>
            </w:r>
          </w:hyperlink>
        </w:p>
        <w:p w:rsidR="00903CB1" w:rsidRDefault="00781DF4">
          <w:pPr>
            <w:pStyle w:val="Obsah1"/>
            <w:rPr>
              <w:rFonts w:eastAsiaTheme="minorEastAsia"/>
              <w:lang w:eastAsia="cs-CZ"/>
            </w:rPr>
          </w:pPr>
          <w:hyperlink w:anchor="_Toc55384424" w:history="1">
            <w:r w:rsidR="00903CB1" w:rsidRPr="00A40416">
              <w:rPr>
                <w:rStyle w:val="Hypertextovodkaz"/>
              </w:rPr>
              <w:t>4.</w:t>
            </w:r>
            <w:r w:rsidR="00903CB1">
              <w:rPr>
                <w:rFonts w:eastAsiaTheme="minorEastAsia"/>
                <w:lang w:eastAsia="cs-CZ"/>
              </w:rPr>
              <w:tab/>
            </w:r>
            <w:r w:rsidR="00903CB1" w:rsidRPr="00A40416">
              <w:rPr>
                <w:rStyle w:val="Hypertextovodkaz"/>
              </w:rPr>
              <w:t>KNIHY A TISK</w:t>
            </w:r>
            <w:r w:rsidR="00903CB1">
              <w:rPr>
                <w:webHidden/>
              </w:rPr>
              <w:tab/>
            </w:r>
            <w:r>
              <w:rPr>
                <w:webHidden/>
              </w:rPr>
              <w:fldChar w:fldCharType="begin"/>
            </w:r>
            <w:r w:rsidR="00903CB1">
              <w:rPr>
                <w:webHidden/>
              </w:rPr>
              <w:instrText xml:space="preserve"> PAGEREF _Toc55384424 \h </w:instrText>
            </w:r>
            <w:r>
              <w:rPr>
                <w:webHidden/>
              </w:rPr>
            </w:r>
            <w:r>
              <w:rPr>
                <w:webHidden/>
              </w:rPr>
              <w:fldChar w:fldCharType="separate"/>
            </w:r>
            <w:r w:rsidR="00903CB1">
              <w:rPr>
                <w:webHidden/>
              </w:rPr>
              <w:t>16</w:t>
            </w:r>
            <w:r>
              <w:rPr>
                <w:webHidden/>
              </w:rPr>
              <w:fldChar w:fldCharType="end"/>
            </w:r>
          </w:hyperlink>
        </w:p>
        <w:p w:rsidR="00903CB1" w:rsidRDefault="00781DF4">
          <w:pPr>
            <w:pStyle w:val="Obsah1"/>
            <w:rPr>
              <w:rFonts w:eastAsiaTheme="minorEastAsia"/>
              <w:lang w:eastAsia="cs-CZ"/>
            </w:rPr>
          </w:pPr>
          <w:hyperlink w:anchor="_Toc55384431" w:history="1">
            <w:r w:rsidR="00903CB1" w:rsidRPr="00A40416">
              <w:rPr>
                <w:rStyle w:val="Hypertextovodkaz"/>
              </w:rPr>
              <w:t>5.</w:t>
            </w:r>
            <w:r w:rsidR="00903CB1">
              <w:rPr>
                <w:rFonts w:eastAsiaTheme="minorEastAsia"/>
                <w:lang w:eastAsia="cs-CZ"/>
              </w:rPr>
              <w:tab/>
            </w:r>
            <w:r w:rsidR="00903CB1" w:rsidRPr="00A40416">
              <w:rPr>
                <w:rStyle w:val="Hypertextovodkaz"/>
              </w:rPr>
              <w:t>FILM A HUDBA</w:t>
            </w:r>
            <w:r w:rsidR="00903CB1">
              <w:rPr>
                <w:webHidden/>
              </w:rPr>
              <w:tab/>
            </w:r>
            <w:r>
              <w:rPr>
                <w:webHidden/>
              </w:rPr>
              <w:fldChar w:fldCharType="begin"/>
            </w:r>
            <w:r w:rsidR="00903CB1">
              <w:rPr>
                <w:webHidden/>
              </w:rPr>
              <w:instrText xml:space="preserve"> PAGEREF _Toc55384431 \h </w:instrText>
            </w:r>
            <w:r>
              <w:rPr>
                <w:webHidden/>
              </w:rPr>
            </w:r>
            <w:r>
              <w:rPr>
                <w:webHidden/>
              </w:rPr>
              <w:fldChar w:fldCharType="separate"/>
            </w:r>
            <w:r w:rsidR="00903CB1">
              <w:rPr>
                <w:webHidden/>
              </w:rPr>
              <w:t>29</w:t>
            </w:r>
            <w:r>
              <w:rPr>
                <w:webHidden/>
              </w:rPr>
              <w:fldChar w:fldCharType="end"/>
            </w:r>
          </w:hyperlink>
        </w:p>
        <w:p w:rsidR="00903CB1" w:rsidRDefault="00781DF4">
          <w:pPr>
            <w:pStyle w:val="Obsah1"/>
            <w:rPr>
              <w:rFonts w:eastAsiaTheme="minorEastAsia"/>
              <w:lang w:eastAsia="cs-CZ"/>
            </w:rPr>
          </w:pPr>
          <w:hyperlink w:anchor="_Toc55384438" w:history="1">
            <w:r w:rsidR="00903CB1" w:rsidRPr="00A40416">
              <w:rPr>
                <w:rStyle w:val="Hypertextovodkaz"/>
              </w:rPr>
              <w:t>6.</w:t>
            </w:r>
            <w:r w:rsidR="00903CB1">
              <w:rPr>
                <w:rFonts w:eastAsiaTheme="minorEastAsia"/>
                <w:lang w:eastAsia="cs-CZ"/>
              </w:rPr>
              <w:tab/>
            </w:r>
            <w:r w:rsidR="00903CB1" w:rsidRPr="00A40416">
              <w:rPr>
                <w:rStyle w:val="Hypertextovodkaz"/>
              </w:rPr>
              <w:t>ROZHLAS A TELEVIZE</w:t>
            </w:r>
            <w:r w:rsidR="00903CB1">
              <w:rPr>
                <w:webHidden/>
              </w:rPr>
              <w:tab/>
            </w:r>
            <w:r>
              <w:rPr>
                <w:webHidden/>
              </w:rPr>
              <w:fldChar w:fldCharType="begin"/>
            </w:r>
            <w:r w:rsidR="00903CB1">
              <w:rPr>
                <w:webHidden/>
              </w:rPr>
              <w:instrText xml:space="preserve"> PAGEREF _Toc55384438 \h </w:instrText>
            </w:r>
            <w:r>
              <w:rPr>
                <w:webHidden/>
              </w:rPr>
            </w:r>
            <w:r>
              <w:rPr>
                <w:webHidden/>
              </w:rPr>
              <w:fldChar w:fldCharType="separate"/>
            </w:r>
            <w:r w:rsidR="00903CB1">
              <w:rPr>
                <w:webHidden/>
              </w:rPr>
              <w:t>42</w:t>
            </w:r>
            <w:r>
              <w:rPr>
                <w:webHidden/>
              </w:rPr>
              <w:fldChar w:fldCharType="end"/>
            </w:r>
          </w:hyperlink>
        </w:p>
        <w:p w:rsidR="00903CB1" w:rsidRDefault="00781DF4">
          <w:pPr>
            <w:pStyle w:val="Obsah1"/>
            <w:rPr>
              <w:rFonts w:eastAsiaTheme="minorEastAsia"/>
              <w:lang w:eastAsia="cs-CZ"/>
            </w:rPr>
          </w:pPr>
          <w:hyperlink w:anchor="_Toc55384445" w:history="1">
            <w:r w:rsidR="00903CB1" w:rsidRPr="00A40416">
              <w:rPr>
                <w:rStyle w:val="Hypertextovodkaz"/>
              </w:rPr>
              <w:t>7.</w:t>
            </w:r>
            <w:r w:rsidR="00903CB1">
              <w:rPr>
                <w:rFonts w:eastAsiaTheme="minorEastAsia"/>
                <w:lang w:eastAsia="cs-CZ"/>
              </w:rPr>
              <w:tab/>
            </w:r>
            <w:r w:rsidR="00903CB1" w:rsidRPr="00A40416">
              <w:rPr>
                <w:rStyle w:val="Hypertextovodkaz"/>
              </w:rPr>
              <w:t>VIDEOHRY</w:t>
            </w:r>
            <w:r w:rsidR="00903CB1">
              <w:rPr>
                <w:webHidden/>
              </w:rPr>
              <w:tab/>
            </w:r>
            <w:r>
              <w:rPr>
                <w:webHidden/>
              </w:rPr>
              <w:fldChar w:fldCharType="begin"/>
            </w:r>
            <w:r w:rsidR="00903CB1">
              <w:rPr>
                <w:webHidden/>
              </w:rPr>
              <w:instrText xml:space="preserve"> PAGEREF _Toc55384445 \h </w:instrText>
            </w:r>
            <w:r>
              <w:rPr>
                <w:webHidden/>
              </w:rPr>
            </w:r>
            <w:r>
              <w:rPr>
                <w:webHidden/>
              </w:rPr>
              <w:fldChar w:fldCharType="separate"/>
            </w:r>
            <w:r w:rsidR="00903CB1">
              <w:rPr>
                <w:webHidden/>
              </w:rPr>
              <w:t>55</w:t>
            </w:r>
            <w:r>
              <w:rPr>
                <w:webHidden/>
              </w:rPr>
              <w:fldChar w:fldCharType="end"/>
            </w:r>
          </w:hyperlink>
        </w:p>
        <w:p w:rsidR="00903CB1" w:rsidRDefault="00781DF4">
          <w:pPr>
            <w:pStyle w:val="Obsah1"/>
            <w:rPr>
              <w:rFonts w:eastAsiaTheme="minorEastAsia"/>
              <w:lang w:eastAsia="cs-CZ"/>
            </w:rPr>
          </w:pPr>
          <w:hyperlink w:anchor="_Toc55384448" w:history="1">
            <w:r w:rsidR="00903CB1" w:rsidRPr="00A40416">
              <w:rPr>
                <w:rStyle w:val="Hypertextovodkaz"/>
              </w:rPr>
              <w:t>ZÁVĚR</w:t>
            </w:r>
            <w:r w:rsidR="00903CB1">
              <w:rPr>
                <w:webHidden/>
              </w:rPr>
              <w:tab/>
            </w:r>
            <w:r>
              <w:rPr>
                <w:webHidden/>
              </w:rPr>
              <w:fldChar w:fldCharType="begin"/>
            </w:r>
            <w:r w:rsidR="00903CB1">
              <w:rPr>
                <w:webHidden/>
              </w:rPr>
              <w:instrText xml:space="preserve"> PAGEREF _Toc55384448 \h </w:instrText>
            </w:r>
            <w:r>
              <w:rPr>
                <w:webHidden/>
              </w:rPr>
            </w:r>
            <w:r>
              <w:rPr>
                <w:webHidden/>
              </w:rPr>
              <w:fldChar w:fldCharType="separate"/>
            </w:r>
            <w:r w:rsidR="00903CB1">
              <w:rPr>
                <w:webHidden/>
              </w:rPr>
              <w:t>59</w:t>
            </w:r>
            <w:r>
              <w:rPr>
                <w:webHidden/>
              </w:rPr>
              <w:fldChar w:fldCharType="end"/>
            </w:r>
          </w:hyperlink>
        </w:p>
        <w:p w:rsidR="00903CB1" w:rsidRDefault="00781DF4">
          <w:pPr>
            <w:pStyle w:val="Obsah1"/>
            <w:rPr>
              <w:rFonts w:eastAsiaTheme="minorEastAsia"/>
              <w:lang w:eastAsia="cs-CZ"/>
            </w:rPr>
          </w:pPr>
          <w:hyperlink w:anchor="_Toc55384449" w:history="1">
            <w:r w:rsidR="00903CB1" w:rsidRPr="00A40416">
              <w:rPr>
                <w:rStyle w:val="Hypertextovodkaz"/>
              </w:rPr>
              <w:t>ZDROJE</w:t>
            </w:r>
            <w:r w:rsidR="00903CB1">
              <w:rPr>
                <w:webHidden/>
              </w:rPr>
              <w:tab/>
            </w:r>
            <w:r>
              <w:rPr>
                <w:webHidden/>
              </w:rPr>
              <w:fldChar w:fldCharType="begin"/>
            </w:r>
            <w:r w:rsidR="00903CB1">
              <w:rPr>
                <w:webHidden/>
              </w:rPr>
              <w:instrText xml:space="preserve"> PAGEREF _Toc55384449 \h </w:instrText>
            </w:r>
            <w:r>
              <w:rPr>
                <w:webHidden/>
              </w:rPr>
            </w:r>
            <w:r>
              <w:rPr>
                <w:webHidden/>
              </w:rPr>
              <w:fldChar w:fldCharType="separate"/>
            </w:r>
            <w:r w:rsidR="00903CB1">
              <w:rPr>
                <w:webHidden/>
              </w:rPr>
              <w:t>60</w:t>
            </w:r>
            <w:r>
              <w:rPr>
                <w:webHidden/>
              </w:rPr>
              <w:fldChar w:fldCharType="end"/>
            </w:r>
          </w:hyperlink>
        </w:p>
        <w:p w:rsidR="00903CB1" w:rsidRDefault="00781DF4">
          <w:pPr>
            <w:pStyle w:val="Obsah1"/>
            <w:rPr>
              <w:rFonts w:eastAsiaTheme="minorEastAsia"/>
              <w:lang w:eastAsia="cs-CZ"/>
            </w:rPr>
          </w:pPr>
          <w:hyperlink w:anchor="_Toc55384450" w:history="1">
            <w:r w:rsidR="00903CB1" w:rsidRPr="00A40416">
              <w:rPr>
                <w:rStyle w:val="Hypertextovodkaz"/>
              </w:rPr>
              <w:t>PŘÍLOHY</w:t>
            </w:r>
            <w:r w:rsidR="00903CB1">
              <w:rPr>
                <w:webHidden/>
              </w:rPr>
              <w:tab/>
            </w:r>
            <w:r>
              <w:rPr>
                <w:webHidden/>
              </w:rPr>
              <w:fldChar w:fldCharType="begin"/>
            </w:r>
            <w:r w:rsidR="00903CB1">
              <w:rPr>
                <w:webHidden/>
              </w:rPr>
              <w:instrText xml:space="preserve"> PAGEREF _Toc55384450 \h </w:instrText>
            </w:r>
            <w:r>
              <w:rPr>
                <w:webHidden/>
              </w:rPr>
            </w:r>
            <w:r>
              <w:rPr>
                <w:webHidden/>
              </w:rPr>
              <w:fldChar w:fldCharType="separate"/>
            </w:r>
            <w:r w:rsidR="00903CB1">
              <w:rPr>
                <w:webHidden/>
              </w:rPr>
              <w:t>63</w:t>
            </w:r>
            <w:r>
              <w:rPr>
                <w:webHidden/>
              </w:rPr>
              <w:fldChar w:fldCharType="end"/>
            </w:r>
          </w:hyperlink>
        </w:p>
        <w:p w:rsidR="00B414F8" w:rsidRPr="00EB2612" w:rsidRDefault="00781DF4">
          <w:r w:rsidRPr="00EB2612">
            <w:fldChar w:fldCharType="end"/>
          </w:r>
        </w:p>
      </w:sdtContent>
    </w:sdt>
    <w:p w:rsidR="00BB64DB" w:rsidRPr="00EB2612" w:rsidRDefault="00BB64DB">
      <w:pPr>
        <w:spacing w:line="240" w:lineRule="auto"/>
      </w:pPr>
      <w:r w:rsidRPr="00EB2612">
        <w:br w:type="page"/>
      </w:r>
    </w:p>
    <w:p w:rsidR="00BB64DB" w:rsidRPr="00EB2612" w:rsidRDefault="00BB64DB" w:rsidP="00641938">
      <w:pPr>
        <w:pStyle w:val="Nadpis1"/>
      </w:pPr>
      <w:bookmarkStart w:id="4" w:name="_Toc430189788"/>
      <w:bookmarkStart w:id="5" w:name="_Toc55384418"/>
      <w:bookmarkStart w:id="6" w:name="_Toc430189789"/>
      <w:r w:rsidRPr="00EB2612">
        <w:lastRenderedPageBreak/>
        <w:t>ÚVOD</w:t>
      </w:r>
      <w:bookmarkEnd w:id="4"/>
      <w:bookmarkEnd w:id="5"/>
    </w:p>
    <w:p w:rsidR="00BB64DB" w:rsidRPr="00EB2612" w:rsidRDefault="00BB64DB" w:rsidP="00B414F8">
      <w:r w:rsidRPr="00EB2612">
        <w:t>Analytický text s názvem Kulturní průmysly v ČR volně navazuje na publikaci Kulturní zařízení v ČR, kterou</w:t>
      </w:r>
      <w:r w:rsidR="008B64EB" w:rsidRPr="00EB2612">
        <w:t> </w:t>
      </w:r>
      <w:r w:rsidRPr="00EB2612">
        <w:t xml:space="preserve">Český statistický úřad vydával </w:t>
      </w:r>
      <w:r w:rsidR="00D9593B" w:rsidRPr="00EB2612">
        <w:t>do roku 2014</w:t>
      </w:r>
      <w:r w:rsidRPr="00EB2612">
        <w:t xml:space="preserve"> a která se zaměřovala na tradiční kulturní oblasti formou prezentace převzatých dat. </w:t>
      </w:r>
      <w:r w:rsidR="00D9593B" w:rsidRPr="00EB2612">
        <w:t>Tato</w:t>
      </w:r>
      <w:r w:rsidRPr="00EB2612">
        <w:t xml:space="preserve"> publikace nese podtitul Audiovizuální a mediální sektor, jenž více konkretizuje oblast analýzy. Český statistický úřad sbírá každoročně data od poskytovatelů </w:t>
      </w:r>
      <w:r w:rsidR="006B73D0" w:rsidRPr="00EB2612">
        <w:t>audiovizuální</w:t>
      </w:r>
      <w:r w:rsidR="00A72085" w:rsidRPr="00EB2612">
        <w:t>ch</w:t>
      </w:r>
      <w:r w:rsidR="006B73D0" w:rsidRPr="00EB2612">
        <w:t xml:space="preserve"> služeb a rozhlasového vysílání</w:t>
      </w:r>
      <w:r w:rsidRPr="00EB2612">
        <w:t xml:space="preserve"> v rámci výkaz</w:t>
      </w:r>
      <w:r w:rsidR="006B73D0" w:rsidRPr="00EB2612">
        <w:t xml:space="preserve">u </w:t>
      </w:r>
      <w:hyperlink r:id="rId8" w:history="1">
        <w:r w:rsidR="006B73D0" w:rsidRPr="00EB2612">
          <w:rPr>
            <w:rStyle w:val="Hypertextovodkaz"/>
          </w:rPr>
          <w:t>Kult 6-01</w:t>
        </w:r>
      </w:hyperlink>
      <w:r w:rsidR="00690DCF" w:rsidRPr="00EB2612">
        <w:t xml:space="preserve"> (dříve Kult 7-01 a Kult 8-01)</w:t>
      </w:r>
      <w:r w:rsidR="006B73D0" w:rsidRPr="00EB2612">
        <w:t>, který byl</w:t>
      </w:r>
      <w:r w:rsidRPr="00EB2612">
        <w:t xml:space="preserve"> </w:t>
      </w:r>
      <w:r w:rsidR="006D0684" w:rsidRPr="00EB2612">
        <w:t>od</w:t>
      </w:r>
      <w:r w:rsidR="006B73D0" w:rsidRPr="00EB2612">
        <w:t xml:space="preserve"> referenční</w:t>
      </w:r>
      <w:r w:rsidR="006D0684" w:rsidRPr="00EB2612">
        <w:t>ho</w:t>
      </w:r>
      <w:r w:rsidR="006B73D0" w:rsidRPr="00EB2612">
        <w:t xml:space="preserve"> rok</w:t>
      </w:r>
      <w:r w:rsidR="006D0684" w:rsidRPr="00EB2612">
        <w:t>u</w:t>
      </w:r>
      <w:r w:rsidR="006B73D0" w:rsidRPr="00EB2612">
        <w:t xml:space="preserve"> 2017 rozšířen o poskytovatele online katalogů pořadů. </w:t>
      </w:r>
      <w:r w:rsidRPr="00EB2612">
        <w:t>Právě myšlenka využití dat</w:t>
      </w:r>
      <w:r w:rsidR="006B73D0" w:rsidRPr="00EB2612">
        <w:t xml:space="preserve"> výkazu Kult 6-01</w:t>
      </w:r>
      <w:r w:rsidRPr="00EB2612">
        <w:t xml:space="preserve"> a</w:t>
      </w:r>
      <w:r w:rsidR="00F95D6D" w:rsidRPr="00EB2612">
        <w:t> </w:t>
      </w:r>
      <w:r w:rsidRPr="00EB2612">
        <w:t>jejich propojení s</w:t>
      </w:r>
      <w:r w:rsidR="006103FD" w:rsidRPr="00EB2612">
        <w:t> </w:t>
      </w:r>
      <w:r w:rsidRPr="00EB2612">
        <w:t>výstupy</w:t>
      </w:r>
      <w:r w:rsidR="006103FD" w:rsidRPr="00EB2612">
        <w:t> z </w:t>
      </w:r>
      <w:r w:rsidRPr="00EB2612">
        <w:t xml:space="preserve">relevantních šetření ČSÚ </w:t>
      </w:r>
      <w:r w:rsidR="00FC1FBC" w:rsidRPr="00EB2612">
        <w:t xml:space="preserve">a dalších zdrojů </w:t>
      </w:r>
      <w:r w:rsidRPr="00EB2612">
        <w:t>vedla ke vzniku této publikace. Ta</w:t>
      </w:r>
      <w:r w:rsidR="00F95D6D" w:rsidRPr="00EB2612">
        <w:t> </w:t>
      </w:r>
      <w:r w:rsidRPr="00EB2612">
        <w:t>vedle rozhlasového a televizního vysílání sleduje také oblast filmu, hudby, videoher, knih a</w:t>
      </w:r>
      <w:r w:rsidR="00362010">
        <w:t> </w:t>
      </w:r>
      <w:r w:rsidRPr="00EB2612">
        <w:t>tisku, tedy</w:t>
      </w:r>
      <w:r w:rsidR="008B64EB" w:rsidRPr="00EB2612">
        <w:t> </w:t>
      </w:r>
      <w:r w:rsidRPr="00EB2612">
        <w:t>oblasti spadající do tzv. kulturního průmyslu</w:t>
      </w:r>
      <w:r w:rsidR="00B82B44" w:rsidRPr="00EB2612">
        <w:t xml:space="preserve"> (jinak také audiovizuálního a mediálního sektoru)</w:t>
      </w:r>
      <w:r w:rsidRPr="00EB2612">
        <w:t>, definovaného dle zavedeného trojsektorového vymezení oblasti kultury.</w:t>
      </w:r>
    </w:p>
    <w:p w:rsidR="00BB64DB" w:rsidRPr="00EB2612" w:rsidRDefault="00BB64DB" w:rsidP="00B414F8">
      <w:pPr>
        <w:ind w:firstLine="284"/>
      </w:pPr>
      <w:r w:rsidRPr="00EB2612">
        <w:tab/>
        <w:t>Publikace přináší základní přehled ekonomických ukazatelů a návyků spotř</w:t>
      </w:r>
      <w:r w:rsidR="00B00577" w:rsidRPr="00EB2612">
        <w:t>ebitelů pro jednotlivé oblasti a</w:t>
      </w:r>
      <w:r w:rsidRPr="00EB2612">
        <w:t>udiovizuálního a mediálního sektoru. Vedle dat ČSÚ jsou v rámci analýzy použity údaje z výstupů profesních organizací. Ucelený souhrn dat ČSÚ, analýz profesních organizací a závěrů z vybraných soukromých studií tak může čtenáři posloužit jako zá</w:t>
      </w:r>
      <w:r w:rsidR="006103FD" w:rsidRPr="00EB2612">
        <w:t>kladní úvod do problematiky a na</w:t>
      </w:r>
      <w:r w:rsidRPr="00EB2612">
        <w:t xml:space="preserve">směrovat ho k dalším relevantním zdrojům. Velký důraz je v této publikaci kladen na </w:t>
      </w:r>
      <w:r w:rsidR="006103FD" w:rsidRPr="00EB2612">
        <w:t>zachycení</w:t>
      </w:r>
      <w:r w:rsidRPr="00EB2612">
        <w:t xml:space="preserve"> trendů souvisejících s rozvojem technologií. Působení digitalizace a měnící se návyky spotřebitelů často determinují ekono</w:t>
      </w:r>
      <w:r w:rsidR="00B00577" w:rsidRPr="00EB2612">
        <w:t>mické výkony podniků v oblasti a</w:t>
      </w:r>
      <w:r w:rsidRPr="00EB2612">
        <w:t>udiovizuálního a mediálního sektoru, je</w:t>
      </w:r>
      <w:r w:rsidR="00690DCF" w:rsidRPr="00EB2612">
        <w:t>n</w:t>
      </w:r>
      <w:r w:rsidRPr="00EB2612">
        <w:t>ž se snaží na tyto změny pružně reagovat.</w:t>
      </w:r>
    </w:p>
    <w:p w:rsidR="00BB64DB" w:rsidRPr="00EB2612" w:rsidRDefault="00FC1FBC" w:rsidP="00B414F8">
      <w:r w:rsidRPr="00EB2612">
        <w:tab/>
        <w:t>Text je členěn</w:t>
      </w:r>
      <w:r w:rsidR="003F71DC" w:rsidRPr="00EB2612">
        <w:t xml:space="preserve"> do sedmi</w:t>
      </w:r>
      <w:r w:rsidR="00BB64DB" w:rsidRPr="00EB2612">
        <w:t xml:space="preserve"> kapitol. První</w:t>
      </w:r>
      <w:r w:rsidR="003F71DC" w:rsidRPr="00EB2612">
        <w:t xml:space="preserve"> tři kapitoly</w:t>
      </w:r>
      <w:r w:rsidR="00BB64DB" w:rsidRPr="00EB2612">
        <w:t xml:space="preserve"> </w:t>
      </w:r>
      <w:r w:rsidR="003F71DC" w:rsidRPr="00EB2612">
        <w:t xml:space="preserve">vymezují oblast zkoumání, </w:t>
      </w:r>
      <w:r w:rsidR="00120628" w:rsidRPr="00EB2612">
        <w:t>použité zdroje a</w:t>
      </w:r>
      <w:r w:rsidR="00F95D6D" w:rsidRPr="00EB2612">
        <w:t> </w:t>
      </w:r>
      <w:r w:rsidR="003F71DC" w:rsidRPr="00EB2612">
        <w:t>charakteristiku</w:t>
      </w:r>
      <w:r w:rsidR="00120628" w:rsidRPr="00EB2612">
        <w:t xml:space="preserve"> kulturních průmyslů</w:t>
      </w:r>
      <w:r w:rsidR="00BB64DB" w:rsidRPr="00EB2612">
        <w:t>. Zbylé čtyři kapitoly se věnují jednotlivým oblastem</w:t>
      </w:r>
      <w:r w:rsidR="00B82B44" w:rsidRPr="00EB2612">
        <w:t xml:space="preserve"> kulturních průmyslů</w:t>
      </w:r>
      <w:r w:rsidR="00BB64DB" w:rsidRPr="00EB2612">
        <w:t>, přičemž oblasti hudby</w:t>
      </w:r>
      <w:r w:rsidR="006103FD" w:rsidRPr="00EB2612">
        <w:t> </w:t>
      </w:r>
      <w:r w:rsidR="00BB64DB" w:rsidRPr="00EB2612">
        <w:t>a</w:t>
      </w:r>
      <w:r w:rsidR="006103FD" w:rsidRPr="00EB2612">
        <w:t> </w:t>
      </w:r>
      <w:r w:rsidR="00BB64DB" w:rsidRPr="00EB2612">
        <w:t>filmu</w:t>
      </w:r>
      <w:r w:rsidR="006103FD" w:rsidRPr="00EB2612">
        <w:t> </w:t>
      </w:r>
      <w:r w:rsidR="00BB64DB" w:rsidRPr="00EB2612">
        <w:t>a</w:t>
      </w:r>
      <w:r w:rsidR="006103FD" w:rsidRPr="00EB2612">
        <w:t> </w:t>
      </w:r>
      <w:r w:rsidR="00BB64DB" w:rsidRPr="00EB2612">
        <w:t>oblast</w:t>
      </w:r>
      <w:r w:rsidR="00B00577" w:rsidRPr="00EB2612">
        <w:t>i</w:t>
      </w:r>
      <w:r w:rsidR="00BB64DB" w:rsidRPr="00EB2612">
        <w:t xml:space="preserve"> rozhlasu a televize jsou analyzovány ve společných kapitolách vzhledem k jejich podobné povaze. </w:t>
      </w:r>
      <w:r w:rsidR="003C03EB" w:rsidRPr="00EB2612">
        <w:t>Jednotlivé kapitoly mají</w:t>
      </w:r>
      <w:r w:rsidR="00BB64DB" w:rsidRPr="00EB2612">
        <w:t xml:space="preserve"> shodnou strukturu a po úvodním vymezení následují podkapitoly věnované ekonomickým ukazatelům a návykům spotřebitelů v dané oblasti. Nutno</w:t>
      </w:r>
      <w:r w:rsidR="00F95D6D" w:rsidRPr="00EB2612">
        <w:t> </w:t>
      </w:r>
      <w:r w:rsidR="00BB64DB" w:rsidRPr="00EB2612">
        <w:t>podotknout,</w:t>
      </w:r>
      <w:r w:rsidR="006103FD" w:rsidRPr="00EB2612">
        <w:t> </w:t>
      </w:r>
      <w:r w:rsidR="00BB64DB" w:rsidRPr="00EB2612">
        <w:t>že</w:t>
      </w:r>
      <w:r w:rsidR="006103FD" w:rsidRPr="00EB2612">
        <w:t> </w:t>
      </w:r>
      <w:r w:rsidR="00BB64DB" w:rsidRPr="00EB2612">
        <w:t xml:space="preserve">prezentované údaje v každé kapitole je třeba interpretovat s vědomím určitých </w:t>
      </w:r>
      <w:r w:rsidR="003C03EB" w:rsidRPr="00EB2612">
        <w:t>omezení</w:t>
      </w:r>
      <w:r w:rsidR="00BB64DB" w:rsidRPr="00EB2612">
        <w:t xml:space="preserve"> spoj</w:t>
      </w:r>
      <w:r w:rsidR="003F71DC" w:rsidRPr="00EB2612">
        <w:t xml:space="preserve">ených </w:t>
      </w:r>
      <w:r w:rsidR="003F29B7" w:rsidRPr="00EB2612">
        <w:t xml:space="preserve">zejména </w:t>
      </w:r>
      <w:r w:rsidR="00120628" w:rsidRPr="00EB2612">
        <w:t>s</w:t>
      </w:r>
      <w:r w:rsidR="00B82B44" w:rsidRPr="00EB2612">
        <w:t> využitím obecně zaměřených zdrojů dat pro úzce</w:t>
      </w:r>
      <w:r w:rsidR="003F29B7" w:rsidRPr="00EB2612">
        <w:t xml:space="preserve"> vymezen</w:t>
      </w:r>
      <w:r w:rsidR="00B82B44" w:rsidRPr="00EB2612">
        <w:t>ou oblast</w:t>
      </w:r>
      <w:r w:rsidR="00120628" w:rsidRPr="00EB2612">
        <w:t xml:space="preserve"> kulturních průmyslů</w:t>
      </w:r>
      <w:r w:rsidR="003F29B7" w:rsidRPr="00EB2612">
        <w:t xml:space="preserve">. </w:t>
      </w:r>
      <w:r w:rsidR="00BB64DB" w:rsidRPr="00EB2612">
        <w:t>T</w:t>
      </w:r>
      <w:r w:rsidR="003C03EB" w:rsidRPr="00EB2612">
        <w:t>ato</w:t>
      </w:r>
      <w:r w:rsidR="00BB64DB" w:rsidRPr="00EB2612">
        <w:t xml:space="preserve"> </w:t>
      </w:r>
      <w:r w:rsidR="003C03EB" w:rsidRPr="00EB2612">
        <w:t>omezení</w:t>
      </w:r>
      <w:r w:rsidR="00BB64DB" w:rsidRPr="00EB2612">
        <w:t xml:space="preserve"> jsou </w:t>
      </w:r>
      <w:r w:rsidR="003F71DC" w:rsidRPr="00EB2612">
        <w:t xml:space="preserve">podrobněji rozebrána v kapitole o zdrojích dat a dále </w:t>
      </w:r>
      <w:r w:rsidR="00BB64DB" w:rsidRPr="00EB2612">
        <w:t>v</w:t>
      </w:r>
      <w:r w:rsidR="00260C15" w:rsidRPr="00EB2612">
        <w:t> </w:t>
      </w:r>
      <w:r w:rsidR="00BB64DB" w:rsidRPr="00EB2612">
        <w:t>textu</w:t>
      </w:r>
      <w:r w:rsidR="00260C15" w:rsidRPr="00EB2612">
        <w:t xml:space="preserve"> </w:t>
      </w:r>
      <w:r w:rsidR="00690DCF" w:rsidRPr="00EB2612">
        <w:t>v příslušných kapitolách věnujících se jednotlivým oblastem</w:t>
      </w:r>
      <w:r w:rsidR="00BB64DB" w:rsidRPr="00EB2612">
        <w:t>.</w:t>
      </w:r>
    </w:p>
    <w:p w:rsidR="00BB64DB" w:rsidRPr="00EB2612" w:rsidRDefault="00BB64DB" w:rsidP="00BB64DB">
      <w:r w:rsidRPr="00EB2612">
        <w:br w:type="page"/>
      </w:r>
    </w:p>
    <w:p w:rsidR="00BB64DB" w:rsidRPr="00EB2612" w:rsidRDefault="00086610" w:rsidP="00694914">
      <w:pPr>
        <w:pStyle w:val="Nadpis1"/>
        <w:numPr>
          <w:ilvl w:val="0"/>
          <w:numId w:val="17"/>
        </w:numPr>
      </w:pPr>
      <w:bookmarkStart w:id="7" w:name="_Toc55384419"/>
      <w:bookmarkEnd w:id="6"/>
      <w:r w:rsidRPr="00EB2612">
        <w:lastRenderedPageBreak/>
        <w:t>VYMEZENÍ KULTURNÍCH PRŮMYSLŮ</w:t>
      </w:r>
      <w:bookmarkEnd w:id="7"/>
    </w:p>
    <w:p w:rsidR="00E313C9" w:rsidRPr="00EB2612" w:rsidRDefault="00E313C9" w:rsidP="00103D6C">
      <w:r w:rsidRPr="00EB2612">
        <w:t xml:space="preserve">V této publikaci </w:t>
      </w:r>
      <w:r w:rsidR="00690DCF" w:rsidRPr="00EB2612">
        <w:t xml:space="preserve">je </w:t>
      </w:r>
      <w:r w:rsidR="00E96DF9" w:rsidRPr="00EB2612">
        <w:t>použito</w:t>
      </w:r>
      <w:r w:rsidRPr="00EB2612">
        <w:t xml:space="preserve"> </w:t>
      </w:r>
      <w:r w:rsidR="00E96DF9" w:rsidRPr="00EB2612">
        <w:t>mnoho</w:t>
      </w:r>
      <w:r w:rsidRPr="00EB2612">
        <w:t xml:space="preserve"> termínů, které mohou </w:t>
      </w:r>
      <w:r w:rsidR="008004E0" w:rsidRPr="00EB2612">
        <w:t>nezasvěcenému</w:t>
      </w:r>
      <w:r w:rsidRPr="00EB2612">
        <w:t xml:space="preserve"> čtenáři splývat či připadat podobné. Proto je potřeba použitou terminologii jasně definovat. </w:t>
      </w:r>
      <w:r w:rsidR="00103D6C" w:rsidRPr="00EB2612">
        <w:t xml:space="preserve">Předmětem analýzy jsou </w:t>
      </w:r>
      <w:r w:rsidR="00103D6C" w:rsidRPr="00EB2612">
        <w:rPr>
          <w:b/>
        </w:rPr>
        <w:t>kulturní průmysly</w:t>
      </w:r>
      <w:r w:rsidR="00103D6C" w:rsidRPr="00EB2612">
        <w:t xml:space="preserve">, tedy </w:t>
      </w:r>
      <w:r w:rsidR="00B63403" w:rsidRPr="00EB2612">
        <w:t xml:space="preserve">šest následujících oblastí – </w:t>
      </w:r>
      <w:r w:rsidR="00B63403" w:rsidRPr="00EB2612">
        <w:rPr>
          <w:b/>
        </w:rPr>
        <w:t>film a video, knihy a tisk, televize, rozhlas, hudba</w:t>
      </w:r>
      <w:r w:rsidR="00260C15" w:rsidRPr="00EB2612">
        <w:rPr>
          <w:b/>
        </w:rPr>
        <w:t xml:space="preserve">, </w:t>
      </w:r>
      <w:r w:rsidR="00B63403" w:rsidRPr="00EB2612">
        <w:rPr>
          <w:b/>
        </w:rPr>
        <w:t>videohry</w:t>
      </w:r>
      <w:r w:rsidR="00B63403" w:rsidRPr="00EB2612">
        <w:t xml:space="preserve">. </w:t>
      </w:r>
      <w:r w:rsidR="003F29B7" w:rsidRPr="00EB2612">
        <w:t xml:space="preserve">Těchto šest oblastí bude v textu souhrnně označováno také pojmem </w:t>
      </w:r>
      <w:r w:rsidR="003F29B7" w:rsidRPr="00EB2612">
        <w:rPr>
          <w:b/>
        </w:rPr>
        <w:t>audiovizuální a mediální sektor</w:t>
      </w:r>
      <w:r w:rsidR="003F29B7" w:rsidRPr="00EB2612">
        <w:t xml:space="preserve">. </w:t>
      </w:r>
      <w:r w:rsidR="00681EDB" w:rsidRPr="00EB2612">
        <w:t xml:space="preserve">Kulturní průmysly jsou </w:t>
      </w:r>
      <w:r w:rsidR="004333B9" w:rsidRPr="00EB2612">
        <w:t xml:space="preserve">však </w:t>
      </w:r>
      <w:r w:rsidR="00681EDB" w:rsidRPr="00EB2612">
        <w:t xml:space="preserve">pouze jednou částí celkové </w:t>
      </w:r>
      <w:r w:rsidR="008F58EE" w:rsidRPr="00EB2612">
        <w:t xml:space="preserve">definice kultury </w:t>
      </w:r>
      <w:r w:rsidRPr="00EB2612">
        <w:t xml:space="preserve">(používané </w:t>
      </w:r>
      <w:r w:rsidR="008F58EE" w:rsidRPr="00EB2612">
        <w:t>pro účely ekonomické analýzy</w:t>
      </w:r>
      <w:r w:rsidRPr="00EB2612">
        <w:t>)</w:t>
      </w:r>
      <w:r w:rsidR="00986F4F" w:rsidRPr="00EB2612">
        <w:t xml:space="preserve"> a</w:t>
      </w:r>
      <w:r w:rsidRPr="00EB2612">
        <w:t xml:space="preserve"> je </w:t>
      </w:r>
      <w:r w:rsidR="00986F4F" w:rsidRPr="00EB2612">
        <w:t>nutné</w:t>
      </w:r>
      <w:r w:rsidRPr="00EB2612">
        <w:t xml:space="preserve"> tuto definici nejdříve objasnit, aby bylo postavení kulturních průmyslů v rámci celkové oblasti kultury zřejmé</w:t>
      </w:r>
      <w:r w:rsidR="00681EDB" w:rsidRPr="00EB2612">
        <w:t>.</w:t>
      </w:r>
    </w:p>
    <w:p w:rsidR="00141131" w:rsidRPr="00EB2612" w:rsidRDefault="004333B9" w:rsidP="00103D6C">
      <w:r w:rsidRPr="00EB2612">
        <w:tab/>
      </w:r>
      <w:r w:rsidR="00681EDB" w:rsidRPr="00EB2612">
        <w:t xml:space="preserve">Vymezení </w:t>
      </w:r>
      <w:r w:rsidR="008004E0" w:rsidRPr="00EB2612">
        <w:t xml:space="preserve">celkové </w:t>
      </w:r>
      <w:r w:rsidR="00681EDB" w:rsidRPr="00EB2612">
        <w:t>oblasti</w:t>
      </w:r>
      <w:r w:rsidR="00E313C9" w:rsidRPr="00EB2612">
        <w:t xml:space="preserve"> kultury, které je použito pro tento text</w:t>
      </w:r>
      <w:r w:rsidR="00986F4F" w:rsidRPr="00EB2612">
        <w:t>,</w:t>
      </w:r>
      <w:r w:rsidR="008F58EE" w:rsidRPr="00EB2612">
        <w:t xml:space="preserve"> pochází</w:t>
      </w:r>
      <w:r w:rsidR="00BB64DB" w:rsidRPr="00EB2612">
        <w:t xml:space="preserve"> z trojsektorového </w:t>
      </w:r>
      <w:r w:rsidR="00141131" w:rsidRPr="00EB2612">
        <w:t>pojetí</w:t>
      </w:r>
      <w:r w:rsidR="00986F4F" w:rsidRPr="00EB2612">
        <w:t xml:space="preserve"> kultury.</w:t>
      </w:r>
      <w:r w:rsidR="00BB64DB" w:rsidRPr="00EB2612">
        <w:t xml:space="preserve"> </w:t>
      </w:r>
      <w:r w:rsidR="00141131" w:rsidRPr="00EB2612">
        <w:t xml:space="preserve">Konkrétní trojsektorové schéma </w:t>
      </w:r>
      <w:r w:rsidR="00986F4F" w:rsidRPr="00EB2612">
        <w:t xml:space="preserve">je </w:t>
      </w:r>
      <w:r w:rsidR="00141131" w:rsidRPr="00EB2612">
        <w:t xml:space="preserve">pak převzaté zejména z dokumentu </w:t>
      </w:r>
      <w:hyperlink r:id="rId9" w:history="1">
        <w:r w:rsidR="00141131" w:rsidRPr="00EB2612">
          <w:rPr>
            <w:rStyle w:val="Hypertextovodkaz"/>
          </w:rPr>
          <w:t>Ekonomika kultury</w:t>
        </w:r>
        <w:r w:rsidR="008004E0" w:rsidRPr="00EB2612">
          <w:rPr>
            <w:rStyle w:val="Hypertextovodkaz"/>
          </w:rPr>
          <w:t xml:space="preserve"> v Evropě</w:t>
        </w:r>
      </w:hyperlink>
      <w:r w:rsidR="00141131" w:rsidRPr="00EB2612">
        <w:t xml:space="preserve"> z roku 2006, který pro </w:t>
      </w:r>
      <w:r w:rsidRPr="00EB2612">
        <w:t>E</w:t>
      </w:r>
      <w:r w:rsidR="00141131" w:rsidRPr="00EB2612">
        <w:t>vropskou komisi vypracovala společnost KEA.</w:t>
      </w:r>
      <w:r w:rsidR="00986F4F" w:rsidRPr="00EB2612">
        <w:t xml:space="preserve"> </w:t>
      </w:r>
      <w:r w:rsidR="00141131" w:rsidRPr="00EB2612">
        <w:t>Oblast kultury je zde</w:t>
      </w:r>
      <w:r w:rsidR="00BB64DB" w:rsidRPr="00EB2612">
        <w:t xml:space="preserve"> </w:t>
      </w:r>
      <w:r w:rsidR="00141131" w:rsidRPr="00EB2612">
        <w:t>dělená</w:t>
      </w:r>
      <w:r w:rsidR="00BB64DB" w:rsidRPr="00EB2612">
        <w:t xml:space="preserve"> </w:t>
      </w:r>
      <w:r w:rsidR="00141131" w:rsidRPr="00EB2612">
        <w:t xml:space="preserve">na </w:t>
      </w:r>
      <w:r w:rsidR="00BB64DB" w:rsidRPr="00EB2612">
        <w:t>tradiční (neprůmyslová) odvětví, u kterých produkty a služby nelze reprodukovat a jsou konzumovány obvykle na místě (např. výtvarné umění, divadlo, tanec, kulturní dědictví) a průmyslová odvětví, u kterých je kulturní zboží určeno k reprodukci a hromadnému užití (např. kniha, film, reprodukovaná hudba). Průmyslová a</w:t>
      </w:r>
      <w:r w:rsidR="00260C15" w:rsidRPr="00EB2612">
        <w:t> </w:t>
      </w:r>
      <w:r w:rsidR="00BB64DB" w:rsidRPr="00EB2612">
        <w:t xml:space="preserve">neprůmyslová odvětví jsou </w:t>
      </w:r>
      <w:r w:rsidR="00141131" w:rsidRPr="00EB2612">
        <w:t>pak</w:t>
      </w:r>
      <w:r w:rsidR="00BB64DB" w:rsidRPr="00EB2612">
        <w:t xml:space="preserve"> doplněna</w:t>
      </w:r>
      <w:r w:rsidR="00282CCA" w:rsidRPr="00EB2612">
        <w:t> </w:t>
      </w:r>
      <w:r w:rsidR="00BB64DB" w:rsidRPr="00EB2612">
        <w:t>o</w:t>
      </w:r>
      <w:r w:rsidR="00282CCA" w:rsidRPr="00EB2612">
        <w:t> </w:t>
      </w:r>
      <w:r w:rsidR="00BB64DB" w:rsidRPr="00EB2612">
        <w:t>třetí odvětví – tvůrčí (kreativní) průmysly. V rámci těchto kreativních průmyslů, kam patří např. módní návrhářství či reklama, jsou kulturní prostředky a</w:t>
      </w:r>
      <w:r w:rsidR="00F95D6D" w:rsidRPr="00EB2612">
        <w:t> </w:t>
      </w:r>
      <w:r w:rsidR="00BB64DB" w:rsidRPr="00EB2612">
        <w:t xml:space="preserve">myšlenky použity také pro výstupy </w:t>
      </w:r>
      <w:r w:rsidR="001A7DF6" w:rsidRPr="00EB2612">
        <w:t>„</w:t>
      </w:r>
      <w:r w:rsidR="00BB64DB" w:rsidRPr="00EB2612">
        <w:t>ne-kulturních</w:t>
      </w:r>
      <w:r w:rsidR="001A7DF6" w:rsidRPr="00EB2612">
        <w:t>“</w:t>
      </w:r>
      <w:r w:rsidR="00BB64DB" w:rsidRPr="00EB2612">
        <w:t xml:space="preserve"> odvětví</w:t>
      </w:r>
      <w:r w:rsidR="00B414F8" w:rsidRPr="00EB2612">
        <w:t xml:space="preserve"> (KEA, 2006)</w:t>
      </w:r>
      <w:r w:rsidR="008004E0" w:rsidRPr="00EB2612">
        <w:t>.</w:t>
      </w:r>
    </w:p>
    <w:p w:rsidR="004333B9" w:rsidRPr="00EB2612" w:rsidRDefault="004333B9" w:rsidP="004333B9">
      <w:r w:rsidRPr="00EB2612">
        <w:tab/>
      </w:r>
      <w:r w:rsidR="00FC7ECC" w:rsidRPr="00EB2612">
        <w:t xml:space="preserve">Pro výše zmíněná </w:t>
      </w:r>
      <w:r w:rsidR="00141131" w:rsidRPr="00EB2612">
        <w:t xml:space="preserve">tři odvětví (sektory) </w:t>
      </w:r>
      <w:r w:rsidR="00BB64DB" w:rsidRPr="00EB2612">
        <w:t>bud</w:t>
      </w:r>
      <w:r w:rsidR="00237048" w:rsidRPr="00EB2612">
        <w:t>ou po</w:t>
      </w:r>
      <w:r w:rsidR="008D5856" w:rsidRPr="00EB2612">
        <w:t>u</w:t>
      </w:r>
      <w:r w:rsidR="00237048" w:rsidRPr="00EB2612">
        <w:t>žívány</w:t>
      </w:r>
      <w:r w:rsidR="00141131" w:rsidRPr="00EB2612">
        <w:t xml:space="preserve"> termíny </w:t>
      </w:r>
      <w:r w:rsidR="00BB64DB" w:rsidRPr="00EB2612">
        <w:rPr>
          <w:b/>
        </w:rPr>
        <w:t xml:space="preserve">tradiční odvětví </w:t>
      </w:r>
      <w:r w:rsidR="00BB64DB" w:rsidRPr="00EB2612">
        <w:t xml:space="preserve">(kulturní sektor), </w:t>
      </w:r>
      <w:r w:rsidR="00BB64DB" w:rsidRPr="00EB2612">
        <w:rPr>
          <w:b/>
        </w:rPr>
        <w:t xml:space="preserve">kulturní průmysly </w:t>
      </w:r>
      <w:r w:rsidRPr="00EB2612">
        <w:t xml:space="preserve">(audiovizuální a mediální sektor) </w:t>
      </w:r>
      <w:r w:rsidR="00BB64DB" w:rsidRPr="00EB2612">
        <w:t xml:space="preserve">a </w:t>
      </w:r>
      <w:r w:rsidR="00BB64DB" w:rsidRPr="00EB2612">
        <w:rPr>
          <w:b/>
        </w:rPr>
        <w:t>kreativní průmysly</w:t>
      </w:r>
      <w:r w:rsidR="00BB64DB" w:rsidRPr="00EB2612">
        <w:t xml:space="preserve"> (tvůrčí sektor, produkující také </w:t>
      </w:r>
      <w:r w:rsidR="001A7DF6" w:rsidRPr="00EB2612">
        <w:t>„</w:t>
      </w:r>
      <w:r w:rsidR="00BB64DB" w:rsidRPr="00EB2612">
        <w:t>ne-kulturní</w:t>
      </w:r>
      <w:r w:rsidR="001A7DF6" w:rsidRPr="00EB2612">
        <w:t>“</w:t>
      </w:r>
      <w:r w:rsidR="00BB64DB" w:rsidRPr="00EB2612">
        <w:t xml:space="preserve"> zboží za pomoci kulturních vstupů). </w:t>
      </w:r>
      <w:r w:rsidR="00FC7ECC" w:rsidRPr="00EB2612">
        <w:t xml:space="preserve">Tato odvětví mohou být </w:t>
      </w:r>
      <w:r w:rsidRPr="00EB2612">
        <w:t>v některých výstupech (např.</w:t>
      </w:r>
      <w:r w:rsidR="008B64EB" w:rsidRPr="00EB2612">
        <w:t> </w:t>
      </w:r>
      <w:r w:rsidRPr="00EB2612">
        <w:t xml:space="preserve">Satelitní </w:t>
      </w:r>
      <w:r w:rsidR="008004E0" w:rsidRPr="00EB2612">
        <w:t>účet kultury) doplněna</w:t>
      </w:r>
      <w:r w:rsidRPr="00EB2612">
        <w:t xml:space="preserve"> také o tzv. správní oblast zahrnující </w:t>
      </w:r>
      <w:r w:rsidR="00BB64DB" w:rsidRPr="00EB2612">
        <w:t xml:space="preserve">správní organizace </w:t>
      </w:r>
      <w:r w:rsidRPr="00EB2612">
        <w:t>a instituce podporující kulturní činnost</w:t>
      </w:r>
      <w:r w:rsidR="003F29B7" w:rsidRPr="00EB2612">
        <w:t xml:space="preserve"> (např. Ministerstvo kultury či Ochrann</w:t>
      </w:r>
      <w:r w:rsidR="006511DD" w:rsidRPr="00EB2612">
        <w:t>ý svaz autorský</w:t>
      </w:r>
      <w:r w:rsidR="003F29B7" w:rsidRPr="00EB2612">
        <w:t>)</w:t>
      </w:r>
      <w:r w:rsidRPr="00EB2612">
        <w:t>.</w:t>
      </w:r>
      <w:r w:rsidR="008004E0" w:rsidRPr="00EB2612">
        <w:t xml:space="preserve"> Pojmy sektor, odvětví a průmysly v plurálu jsou v textu použity jako synonyma</w:t>
      </w:r>
      <w:r w:rsidR="003F29B7" w:rsidRPr="00EB2612">
        <w:t>.</w:t>
      </w:r>
    </w:p>
    <w:p w:rsidR="00BB64DB" w:rsidRPr="00EB2612" w:rsidRDefault="004333B9" w:rsidP="004333B9">
      <w:r w:rsidRPr="00EB2612">
        <w:tab/>
      </w:r>
      <w:r w:rsidR="00BB64DB" w:rsidRPr="00EB2612">
        <w:t xml:space="preserve">Konkrétní statistické vymezení </w:t>
      </w:r>
      <w:r w:rsidR="000443B0" w:rsidRPr="00EB2612">
        <w:t>oblasti kultury</w:t>
      </w:r>
      <w:r w:rsidR="00BB64DB" w:rsidRPr="00EB2612">
        <w:t xml:space="preserve"> je postavené na závěrech pracovní skupiny ESSnet-Culture</w:t>
      </w:r>
      <w:r w:rsidR="00BB64DB" w:rsidRPr="00EB2612">
        <w:rPr>
          <w:rStyle w:val="Znakapoznpodarou"/>
        </w:rPr>
        <w:footnoteReference w:id="1"/>
      </w:r>
      <w:r w:rsidR="00BB64DB" w:rsidRPr="00EB2612">
        <w:t xml:space="preserve">, která vznikla za podpory Evropské komise a Eurostatu za účelem sjednocení evropské metodiky v oblasti statistik kultury a jejíž závěry jsou publikované v </w:t>
      </w:r>
      <w:hyperlink r:id="rId10" w:history="1">
        <w:r w:rsidR="00B414F8" w:rsidRPr="00EB2612">
          <w:rPr>
            <w:rStyle w:val="Hypertextovodkaz"/>
          </w:rPr>
          <w:t>projektové</w:t>
        </w:r>
        <w:r w:rsidR="00BB64DB" w:rsidRPr="00EB2612">
          <w:rPr>
            <w:rStyle w:val="Hypertextovodkaz"/>
          </w:rPr>
          <w:t xml:space="preserve"> zprávě</w:t>
        </w:r>
      </w:hyperlink>
      <w:r w:rsidR="00BB64DB" w:rsidRPr="00EB2612">
        <w:t xml:space="preserve"> z roku 2012. </w:t>
      </w:r>
      <w:r w:rsidR="00B82B44" w:rsidRPr="00EB2612">
        <w:t>Na základě závěrů jednání pracovní skupiny byly v rámci mezinárodní klasifikace ekonomických činností NACE určeny činnosti spadající do oblasti kultury.</w:t>
      </w:r>
    </w:p>
    <w:p w:rsidR="00FC7ECC" w:rsidRPr="00EB2612" w:rsidRDefault="00FC7ECC" w:rsidP="004333B9">
      <w:r w:rsidRPr="00EB2612">
        <w:tab/>
        <w:t xml:space="preserve">Z Tabulky 1 </w:t>
      </w:r>
      <w:r w:rsidR="008004E0" w:rsidRPr="00EB2612">
        <w:t>je možné</w:t>
      </w:r>
      <w:r w:rsidRPr="00EB2612">
        <w:t xml:space="preserve"> vyčíst konkrétní statistické vymezení </w:t>
      </w:r>
      <w:r w:rsidR="00EA48B1" w:rsidRPr="00EB2612">
        <w:t xml:space="preserve">jednotlivých oblastí </w:t>
      </w:r>
      <w:r w:rsidRPr="00EB2612">
        <w:t>kulturních průmyslů</w:t>
      </w:r>
      <w:r w:rsidR="00FF475F" w:rsidRPr="00EB2612">
        <w:t>, se kterým bude operováno v dalších kapitolách</w:t>
      </w:r>
      <w:r w:rsidRPr="00EB2612">
        <w:t xml:space="preserve">. </w:t>
      </w:r>
      <w:r w:rsidR="00FF475F" w:rsidRPr="00EB2612">
        <w:t xml:space="preserve">Vymezení </w:t>
      </w:r>
      <w:r w:rsidRPr="00EB2612">
        <w:t>některých obla</w:t>
      </w:r>
      <w:r w:rsidR="00EA48B1" w:rsidRPr="00EB2612">
        <w:t xml:space="preserve">stí </w:t>
      </w:r>
      <w:r w:rsidR="00FF475F" w:rsidRPr="00EB2612">
        <w:t>(rozhlas, t</w:t>
      </w:r>
      <w:r w:rsidRPr="00EB2612">
        <w:t>elevize</w:t>
      </w:r>
      <w:r w:rsidR="00FF475F" w:rsidRPr="00EB2612">
        <w:t xml:space="preserve"> či v</w:t>
      </w:r>
      <w:r w:rsidRPr="00EB2612">
        <w:t>ideohry)</w:t>
      </w:r>
      <w:r w:rsidR="00EA48B1" w:rsidRPr="00EB2612">
        <w:t xml:space="preserve"> je</w:t>
      </w:r>
      <w:r w:rsidRPr="00EB2612">
        <w:t xml:space="preserve"> velmi jednoduché a obsahuje pouze jednu </w:t>
      </w:r>
      <w:r w:rsidR="00FF475F" w:rsidRPr="00EB2612">
        <w:t xml:space="preserve">konkrétní ekonomickou činnost (např. činnost vydávání počítačových her v oblasti videoher). Některé oblasti jsou naopak poskládané </w:t>
      </w:r>
      <w:r w:rsidR="00EA48B1" w:rsidRPr="00EB2612">
        <w:t>z několika různých ekonomických činností (například oblast knih a tisku obsahuje vedle činností vydávání a maloobchodu také služby zpravodajských agentur, překladatelů a tlumočníků).</w:t>
      </w:r>
      <w:r w:rsidR="00B26D79">
        <w:t xml:space="preserve"> V tabulce jsou uvedeny pouze</w:t>
      </w:r>
      <w:r w:rsidR="00317581">
        <w:t xml:space="preserve"> čtyřmístné</w:t>
      </w:r>
      <w:r w:rsidR="00B26D79">
        <w:t xml:space="preserve"> kódy</w:t>
      </w:r>
      <w:r w:rsidR="00317581">
        <w:t xml:space="preserve"> použitých činností</w:t>
      </w:r>
      <w:r w:rsidR="00B26D79">
        <w:t xml:space="preserve"> podle klasifikace ekonomických činností CZ-NACE </w:t>
      </w:r>
      <w:proofErr w:type="spellStart"/>
      <w:r w:rsidR="00B26D79">
        <w:t>rev</w:t>
      </w:r>
      <w:proofErr w:type="spellEnd"/>
      <w:r w:rsidR="00B26D79">
        <w:t xml:space="preserve">. 2. Celé názvy ekonomických činností jsou </w:t>
      </w:r>
      <w:r w:rsidR="00317581">
        <w:t>rozepsány</w:t>
      </w:r>
      <w:r w:rsidR="00B26D79">
        <w:t xml:space="preserve"> v Příloze 1.</w:t>
      </w:r>
    </w:p>
    <w:p w:rsidR="00EA48B1" w:rsidRPr="00EB2612" w:rsidRDefault="00BB64DB" w:rsidP="00EA48B1">
      <w:pPr>
        <w:ind w:firstLine="708"/>
      </w:pPr>
      <w:r w:rsidRPr="00EB2612">
        <w:t xml:space="preserve"> </w:t>
      </w:r>
    </w:p>
    <w:p w:rsidR="00BB64DB" w:rsidRPr="00EB2612" w:rsidRDefault="00BB64DB" w:rsidP="00BB64DB">
      <w:pPr>
        <w:pStyle w:val="Titulek"/>
        <w:rPr>
          <w:rFonts w:ascii="Arial" w:hAnsi="Arial" w:cs="Arial"/>
          <w:color w:val="auto"/>
          <w:sz w:val="20"/>
          <w:szCs w:val="20"/>
        </w:rPr>
      </w:pPr>
      <w:bookmarkStart w:id="8" w:name="_Toc464832044"/>
      <w:r w:rsidRPr="00EB2612">
        <w:rPr>
          <w:rFonts w:ascii="Arial" w:hAnsi="Arial" w:cs="Arial"/>
          <w:color w:val="auto"/>
          <w:sz w:val="20"/>
          <w:szCs w:val="20"/>
        </w:rPr>
        <w:lastRenderedPageBreak/>
        <w:t xml:space="preserve">Tabulka </w:t>
      </w:r>
      <w:r w:rsidR="00781DF4" w:rsidRPr="00EB2612">
        <w:rPr>
          <w:rFonts w:ascii="Arial" w:hAnsi="Arial" w:cs="Arial"/>
          <w:color w:val="auto"/>
          <w:sz w:val="20"/>
          <w:szCs w:val="20"/>
        </w:rPr>
        <w:fldChar w:fldCharType="begin"/>
      </w:r>
      <w:r w:rsidRPr="00EB2612">
        <w:rPr>
          <w:rFonts w:ascii="Arial" w:hAnsi="Arial" w:cs="Arial"/>
          <w:color w:val="auto"/>
          <w:sz w:val="20"/>
          <w:szCs w:val="20"/>
        </w:rPr>
        <w:instrText xml:space="preserve"> SEQ Tabulka \* ARABIC </w:instrText>
      </w:r>
      <w:r w:rsidR="00781DF4" w:rsidRPr="00EB2612">
        <w:rPr>
          <w:rFonts w:ascii="Arial" w:hAnsi="Arial" w:cs="Arial"/>
          <w:color w:val="auto"/>
          <w:sz w:val="20"/>
          <w:szCs w:val="20"/>
        </w:rPr>
        <w:fldChar w:fldCharType="separate"/>
      </w:r>
      <w:r w:rsidR="00705045">
        <w:rPr>
          <w:rFonts w:ascii="Arial" w:hAnsi="Arial" w:cs="Arial"/>
          <w:noProof/>
          <w:color w:val="auto"/>
          <w:sz w:val="20"/>
          <w:szCs w:val="20"/>
        </w:rPr>
        <w:t>1</w:t>
      </w:r>
      <w:r w:rsidR="00781DF4" w:rsidRPr="00EB2612">
        <w:rPr>
          <w:rFonts w:ascii="Arial" w:hAnsi="Arial" w:cs="Arial"/>
          <w:color w:val="auto"/>
          <w:sz w:val="20"/>
          <w:szCs w:val="20"/>
        </w:rPr>
        <w:fldChar w:fldCharType="end"/>
      </w:r>
      <w:r w:rsidRPr="00EB2612">
        <w:rPr>
          <w:rFonts w:ascii="Arial" w:hAnsi="Arial" w:cs="Arial"/>
          <w:color w:val="auto"/>
          <w:sz w:val="20"/>
          <w:szCs w:val="20"/>
        </w:rPr>
        <w:t xml:space="preserve"> </w:t>
      </w:r>
      <w:proofErr w:type="spellStart"/>
      <w:r w:rsidRPr="00EB2612">
        <w:rPr>
          <w:rFonts w:ascii="Arial" w:hAnsi="Arial" w:cs="Arial"/>
          <w:b w:val="0"/>
          <w:color w:val="auto"/>
          <w:sz w:val="20"/>
          <w:szCs w:val="20"/>
        </w:rPr>
        <w:t>Trojsektorové</w:t>
      </w:r>
      <w:proofErr w:type="spellEnd"/>
      <w:r w:rsidRPr="00EB2612">
        <w:rPr>
          <w:rFonts w:ascii="Arial" w:hAnsi="Arial" w:cs="Arial"/>
          <w:b w:val="0"/>
          <w:color w:val="auto"/>
          <w:sz w:val="20"/>
          <w:szCs w:val="20"/>
        </w:rPr>
        <w:t xml:space="preserve"> </w:t>
      </w:r>
      <w:r w:rsidR="00B414F8" w:rsidRPr="00EB2612">
        <w:rPr>
          <w:rFonts w:ascii="Arial" w:hAnsi="Arial" w:cs="Arial"/>
          <w:b w:val="0"/>
          <w:color w:val="auto"/>
          <w:sz w:val="20"/>
          <w:szCs w:val="20"/>
        </w:rPr>
        <w:t>členění</w:t>
      </w:r>
      <w:r w:rsidRPr="00EB2612">
        <w:rPr>
          <w:rFonts w:ascii="Arial" w:hAnsi="Arial" w:cs="Arial"/>
          <w:b w:val="0"/>
          <w:color w:val="auto"/>
          <w:sz w:val="20"/>
          <w:szCs w:val="20"/>
        </w:rPr>
        <w:t xml:space="preserve"> kultury</w:t>
      </w:r>
      <w:bookmarkEnd w:id="8"/>
    </w:p>
    <w:tbl>
      <w:tblPr>
        <w:tblW w:w="9673" w:type="dxa"/>
        <w:tblInd w:w="70" w:type="dxa"/>
        <w:tblLayout w:type="fixed"/>
        <w:tblCellMar>
          <w:left w:w="70" w:type="dxa"/>
          <w:right w:w="70" w:type="dxa"/>
        </w:tblCellMar>
        <w:tblLook w:val="04A0"/>
      </w:tblPr>
      <w:tblGrid>
        <w:gridCol w:w="2752"/>
        <w:gridCol w:w="2978"/>
        <w:gridCol w:w="3943"/>
      </w:tblGrid>
      <w:tr w:rsidR="00BB64DB" w:rsidRPr="00EB2612" w:rsidTr="007D12C6">
        <w:trPr>
          <w:trHeight w:val="347"/>
        </w:trPr>
        <w:tc>
          <w:tcPr>
            <w:tcW w:w="2752" w:type="dxa"/>
            <w:tcBorders>
              <w:top w:val="single" w:sz="12" w:space="0" w:color="auto"/>
              <w:left w:val="single" w:sz="8" w:space="0" w:color="FFFFFF" w:themeColor="background1"/>
              <w:bottom w:val="single" w:sz="12" w:space="0" w:color="auto"/>
              <w:right w:val="single" w:sz="8" w:space="0" w:color="F2DBDB" w:themeColor="accent2" w:themeTint="33"/>
            </w:tcBorders>
            <w:shd w:val="clear" w:color="auto" w:fill="F2DBDB" w:themeFill="accent2" w:themeFillTint="33"/>
            <w:noWrap/>
            <w:vAlign w:val="bottom"/>
            <w:hideMark/>
          </w:tcPr>
          <w:p w:rsidR="00BB64DB" w:rsidRPr="00EB2612" w:rsidRDefault="00BB64DB" w:rsidP="00BB64DB">
            <w:pPr>
              <w:pStyle w:val="Box"/>
              <w:ind w:left="0"/>
              <w:rPr>
                <w:rFonts w:asciiTheme="minorHAnsi" w:hAnsiTheme="minorHAnsi"/>
                <w:sz w:val="20"/>
                <w:szCs w:val="20"/>
              </w:rPr>
            </w:pPr>
            <w:r w:rsidRPr="00EB2612">
              <w:rPr>
                <w:rFonts w:asciiTheme="minorHAnsi" w:hAnsiTheme="minorHAnsi"/>
                <w:sz w:val="20"/>
                <w:szCs w:val="20"/>
              </w:rPr>
              <w:t>SEKTOR</w:t>
            </w:r>
          </w:p>
        </w:tc>
        <w:tc>
          <w:tcPr>
            <w:tcW w:w="2978" w:type="dxa"/>
            <w:tcBorders>
              <w:top w:val="single" w:sz="12" w:space="0" w:color="auto"/>
              <w:left w:val="single" w:sz="8" w:space="0" w:color="F2DBDB" w:themeColor="accent2" w:themeTint="33"/>
              <w:bottom w:val="single" w:sz="12" w:space="0" w:color="auto"/>
              <w:right w:val="single" w:sz="8" w:space="0" w:color="F2DBDB" w:themeColor="accent2" w:themeTint="33"/>
            </w:tcBorders>
            <w:shd w:val="clear" w:color="auto" w:fill="F2DBDB" w:themeFill="accent2" w:themeFillTint="33"/>
            <w:vAlign w:val="bottom"/>
            <w:hideMark/>
          </w:tcPr>
          <w:p w:rsidR="00BB64DB" w:rsidRPr="00EB2612" w:rsidRDefault="00BB64DB" w:rsidP="00BB64DB">
            <w:pPr>
              <w:pStyle w:val="Box"/>
              <w:ind w:left="53"/>
              <w:rPr>
                <w:rFonts w:asciiTheme="minorHAnsi" w:hAnsiTheme="minorHAnsi"/>
                <w:sz w:val="20"/>
                <w:szCs w:val="20"/>
              </w:rPr>
            </w:pPr>
            <w:r w:rsidRPr="00EB2612">
              <w:rPr>
                <w:rFonts w:asciiTheme="minorHAnsi" w:hAnsiTheme="minorHAnsi"/>
                <w:sz w:val="20"/>
                <w:szCs w:val="20"/>
              </w:rPr>
              <w:t>OBLAST</w:t>
            </w:r>
          </w:p>
        </w:tc>
        <w:tc>
          <w:tcPr>
            <w:tcW w:w="3943" w:type="dxa"/>
            <w:tcBorders>
              <w:top w:val="single" w:sz="12" w:space="0" w:color="auto"/>
              <w:left w:val="single" w:sz="8" w:space="0" w:color="F2DBDB" w:themeColor="accent2" w:themeTint="33"/>
              <w:bottom w:val="single" w:sz="12" w:space="0" w:color="auto"/>
              <w:right w:val="single" w:sz="8" w:space="0" w:color="FFFFFF" w:themeColor="background1"/>
            </w:tcBorders>
            <w:shd w:val="clear" w:color="auto" w:fill="F2DBDB" w:themeFill="accent2" w:themeFillTint="33"/>
            <w:vAlign w:val="bottom"/>
            <w:hideMark/>
          </w:tcPr>
          <w:p w:rsidR="00BB64DB" w:rsidRPr="00EB2612" w:rsidRDefault="00317581" w:rsidP="00BB64DB">
            <w:pPr>
              <w:pStyle w:val="Box"/>
              <w:ind w:left="20"/>
              <w:rPr>
                <w:rFonts w:asciiTheme="minorHAnsi" w:hAnsiTheme="minorHAnsi"/>
                <w:sz w:val="20"/>
                <w:szCs w:val="20"/>
              </w:rPr>
            </w:pPr>
            <w:r>
              <w:rPr>
                <w:rFonts w:asciiTheme="minorHAnsi" w:hAnsiTheme="minorHAnsi"/>
                <w:sz w:val="20"/>
                <w:szCs w:val="20"/>
              </w:rPr>
              <w:t>CZ-</w:t>
            </w:r>
            <w:r w:rsidR="00BB64DB" w:rsidRPr="00EB2612">
              <w:rPr>
                <w:rFonts w:asciiTheme="minorHAnsi" w:hAnsiTheme="minorHAnsi"/>
                <w:sz w:val="20"/>
                <w:szCs w:val="20"/>
              </w:rPr>
              <w:t>NACE</w:t>
            </w:r>
          </w:p>
        </w:tc>
      </w:tr>
      <w:tr w:rsidR="00BB64DB" w:rsidRPr="00EB2612" w:rsidTr="007D12C6">
        <w:trPr>
          <w:trHeight w:val="303"/>
        </w:trPr>
        <w:tc>
          <w:tcPr>
            <w:tcW w:w="2752" w:type="dxa"/>
            <w:vMerge w:val="restart"/>
            <w:tcBorders>
              <w:top w:val="single" w:sz="12" w:space="0" w:color="auto"/>
              <w:left w:val="single" w:sz="8" w:space="0" w:color="FFFFFF" w:themeColor="background1"/>
              <w:bottom w:val="nil"/>
              <w:right w:val="single" w:sz="8" w:space="0" w:color="FFFFFF" w:themeColor="background1"/>
            </w:tcBorders>
            <w:shd w:val="clear" w:color="auto" w:fill="auto"/>
            <w:textDirection w:val="btLr"/>
            <w:vAlign w:val="center"/>
            <w:hideMark/>
          </w:tcPr>
          <w:p w:rsidR="00BB64DB" w:rsidRPr="00EB2612" w:rsidRDefault="00BB64DB" w:rsidP="00B00577">
            <w:pPr>
              <w:jc w:val="center"/>
              <w:rPr>
                <w:rFonts w:asciiTheme="minorHAnsi" w:hAnsiTheme="minorHAnsi"/>
                <w:szCs w:val="20"/>
              </w:rPr>
            </w:pPr>
            <w:r w:rsidRPr="00EB2612">
              <w:rPr>
                <w:rFonts w:asciiTheme="minorHAnsi" w:hAnsiTheme="minorHAnsi"/>
                <w:szCs w:val="20"/>
              </w:rPr>
              <w:t>TRADIČNÍ ODVĚTV</w:t>
            </w:r>
            <w:r w:rsidR="003150BE" w:rsidRPr="00EB2612">
              <w:rPr>
                <w:rFonts w:asciiTheme="minorHAnsi" w:hAnsiTheme="minorHAnsi"/>
                <w:szCs w:val="20"/>
              </w:rPr>
              <w:t>Í</w:t>
            </w:r>
            <w:r w:rsidR="00B00577" w:rsidRPr="00EB2612">
              <w:rPr>
                <w:rFonts w:asciiTheme="minorHAnsi" w:hAnsiTheme="minorHAnsi"/>
                <w:szCs w:val="20"/>
              </w:rPr>
              <w:t xml:space="preserve">  (K</w:t>
            </w:r>
            <w:r w:rsidRPr="00EB2612">
              <w:rPr>
                <w:rFonts w:asciiTheme="minorHAnsi" w:hAnsiTheme="minorHAnsi"/>
                <w:szCs w:val="20"/>
              </w:rPr>
              <w:t>ULTURNÍ</w:t>
            </w:r>
            <w:r w:rsidR="00B00577" w:rsidRPr="00EB2612">
              <w:rPr>
                <w:rFonts w:asciiTheme="minorHAnsi" w:hAnsiTheme="minorHAnsi"/>
                <w:szCs w:val="20"/>
              </w:rPr>
              <w:t xml:space="preserve"> </w:t>
            </w:r>
            <w:r w:rsidRPr="00EB2612">
              <w:rPr>
                <w:rFonts w:asciiTheme="minorHAnsi" w:hAnsiTheme="minorHAnsi"/>
                <w:szCs w:val="20"/>
              </w:rPr>
              <w:t xml:space="preserve">SEKTOR) </w:t>
            </w:r>
          </w:p>
        </w:tc>
        <w:tc>
          <w:tcPr>
            <w:tcW w:w="2978"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Kulturní dědictví</w:t>
            </w:r>
          </w:p>
        </w:tc>
        <w:tc>
          <w:tcPr>
            <w:tcW w:w="3943"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91.01, 02, 03, 47.78, 79</w:t>
            </w:r>
          </w:p>
        </w:tc>
      </w:tr>
      <w:tr w:rsidR="00BB64DB" w:rsidRPr="00EB2612"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EB2612"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Scénická umění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90.01,02,04</w:t>
            </w:r>
          </w:p>
        </w:tc>
      </w:tr>
      <w:tr w:rsidR="00BB64DB" w:rsidRPr="00EB2612"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EB2612"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Výtvarná umění</w:t>
            </w:r>
            <w:r w:rsidRPr="00EB2612">
              <w:rPr>
                <w:rFonts w:asciiTheme="minorHAnsi" w:hAnsiTheme="minorHAnsi"/>
                <w:szCs w:val="20"/>
                <w:vertAlign w:val="superscript"/>
              </w:rPr>
              <w:footnoteReference w:id="2"/>
            </w:r>
            <w:r w:rsidRPr="00EB2612">
              <w:rPr>
                <w:rFonts w:asciiTheme="minorHAnsi" w:hAnsiTheme="minorHAnsi"/>
                <w:szCs w:val="20"/>
                <w:vertAlign w:val="superscript"/>
              </w:rPr>
              <w:t>)</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74.20,90.03</w:t>
            </w:r>
          </w:p>
        </w:tc>
      </w:tr>
      <w:tr w:rsidR="00BB64DB" w:rsidRPr="00EB2612" w:rsidTr="007D12C6">
        <w:trPr>
          <w:trHeight w:val="303"/>
        </w:trPr>
        <w:tc>
          <w:tcPr>
            <w:tcW w:w="2752" w:type="dxa"/>
            <w:vMerge/>
            <w:tcBorders>
              <w:top w:val="nil"/>
              <w:left w:val="single" w:sz="8" w:space="0" w:color="FFFFFF" w:themeColor="background1"/>
              <w:bottom w:val="nil"/>
              <w:right w:val="single" w:sz="8" w:space="0" w:color="FFFFFF" w:themeColor="background1"/>
            </w:tcBorders>
            <w:vAlign w:val="center"/>
            <w:hideMark/>
          </w:tcPr>
          <w:p w:rsidR="00BB64DB" w:rsidRPr="00EB2612"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EB2612" w:rsidRDefault="00F33F97" w:rsidP="007D12C6">
            <w:pPr>
              <w:spacing w:before="120" w:line="240" w:lineRule="auto"/>
              <w:rPr>
                <w:rFonts w:asciiTheme="minorHAnsi" w:hAnsiTheme="minorHAnsi"/>
                <w:szCs w:val="20"/>
              </w:rPr>
            </w:pPr>
            <w:r w:rsidRPr="00EB2612">
              <w:rPr>
                <w:rFonts w:asciiTheme="minorHAnsi" w:hAnsiTheme="minorHAnsi"/>
                <w:szCs w:val="20"/>
              </w:rPr>
              <w:t>Kulturní a umělecké</w:t>
            </w:r>
            <w:r w:rsidR="00BB64DB" w:rsidRPr="00EB2612">
              <w:rPr>
                <w:rFonts w:asciiTheme="minorHAnsi" w:hAnsiTheme="minorHAnsi"/>
                <w:szCs w:val="20"/>
              </w:rPr>
              <w:t xml:space="preserve"> vzdělávání</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85.52</w:t>
            </w:r>
          </w:p>
        </w:tc>
      </w:tr>
      <w:tr w:rsidR="00BB64DB" w:rsidRPr="00EB2612"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EB2612" w:rsidRDefault="00BB64DB" w:rsidP="00BB64DB">
            <w:pPr>
              <w:jc w:val="center"/>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EB2612" w:rsidRDefault="00F33F97" w:rsidP="007D12C6">
            <w:pPr>
              <w:spacing w:before="120" w:line="240" w:lineRule="auto"/>
              <w:rPr>
                <w:rFonts w:asciiTheme="minorHAnsi" w:hAnsiTheme="minorHAnsi"/>
                <w:szCs w:val="20"/>
              </w:rPr>
            </w:pPr>
            <w:r w:rsidRPr="00EB2612">
              <w:rPr>
                <w:rFonts w:asciiTheme="minorHAnsi" w:hAnsiTheme="minorHAnsi"/>
                <w:szCs w:val="20"/>
              </w:rPr>
              <w:t>Umělecká</w:t>
            </w:r>
            <w:r w:rsidR="00BB64DB" w:rsidRPr="00EB2612">
              <w:rPr>
                <w:rFonts w:asciiTheme="minorHAnsi" w:hAnsiTheme="minorHAnsi"/>
                <w:szCs w:val="20"/>
              </w:rPr>
              <w:t xml:space="preserve"> řemesla</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odd.14,15,16,23,25,31,32,43 (část)</w:t>
            </w:r>
          </w:p>
        </w:tc>
      </w:tr>
      <w:tr w:rsidR="00BB64DB" w:rsidRPr="00EB2612"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textDirection w:val="btLr"/>
            <w:vAlign w:val="center"/>
            <w:hideMark/>
          </w:tcPr>
          <w:p w:rsidR="00BB64DB" w:rsidRPr="00EB2612" w:rsidRDefault="003150BE" w:rsidP="00BB64DB">
            <w:pPr>
              <w:jc w:val="center"/>
              <w:rPr>
                <w:rFonts w:asciiTheme="minorHAnsi" w:hAnsiTheme="minorHAnsi"/>
                <w:b/>
                <w:szCs w:val="20"/>
              </w:rPr>
            </w:pPr>
            <w:r w:rsidRPr="00EB2612">
              <w:rPr>
                <w:rFonts w:asciiTheme="minorHAnsi" w:hAnsiTheme="minorHAnsi"/>
                <w:b/>
                <w:szCs w:val="20"/>
              </w:rPr>
              <w:t>KULTURNÍ PRŮMYSLY</w:t>
            </w:r>
            <w:r w:rsidR="00BB64DB" w:rsidRPr="00EB2612">
              <w:rPr>
                <w:rFonts w:asciiTheme="minorHAnsi" w:hAnsiTheme="minorHAnsi"/>
                <w:b/>
                <w:szCs w:val="20"/>
              </w:rPr>
              <w:t xml:space="preserve"> (AUDIOVIZUÁLNÍ A MEDIÁLNÍ SEKTOR)</w:t>
            </w:r>
          </w:p>
        </w:tc>
        <w:tc>
          <w:tcPr>
            <w:tcW w:w="2978" w:type="dxa"/>
            <w:tcBorders>
              <w:top w:val="single" w:sz="8" w:space="0" w:color="auto"/>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Film a video</w:t>
            </w:r>
          </w:p>
        </w:tc>
        <w:tc>
          <w:tcPr>
            <w:tcW w:w="3943" w:type="dxa"/>
            <w:tcBorders>
              <w:top w:val="single" w:sz="8" w:space="0" w:color="auto"/>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 xml:space="preserve">59.11, 12, </w:t>
            </w:r>
            <w:r w:rsidR="003150BE" w:rsidRPr="00EB2612">
              <w:rPr>
                <w:rFonts w:asciiTheme="minorHAnsi" w:hAnsiTheme="minorHAnsi"/>
                <w:b/>
                <w:szCs w:val="20"/>
              </w:rPr>
              <w:t>13, 14</w:t>
            </w:r>
            <w:r w:rsidRPr="00EB2612">
              <w:rPr>
                <w:rFonts w:asciiTheme="minorHAnsi" w:hAnsiTheme="minorHAnsi"/>
                <w:b/>
                <w:szCs w:val="20"/>
              </w:rPr>
              <w:t>, 77.22, 47.63 (část, 50%)</w:t>
            </w:r>
            <w:r w:rsidR="00795A8D" w:rsidRPr="00EB2612">
              <w:rPr>
                <w:rStyle w:val="Znakapoznpodarou"/>
                <w:rFonts w:asciiTheme="minorHAnsi" w:hAnsiTheme="minorHAnsi"/>
                <w:b/>
                <w:szCs w:val="20"/>
              </w:rPr>
              <w:footnoteReference w:id="3"/>
            </w:r>
          </w:p>
        </w:tc>
      </w:tr>
      <w:tr w:rsidR="00BB64DB" w:rsidRPr="00EB2612"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EB2612"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Hudba</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59.20, 47.63 (část, 50%)</w:t>
            </w:r>
            <w:r w:rsidR="00795A8D" w:rsidRPr="00EB2612">
              <w:rPr>
                <w:rFonts w:asciiTheme="minorHAnsi" w:hAnsiTheme="minorHAnsi"/>
                <w:b/>
                <w:szCs w:val="20"/>
                <w:vertAlign w:val="superscript"/>
              </w:rPr>
              <w:t>3</w:t>
            </w:r>
          </w:p>
        </w:tc>
      </w:tr>
      <w:tr w:rsidR="00BB64DB" w:rsidRPr="00EB2612"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EB2612"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Rozhlas</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60.10</w:t>
            </w:r>
          </w:p>
        </w:tc>
      </w:tr>
      <w:tr w:rsidR="00BB64DB" w:rsidRPr="00EB2612"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EB2612"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Televize</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60.20</w:t>
            </w:r>
          </w:p>
        </w:tc>
      </w:tr>
      <w:tr w:rsidR="00BB64DB" w:rsidRPr="00EB2612" w:rsidTr="007D12C6">
        <w:trPr>
          <w:trHeight w:val="303"/>
        </w:trPr>
        <w:tc>
          <w:tcPr>
            <w:tcW w:w="2752" w:type="dxa"/>
            <w:vMerge/>
            <w:tcBorders>
              <w:top w:val="single" w:sz="8" w:space="0" w:color="auto"/>
              <w:left w:val="single" w:sz="8" w:space="0" w:color="FFFFFF" w:themeColor="background1"/>
              <w:bottom w:val="single" w:sz="8" w:space="0" w:color="000000"/>
              <w:right w:val="single" w:sz="8" w:space="0" w:color="F2DBDB" w:themeColor="accent2" w:themeTint="33"/>
            </w:tcBorders>
            <w:shd w:val="clear" w:color="auto" w:fill="F2DBDB" w:themeFill="accent2" w:themeFillTint="33"/>
            <w:vAlign w:val="center"/>
            <w:hideMark/>
          </w:tcPr>
          <w:p w:rsidR="00BB64DB" w:rsidRPr="00EB2612"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Knihy a tisk</w:t>
            </w:r>
          </w:p>
        </w:tc>
        <w:tc>
          <w:tcPr>
            <w:tcW w:w="3943" w:type="dxa"/>
            <w:tcBorders>
              <w:top w:val="single" w:sz="8" w:space="0" w:color="F2DBDB" w:themeColor="accent2" w:themeTint="33"/>
              <w:left w:val="single" w:sz="8" w:space="0" w:color="F2DBDB" w:themeColor="accent2" w:themeTint="33"/>
              <w:bottom w:val="single" w:sz="8" w:space="0" w:color="F2DBDB" w:themeColor="accent2" w:themeTint="33"/>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58.11, 13, 14, 63.91, 74.30, 47.61, 62</w:t>
            </w:r>
          </w:p>
        </w:tc>
      </w:tr>
      <w:tr w:rsidR="00BB64DB" w:rsidRPr="00EB2612" w:rsidTr="007D12C6">
        <w:trPr>
          <w:trHeight w:val="303"/>
        </w:trPr>
        <w:tc>
          <w:tcPr>
            <w:tcW w:w="2752" w:type="dxa"/>
            <w:vMerge/>
            <w:tcBorders>
              <w:top w:val="single" w:sz="8" w:space="0" w:color="auto"/>
              <w:left w:val="single" w:sz="8" w:space="0" w:color="FFFFFF" w:themeColor="background1"/>
              <w:bottom w:val="single" w:sz="8" w:space="0" w:color="auto"/>
              <w:right w:val="single" w:sz="8" w:space="0" w:color="F2DBDB" w:themeColor="accent2" w:themeTint="33"/>
            </w:tcBorders>
            <w:shd w:val="clear" w:color="auto" w:fill="F2DBDB" w:themeFill="accent2" w:themeFillTint="33"/>
            <w:vAlign w:val="center"/>
            <w:hideMark/>
          </w:tcPr>
          <w:p w:rsidR="00BB64DB" w:rsidRPr="00EB2612" w:rsidRDefault="00BB64DB" w:rsidP="00BB64DB">
            <w:pPr>
              <w:jc w:val="center"/>
              <w:rPr>
                <w:rFonts w:asciiTheme="minorHAnsi" w:hAnsiTheme="minorHAnsi"/>
                <w:b/>
                <w:szCs w:val="20"/>
              </w:rPr>
            </w:pPr>
          </w:p>
        </w:tc>
        <w:tc>
          <w:tcPr>
            <w:tcW w:w="2978" w:type="dxa"/>
            <w:tcBorders>
              <w:top w:val="single" w:sz="8" w:space="0" w:color="F2DBDB" w:themeColor="accent2" w:themeTint="33"/>
              <w:left w:val="single" w:sz="8" w:space="0" w:color="F2DBDB" w:themeColor="accent2" w:themeTint="33"/>
              <w:bottom w:val="single" w:sz="8" w:space="0" w:color="auto"/>
              <w:right w:val="single" w:sz="8" w:space="0" w:color="F2DBDB" w:themeColor="accent2" w:themeTint="33"/>
            </w:tcBorders>
            <w:shd w:val="clear" w:color="auto" w:fill="F2DBDB" w:themeFill="accent2" w:themeFillTint="33"/>
            <w:vAlign w:val="center"/>
            <w:hideMark/>
          </w:tcPr>
          <w:p w:rsidR="00BB64DB" w:rsidRPr="00EB2612" w:rsidRDefault="00BB64DB" w:rsidP="007D12C6">
            <w:pPr>
              <w:spacing w:before="120" w:line="240" w:lineRule="auto"/>
              <w:rPr>
                <w:rFonts w:asciiTheme="minorHAnsi" w:hAnsiTheme="minorHAnsi"/>
                <w:b/>
                <w:szCs w:val="20"/>
              </w:rPr>
            </w:pPr>
            <w:r w:rsidRPr="00EB2612">
              <w:rPr>
                <w:rFonts w:asciiTheme="minorHAnsi" w:hAnsiTheme="minorHAnsi"/>
                <w:b/>
                <w:szCs w:val="20"/>
              </w:rPr>
              <w:t>Videohry</w:t>
            </w:r>
          </w:p>
        </w:tc>
        <w:tc>
          <w:tcPr>
            <w:tcW w:w="3943" w:type="dxa"/>
            <w:tcBorders>
              <w:top w:val="single" w:sz="8" w:space="0" w:color="F2DBDB" w:themeColor="accent2" w:themeTint="33"/>
              <w:left w:val="single" w:sz="8" w:space="0" w:color="F2DBDB" w:themeColor="accent2" w:themeTint="33"/>
              <w:bottom w:val="single" w:sz="8" w:space="0" w:color="auto"/>
              <w:right w:val="single" w:sz="8" w:space="0" w:color="FFFFFF" w:themeColor="background1"/>
            </w:tcBorders>
            <w:shd w:val="clear" w:color="auto" w:fill="F2DBDB" w:themeFill="accent2" w:themeFillTint="33"/>
            <w:noWrap/>
            <w:vAlign w:val="center"/>
            <w:hideMark/>
          </w:tcPr>
          <w:p w:rsidR="00BB64DB" w:rsidRPr="00EB2612" w:rsidRDefault="00BB64DB" w:rsidP="007D12C6">
            <w:pPr>
              <w:spacing w:before="120" w:line="240" w:lineRule="auto"/>
              <w:jc w:val="left"/>
              <w:rPr>
                <w:rFonts w:asciiTheme="minorHAnsi" w:hAnsiTheme="minorHAnsi"/>
                <w:b/>
                <w:szCs w:val="20"/>
              </w:rPr>
            </w:pPr>
            <w:r w:rsidRPr="00EB2612">
              <w:rPr>
                <w:rFonts w:asciiTheme="minorHAnsi" w:hAnsiTheme="minorHAnsi"/>
                <w:b/>
                <w:szCs w:val="20"/>
              </w:rPr>
              <w:t>58.21</w:t>
            </w:r>
          </w:p>
        </w:tc>
      </w:tr>
      <w:tr w:rsidR="00BB64DB" w:rsidRPr="00EB2612" w:rsidTr="007D12C6">
        <w:trPr>
          <w:trHeight w:val="303"/>
        </w:trPr>
        <w:tc>
          <w:tcPr>
            <w:tcW w:w="2752" w:type="dxa"/>
            <w:vMerge w:val="restart"/>
            <w:tcBorders>
              <w:top w:val="single" w:sz="8" w:space="0" w:color="auto"/>
              <w:left w:val="single" w:sz="8" w:space="0" w:color="FFFFFF" w:themeColor="background1"/>
              <w:bottom w:val="single" w:sz="8" w:space="0" w:color="000000"/>
              <w:right w:val="single" w:sz="8" w:space="0" w:color="FFFFFF" w:themeColor="background1"/>
            </w:tcBorders>
            <w:shd w:val="clear" w:color="auto" w:fill="auto"/>
            <w:textDirection w:val="btLr"/>
            <w:vAlign w:val="center"/>
            <w:hideMark/>
          </w:tcPr>
          <w:p w:rsidR="00BB64DB" w:rsidRPr="00EB2612" w:rsidRDefault="00BB64DB" w:rsidP="00BB64DB">
            <w:pPr>
              <w:spacing w:before="120"/>
              <w:jc w:val="center"/>
              <w:rPr>
                <w:rFonts w:asciiTheme="minorHAnsi" w:hAnsiTheme="minorHAnsi"/>
                <w:szCs w:val="20"/>
              </w:rPr>
            </w:pPr>
            <w:r w:rsidRPr="00EB2612">
              <w:rPr>
                <w:rFonts w:asciiTheme="minorHAnsi" w:hAnsiTheme="minorHAnsi"/>
                <w:szCs w:val="20"/>
              </w:rPr>
              <w:t xml:space="preserve">KREATIVNÍ </w:t>
            </w:r>
            <w:r w:rsidRPr="00EB2612">
              <w:rPr>
                <w:rFonts w:asciiTheme="minorHAnsi" w:hAnsiTheme="minorHAnsi"/>
                <w:szCs w:val="20"/>
              </w:rPr>
              <w:br/>
              <w:t>PRŮMYSLY (TVŮRČÍ SEKTOR)</w:t>
            </w:r>
          </w:p>
        </w:tc>
        <w:tc>
          <w:tcPr>
            <w:tcW w:w="297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Architektura</w:t>
            </w:r>
          </w:p>
        </w:tc>
        <w:tc>
          <w:tcPr>
            <w:tcW w:w="394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71.11</w:t>
            </w:r>
          </w:p>
        </w:tc>
      </w:tr>
      <w:tr w:rsidR="00BB64DB" w:rsidRPr="00EB2612" w:rsidTr="007D12C6">
        <w:trPr>
          <w:trHeight w:val="303"/>
        </w:trPr>
        <w:tc>
          <w:tcPr>
            <w:tcW w:w="2752" w:type="dxa"/>
            <w:vMerge/>
            <w:tcBorders>
              <w:top w:val="nil"/>
              <w:left w:val="single" w:sz="8" w:space="0" w:color="FFFFFF" w:themeColor="background1"/>
              <w:bottom w:val="single" w:sz="8" w:space="0" w:color="000000"/>
              <w:right w:val="single" w:sz="8" w:space="0" w:color="FFFFFF" w:themeColor="background1"/>
            </w:tcBorders>
            <w:vAlign w:val="center"/>
            <w:hideMark/>
          </w:tcPr>
          <w:p w:rsidR="00BB64DB" w:rsidRPr="00EB2612"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Reklama</w:t>
            </w:r>
          </w:p>
        </w:tc>
        <w:tc>
          <w:tcPr>
            <w:tcW w:w="39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noWrap/>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73.11</w:t>
            </w:r>
          </w:p>
        </w:tc>
      </w:tr>
      <w:tr w:rsidR="00BB64DB" w:rsidRPr="00EB2612" w:rsidTr="007D12C6">
        <w:trPr>
          <w:trHeight w:val="303"/>
        </w:trPr>
        <w:tc>
          <w:tcPr>
            <w:tcW w:w="2752" w:type="dxa"/>
            <w:vMerge/>
            <w:tcBorders>
              <w:top w:val="nil"/>
              <w:left w:val="single" w:sz="8" w:space="0" w:color="FFFFFF" w:themeColor="background1"/>
              <w:bottom w:val="single" w:sz="8" w:space="0" w:color="auto"/>
              <w:right w:val="single" w:sz="8" w:space="0" w:color="FFFFFF" w:themeColor="background1"/>
            </w:tcBorders>
            <w:vAlign w:val="center"/>
            <w:hideMark/>
          </w:tcPr>
          <w:p w:rsidR="00BB64DB" w:rsidRPr="00EB2612" w:rsidRDefault="00BB64DB" w:rsidP="00BB64DB">
            <w:pPr>
              <w:spacing w:before="120"/>
              <w:rPr>
                <w:rFonts w:asciiTheme="minorHAnsi" w:hAnsiTheme="minorHAnsi"/>
                <w:szCs w:val="20"/>
              </w:rPr>
            </w:pPr>
          </w:p>
        </w:tc>
        <w:tc>
          <w:tcPr>
            <w:tcW w:w="2978"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vAlign w:val="center"/>
            <w:hideMark/>
          </w:tcPr>
          <w:p w:rsidR="00BB64DB" w:rsidRPr="00EB2612" w:rsidRDefault="00BB64DB" w:rsidP="007D12C6">
            <w:pPr>
              <w:spacing w:before="120" w:line="240" w:lineRule="auto"/>
              <w:rPr>
                <w:rFonts w:asciiTheme="minorHAnsi" w:hAnsiTheme="minorHAnsi"/>
                <w:szCs w:val="20"/>
              </w:rPr>
            </w:pPr>
            <w:r w:rsidRPr="00EB2612">
              <w:rPr>
                <w:rFonts w:asciiTheme="minorHAnsi" w:hAnsiTheme="minorHAnsi"/>
                <w:szCs w:val="20"/>
              </w:rPr>
              <w:t>Design</w:t>
            </w:r>
          </w:p>
        </w:tc>
        <w:tc>
          <w:tcPr>
            <w:tcW w:w="3943"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auto"/>
            <w:noWrap/>
            <w:vAlign w:val="center"/>
            <w:hideMark/>
          </w:tcPr>
          <w:p w:rsidR="00BB64DB" w:rsidRPr="00EB2612" w:rsidRDefault="00BB64DB" w:rsidP="007D12C6">
            <w:pPr>
              <w:spacing w:before="120" w:line="240" w:lineRule="auto"/>
              <w:jc w:val="left"/>
              <w:rPr>
                <w:rFonts w:asciiTheme="minorHAnsi" w:hAnsiTheme="minorHAnsi"/>
                <w:szCs w:val="20"/>
              </w:rPr>
            </w:pPr>
            <w:r w:rsidRPr="00EB2612">
              <w:rPr>
                <w:rFonts w:asciiTheme="minorHAnsi" w:hAnsiTheme="minorHAnsi"/>
                <w:szCs w:val="20"/>
              </w:rPr>
              <w:t>74.10</w:t>
            </w:r>
          </w:p>
        </w:tc>
      </w:tr>
      <w:tr w:rsidR="00BB64DB" w:rsidRPr="00EB2612" w:rsidTr="007D12C6">
        <w:trPr>
          <w:trHeight w:val="303"/>
        </w:trPr>
        <w:tc>
          <w:tcPr>
            <w:tcW w:w="5730" w:type="dxa"/>
            <w:gridSpan w:val="2"/>
            <w:tcBorders>
              <w:top w:val="single" w:sz="8" w:space="0" w:color="auto"/>
              <w:left w:val="single" w:sz="8" w:space="0" w:color="FFFFFF" w:themeColor="background1"/>
              <w:bottom w:val="single" w:sz="12" w:space="0" w:color="auto"/>
              <w:right w:val="single" w:sz="8" w:space="0" w:color="FFFFFF" w:themeColor="background1"/>
            </w:tcBorders>
            <w:shd w:val="clear" w:color="auto" w:fill="auto"/>
            <w:vAlign w:val="center"/>
            <w:hideMark/>
          </w:tcPr>
          <w:p w:rsidR="00BB64DB" w:rsidRPr="00EB2612" w:rsidRDefault="003150BE" w:rsidP="002A32D6">
            <w:pPr>
              <w:spacing w:after="0" w:line="240" w:lineRule="auto"/>
              <w:rPr>
                <w:rFonts w:asciiTheme="minorHAnsi" w:hAnsiTheme="minorHAnsi" w:cs="Arial"/>
                <w:szCs w:val="20"/>
              </w:rPr>
            </w:pPr>
            <w:r w:rsidRPr="00EB2612">
              <w:rPr>
                <w:rFonts w:asciiTheme="minorHAnsi" w:hAnsiTheme="minorHAnsi" w:cs="Arial"/>
                <w:szCs w:val="20"/>
              </w:rPr>
              <w:t>Správa a podpora</w:t>
            </w:r>
            <w:r w:rsidR="00F33F97" w:rsidRPr="00EB2612">
              <w:rPr>
                <w:rFonts w:asciiTheme="minorHAnsi" w:hAnsiTheme="minorHAnsi" w:cs="Arial"/>
                <w:szCs w:val="20"/>
              </w:rPr>
              <w:t xml:space="preserve"> kulturní</w:t>
            </w:r>
            <w:r w:rsidR="00BB64DB" w:rsidRPr="00EB2612">
              <w:rPr>
                <w:rFonts w:asciiTheme="minorHAnsi" w:hAnsiTheme="minorHAnsi" w:cs="Arial"/>
                <w:szCs w:val="20"/>
              </w:rPr>
              <w:t xml:space="preserve"> činnosti</w:t>
            </w:r>
          </w:p>
        </w:tc>
        <w:tc>
          <w:tcPr>
            <w:tcW w:w="3943" w:type="dxa"/>
            <w:tcBorders>
              <w:top w:val="single" w:sz="8" w:space="0" w:color="auto"/>
              <w:left w:val="single" w:sz="8" w:space="0" w:color="FFFFFF" w:themeColor="background1"/>
              <w:bottom w:val="single" w:sz="12" w:space="0" w:color="auto"/>
              <w:right w:val="single" w:sz="8" w:space="0" w:color="FFFFFF" w:themeColor="background1"/>
            </w:tcBorders>
            <w:shd w:val="clear" w:color="auto" w:fill="auto"/>
            <w:noWrap/>
            <w:vAlign w:val="center"/>
            <w:hideMark/>
          </w:tcPr>
          <w:p w:rsidR="00BB64DB" w:rsidRPr="00EB2612" w:rsidRDefault="00BB64DB" w:rsidP="00BB64DB">
            <w:pPr>
              <w:keepNext/>
              <w:spacing w:after="0" w:line="240" w:lineRule="auto"/>
              <w:jc w:val="left"/>
              <w:rPr>
                <w:rFonts w:asciiTheme="minorHAnsi" w:hAnsiTheme="minorHAnsi" w:cs="Arial"/>
                <w:szCs w:val="20"/>
              </w:rPr>
            </w:pPr>
            <w:r w:rsidRPr="00EB2612">
              <w:rPr>
                <w:rFonts w:asciiTheme="minorHAnsi" w:hAnsiTheme="minorHAnsi" w:cs="Arial"/>
                <w:szCs w:val="20"/>
              </w:rPr>
              <w:t>84.11,12 (část), 94.99.2</w:t>
            </w:r>
          </w:p>
        </w:tc>
      </w:tr>
    </w:tbl>
    <w:p w:rsidR="00BB64DB" w:rsidRPr="00EB2612" w:rsidRDefault="00BB64DB" w:rsidP="004F4DFA">
      <w:pPr>
        <w:pStyle w:val="Titulek"/>
        <w:spacing w:before="120"/>
        <w:rPr>
          <w:rFonts w:cs="Arial"/>
          <w:b w:val="0"/>
          <w:color w:val="auto"/>
          <w:sz w:val="22"/>
          <w:szCs w:val="22"/>
        </w:rPr>
      </w:pPr>
      <w:r w:rsidRPr="00EB2612">
        <w:rPr>
          <w:rFonts w:cs="Arial"/>
          <w:b w:val="0"/>
          <w:color w:val="auto"/>
          <w:sz w:val="22"/>
          <w:szCs w:val="22"/>
        </w:rPr>
        <w:t>Zdroj: ČSÚ, NIPOS</w:t>
      </w:r>
    </w:p>
    <w:p w:rsidR="00E0238B" w:rsidRPr="00EB2612" w:rsidRDefault="00E0238B">
      <w:pPr>
        <w:spacing w:after="0" w:line="240" w:lineRule="auto"/>
        <w:jc w:val="left"/>
        <w:rPr>
          <w:lang w:eastAsia="en-US"/>
        </w:rPr>
      </w:pPr>
      <w:r w:rsidRPr="00EB2612">
        <w:rPr>
          <w:lang w:eastAsia="en-US"/>
        </w:rPr>
        <w:br w:type="page"/>
      </w:r>
    </w:p>
    <w:p w:rsidR="00BB64DB" w:rsidRPr="00EB2612" w:rsidRDefault="00BF3A86" w:rsidP="00173703">
      <w:pPr>
        <w:pStyle w:val="Nadpis1"/>
        <w:numPr>
          <w:ilvl w:val="0"/>
          <w:numId w:val="17"/>
        </w:numPr>
      </w:pPr>
      <w:bookmarkStart w:id="9" w:name="_Toc55384420"/>
      <w:r w:rsidRPr="00EB2612">
        <w:lastRenderedPageBreak/>
        <w:t>DEFINICE POJMŮ A ZDROJE DAT</w:t>
      </w:r>
      <w:bookmarkEnd w:id="9"/>
    </w:p>
    <w:p w:rsidR="00173703" w:rsidRPr="00EB2612" w:rsidRDefault="00BF3A86" w:rsidP="00B414F8">
      <w:r w:rsidRPr="00EB2612">
        <w:t xml:space="preserve">V publikaci jsou sledovány základní ekonomické ukazatele </w:t>
      </w:r>
      <w:r w:rsidR="00260C15" w:rsidRPr="00EB2612">
        <w:t>–</w:t>
      </w:r>
      <w:r w:rsidRPr="00EB2612">
        <w:t xml:space="preserve"> příjmy ekonomických subjektů a</w:t>
      </w:r>
      <w:r w:rsidR="00F95D6D" w:rsidRPr="00EB2612">
        <w:t> </w:t>
      </w:r>
      <w:r w:rsidRPr="00EB2612">
        <w:t>počet zaměstnanců v jednotlivých oblastech kulturních průmyslů. Dále pak chování spotřebitelů zachycené jednak údaji o spotřebitelských výdajích na zboží a služby v kulturních průmyslech a také údaji o</w:t>
      </w:r>
      <w:r w:rsidR="00F95D6D" w:rsidRPr="00EB2612">
        <w:t> </w:t>
      </w:r>
      <w:r w:rsidRPr="00EB2612">
        <w:t>spotřebitelských návycích</w:t>
      </w:r>
      <w:r w:rsidR="00ED59A5" w:rsidRPr="00EB2612">
        <w:t xml:space="preserve"> a trendech.</w:t>
      </w:r>
    </w:p>
    <w:p w:rsidR="00BF3A86" w:rsidRPr="00EB2612" w:rsidRDefault="00BF3A86" w:rsidP="00B414F8">
      <w:r w:rsidRPr="00EB2612">
        <w:tab/>
      </w:r>
      <w:r w:rsidR="00903FEE" w:rsidRPr="00EB2612">
        <w:t>Pojem příjmy je v textu používán souhrnně jak pro výnosy</w:t>
      </w:r>
      <w:r w:rsidR="00ED59A5" w:rsidRPr="00EB2612">
        <w:t>,</w:t>
      </w:r>
      <w:r w:rsidR="00903FEE" w:rsidRPr="00EB2612">
        <w:t xml:space="preserve"> </w:t>
      </w:r>
      <w:r w:rsidR="002E2B47" w:rsidRPr="00EB2612">
        <w:t xml:space="preserve">tak pro příjmy. Ukazatel příjmy v tomto textu totiž zahrnuje jak údaje od </w:t>
      </w:r>
      <w:r w:rsidR="00237048" w:rsidRPr="00EB2612">
        <w:t>právnických</w:t>
      </w:r>
      <w:r w:rsidR="002E2B47" w:rsidRPr="00EB2612">
        <w:t xml:space="preserve"> osob vedoucí podvojné účetnictví a evidující výnosy, tak údaje od</w:t>
      </w:r>
      <w:r w:rsidR="00237048" w:rsidRPr="00EB2612">
        <w:t xml:space="preserve"> </w:t>
      </w:r>
      <w:r w:rsidR="002E2B47" w:rsidRPr="00EB2612">
        <w:t>fyzických osob</w:t>
      </w:r>
      <w:r w:rsidR="00237048" w:rsidRPr="00EB2612">
        <w:t xml:space="preserve"> (OSVČ)</w:t>
      </w:r>
      <w:r w:rsidR="002E2B47" w:rsidRPr="00EB2612">
        <w:t xml:space="preserve">, které </w:t>
      </w:r>
      <w:r w:rsidR="00237048" w:rsidRPr="00EB2612">
        <w:t>mohou</w:t>
      </w:r>
      <w:r w:rsidR="002E2B47" w:rsidRPr="00EB2612">
        <w:t xml:space="preserve"> </w:t>
      </w:r>
      <w:r w:rsidR="00237048" w:rsidRPr="00EB2612">
        <w:t>vést pouze daňovou evidenci a evidovat</w:t>
      </w:r>
      <w:r w:rsidR="002E2B47" w:rsidRPr="00EB2612">
        <w:t xml:space="preserve"> </w:t>
      </w:r>
      <w:r w:rsidR="00237048" w:rsidRPr="00EB2612">
        <w:t>jen prosté</w:t>
      </w:r>
      <w:r w:rsidR="002E2B47" w:rsidRPr="00EB2612">
        <w:t> příjmy.</w:t>
      </w:r>
    </w:p>
    <w:p w:rsidR="00BE7543" w:rsidRPr="00EB2612" w:rsidRDefault="00BF3A86" w:rsidP="00B414F8">
      <w:r w:rsidRPr="00EB2612">
        <w:tab/>
      </w:r>
      <w:r w:rsidR="002E2B47" w:rsidRPr="00EB2612">
        <w:t xml:space="preserve"> Údaje o zaměstnanosti v jednotlivých oblastech</w:t>
      </w:r>
      <w:r w:rsidR="00411EBC" w:rsidRPr="00EB2612">
        <w:t xml:space="preserve"> kulturních průmyslů</w:t>
      </w:r>
      <w:r w:rsidR="002E2B47" w:rsidRPr="00EB2612">
        <w:t xml:space="preserve"> jsou zachyceny primárně ukazatelem průměrný evidenční počet</w:t>
      </w:r>
      <w:r w:rsidR="00411EBC" w:rsidRPr="00EB2612">
        <w:t xml:space="preserve"> zaměstnanců. Ten zachycuje roční průměr počtu zaměstnanců v jednotlivých měsících a pro lepší možnosti srovnávání je přepočítáván na plné pracovní úvazky. Tento</w:t>
      </w:r>
      <w:r w:rsidR="00F95D6D" w:rsidRPr="00EB2612">
        <w:t> </w:t>
      </w:r>
      <w:r w:rsidR="00ED59A5" w:rsidRPr="00EB2612">
        <w:t xml:space="preserve">ukazatel se však omezuje pouze na zaměstnance a </w:t>
      </w:r>
      <w:r w:rsidR="00411EBC" w:rsidRPr="00EB2612">
        <w:t>nezahrnuje údaje o</w:t>
      </w:r>
      <w:r w:rsidR="00ED59A5" w:rsidRPr="00EB2612">
        <w:t xml:space="preserve"> podnikatelích a</w:t>
      </w:r>
      <w:r w:rsidR="008D5856" w:rsidRPr="00EB2612">
        <w:t> </w:t>
      </w:r>
      <w:r w:rsidR="00ED59A5" w:rsidRPr="00EB2612">
        <w:t>pracovnících na dohody</w:t>
      </w:r>
      <w:r w:rsidRPr="00EB2612">
        <w:t>.</w:t>
      </w:r>
      <w:r w:rsidR="00247371" w:rsidRPr="00EB2612">
        <w:t xml:space="preserve"> </w:t>
      </w:r>
      <w:r w:rsidR="00ED59A5" w:rsidRPr="00EB2612">
        <w:t xml:space="preserve">Proto jsou data o </w:t>
      </w:r>
      <w:r w:rsidR="00260C15" w:rsidRPr="00EB2612">
        <w:t xml:space="preserve">počtu zaměstnanců </w:t>
      </w:r>
      <w:r w:rsidR="00247371" w:rsidRPr="00EB2612">
        <w:t>v jednotlivých kapitolách doplněny také o</w:t>
      </w:r>
      <w:r w:rsidR="008D5856" w:rsidRPr="00EB2612">
        <w:t> </w:t>
      </w:r>
      <w:r w:rsidR="00247371" w:rsidRPr="00EB2612">
        <w:t>údaje o</w:t>
      </w:r>
      <w:r w:rsidR="00260C15" w:rsidRPr="00EB2612">
        <w:t> </w:t>
      </w:r>
      <w:r w:rsidR="00247371" w:rsidRPr="00EB2612">
        <w:t xml:space="preserve">zaměstnaných osobách. </w:t>
      </w:r>
      <w:r w:rsidR="00FC4669" w:rsidRPr="00EB2612">
        <w:t>Počet zaměstnaných osob</w:t>
      </w:r>
      <w:r w:rsidR="00ED59A5" w:rsidRPr="00EB2612">
        <w:t xml:space="preserve"> </w:t>
      </w:r>
      <w:r w:rsidR="00247371" w:rsidRPr="00EB2612">
        <w:t>zahrnuje vedle zam</w:t>
      </w:r>
      <w:r w:rsidR="00ED59A5" w:rsidRPr="00EB2612">
        <w:t>ěstnanců také podnikatele,</w:t>
      </w:r>
      <w:r w:rsidR="00247371" w:rsidRPr="00EB2612">
        <w:t xml:space="preserve"> pracovníky na dohody</w:t>
      </w:r>
      <w:r w:rsidR="00FC4669" w:rsidRPr="00EB2612">
        <w:t xml:space="preserve"> a spolupracující čle</w:t>
      </w:r>
      <w:r w:rsidR="00ED59A5" w:rsidRPr="00EB2612">
        <w:t>ny domácnosti</w:t>
      </w:r>
      <w:r w:rsidR="00247371" w:rsidRPr="00EB2612">
        <w:t>.</w:t>
      </w:r>
      <w:r w:rsidR="00ED59A5" w:rsidRPr="00EB2612">
        <w:rPr>
          <w:rStyle w:val="Znakapoznpodarou"/>
        </w:rPr>
        <w:footnoteReference w:id="4"/>
      </w:r>
    </w:p>
    <w:p w:rsidR="00BF3A86" w:rsidRPr="00EB2612" w:rsidRDefault="0027768A" w:rsidP="00B414F8">
      <w:r w:rsidRPr="00EB2612">
        <w:tab/>
      </w:r>
      <w:r w:rsidR="00BF3A86" w:rsidRPr="00EB2612">
        <w:t xml:space="preserve">Statistické údaje za jednotlivé oblasti byly poskládány tak, aby poskytly co nejkomplexnější pohled na rozmanitý audiovizuální a mediální sektor. Základní ukazatele vycházejí ze statistik ČSÚ, které jsou koordinovány na mezinárodní úrovni a mají jednotnou výchozí metodiku. Jejich využití pro účely mezinárodně srovnatelných dat v oblasti kultury doporučuje také pracovní skupina </w:t>
      </w:r>
      <w:proofErr w:type="spellStart"/>
      <w:r w:rsidR="00BF3A86" w:rsidRPr="00EB2612">
        <w:rPr>
          <w:i/>
        </w:rPr>
        <w:t>Working</w:t>
      </w:r>
      <w:proofErr w:type="spellEnd"/>
      <w:r w:rsidR="00BF3A86" w:rsidRPr="00EB2612">
        <w:rPr>
          <w:i/>
        </w:rPr>
        <w:t xml:space="preserve"> </w:t>
      </w:r>
      <w:proofErr w:type="spellStart"/>
      <w:r w:rsidR="00BF3A86" w:rsidRPr="00EB2612">
        <w:rPr>
          <w:i/>
        </w:rPr>
        <w:t>Group</w:t>
      </w:r>
      <w:proofErr w:type="spellEnd"/>
      <w:r w:rsidR="00BF3A86" w:rsidRPr="00EB2612">
        <w:rPr>
          <w:i/>
        </w:rPr>
        <w:t xml:space="preserve"> on </w:t>
      </w:r>
      <w:proofErr w:type="spellStart"/>
      <w:r w:rsidR="00BF3A86" w:rsidRPr="00EB2612">
        <w:rPr>
          <w:i/>
        </w:rPr>
        <w:t>Culture</w:t>
      </w:r>
      <w:proofErr w:type="spellEnd"/>
      <w:r w:rsidR="00BF3A86" w:rsidRPr="00EB2612">
        <w:rPr>
          <w:i/>
        </w:rPr>
        <w:t xml:space="preserve"> Statistics</w:t>
      </w:r>
      <w:r w:rsidR="00BF3A86" w:rsidRPr="00EB2612">
        <w:t xml:space="preserve"> iniciovaná institucí Eurostat (E</w:t>
      </w:r>
      <w:r w:rsidR="00B82B44" w:rsidRPr="00EB2612">
        <w:t>urostat</w:t>
      </w:r>
      <w:r w:rsidR="00BF3A86" w:rsidRPr="00EB2612">
        <w:t>, 2015).</w:t>
      </w:r>
    </w:p>
    <w:p w:rsidR="00247371" w:rsidRPr="00EB2612" w:rsidRDefault="00A66484" w:rsidP="00B414F8">
      <w:r w:rsidRPr="00EB2612">
        <w:tab/>
      </w:r>
      <w:r w:rsidR="000F4B0F" w:rsidRPr="00EB2612">
        <w:t>Jedním z h</w:t>
      </w:r>
      <w:r w:rsidRPr="00EB2612">
        <w:t>lavn</w:t>
      </w:r>
      <w:r w:rsidR="000F4B0F" w:rsidRPr="00EB2612">
        <w:t>ích zdrojů</w:t>
      </w:r>
      <w:r w:rsidRPr="00EB2612">
        <w:t xml:space="preserve"> dat</w:t>
      </w:r>
      <w:r w:rsidR="00247371" w:rsidRPr="00EB2612">
        <w:t xml:space="preserve"> pro sledování příjmů a zaměstnanosti </w:t>
      </w:r>
      <w:r w:rsidRPr="00EB2612">
        <w:t>jsou údaje z Podnikové strukturální statistiky ČSÚ</w:t>
      </w:r>
      <w:r w:rsidR="001149CE" w:rsidRPr="00EB2612">
        <w:t xml:space="preserve"> (v angličtině nazývané </w:t>
      </w:r>
      <w:r w:rsidR="001149CE" w:rsidRPr="00EB2612">
        <w:rPr>
          <w:i/>
        </w:rPr>
        <w:t>Structural Business Statistics)</w:t>
      </w:r>
      <w:r w:rsidR="001149CE" w:rsidRPr="00EB2612">
        <w:t>. T</w:t>
      </w:r>
      <w:r w:rsidR="00783501" w:rsidRPr="00EB2612">
        <w:t xml:space="preserve">ato statistika </w:t>
      </w:r>
      <w:r w:rsidR="00465DDB" w:rsidRPr="00EB2612">
        <w:t>sleduje ekonomické činnosti</w:t>
      </w:r>
      <w:r w:rsidR="007E769B" w:rsidRPr="00EB2612">
        <w:t xml:space="preserve"> právnických a fyzických osob</w:t>
      </w:r>
      <w:r w:rsidR="00465DDB" w:rsidRPr="00EB2612">
        <w:t xml:space="preserve"> </w:t>
      </w:r>
      <w:r w:rsidR="007E769B" w:rsidRPr="00EB2612">
        <w:t xml:space="preserve">s využitím klasifikace CZ-NACE </w:t>
      </w:r>
      <w:r w:rsidR="00465DDB" w:rsidRPr="00EB2612">
        <w:t xml:space="preserve">a čerpá </w:t>
      </w:r>
      <w:r w:rsidR="00ED59A5" w:rsidRPr="00EB2612">
        <w:t xml:space="preserve">z ročního výkazu ČSÚ </w:t>
      </w:r>
      <w:hyperlink r:id="rId11" w:history="1">
        <w:r w:rsidR="00FB5667" w:rsidRPr="00EB2612">
          <w:rPr>
            <w:rStyle w:val="Hypertextovodkaz"/>
          </w:rPr>
          <w:t>P 5-01</w:t>
        </w:r>
      </w:hyperlink>
      <w:r w:rsidR="00465DDB" w:rsidRPr="00EB2612">
        <w:t xml:space="preserve"> a z administrativních zdrojů.</w:t>
      </w:r>
      <w:r w:rsidR="007E769B" w:rsidRPr="00EB2612">
        <w:t xml:space="preserve"> V rámci analýzy kulturních průmyslů je </w:t>
      </w:r>
      <w:r w:rsidR="008F2642" w:rsidRPr="00EB2612">
        <w:t>P</w:t>
      </w:r>
      <w:r w:rsidR="000F4B0F" w:rsidRPr="00EB2612">
        <w:t xml:space="preserve">odniková strukturální statistika </w:t>
      </w:r>
      <w:r w:rsidR="007E769B" w:rsidRPr="00EB2612">
        <w:t>přínosná zejména proto, že dokáže zachytit vybrané činnosti až</w:t>
      </w:r>
      <w:r w:rsidR="00B82B44" w:rsidRPr="00EB2612">
        <w:t xml:space="preserve"> na úrovni tříd, tj.</w:t>
      </w:r>
      <w:r w:rsidR="007E769B" w:rsidRPr="00EB2612">
        <w:t xml:space="preserve"> ve čtyřmístném členění </w:t>
      </w:r>
      <w:r w:rsidR="00B82B44" w:rsidRPr="00EB2612">
        <w:t xml:space="preserve">klasifikace </w:t>
      </w:r>
      <w:r w:rsidR="007E769B" w:rsidRPr="00EB2612">
        <w:t xml:space="preserve">NACE. </w:t>
      </w:r>
      <w:r w:rsidR="000F4B0F" w:rsidRPr="00EB2612">
        <w:t xml:space="preserve">V rámci </w:t>
      </w:r>
      <w:r w:rsidR="00B82B44" w:rsidRPr="00EB2612">
        <w:t xml:space="preserve">úzce vymezených </w:t>
      </w:r>
      <w:r w:rsidR="000F4B0F" w:rsidRPr="00EB2612">
        <w:t xml:space="preserve">ekonomických činností, které zahrnují </w:t>
      </w:r>
      <w:r w:rsidR="00237048" w:rsidRPr="00EB2612">
        <w:t>jen desítky</w:t>
      </w:r>
      <w:r w:rsidR="000F4B0F" w:rsidRPr="00EB2612">
        <w:t xml:space="preserve"> subjektů</w:t>
      </w:r>
      <w:r w:rsidR="00623611" w:rsidRPr="00EB2612">
        <w:t xml:space="preserve"> (např. činnost v oblasti videoher), </w:t>
      </w:r>
      <w:r w:rsidR="00FB5667" w:rsidRPr="00EB2612">
        <w:t xml:space="preserve">je vzorek dat reprezentující </w:t>
      </w:r>
      <w:r w:rsidR="00C844DF" w:rsidRPr="00EB2612">
        <w:t>konkrétní oblast velmi nízký. Proto musí být časové řady a</w:t>
      </w:r>
      <w:r w:rsidR="00260C15" w:rsidRPr="00EB2612">
        <w:t> </w:t>
      </w:r>
      <w:r w:rsidR="00C844DF" w:rsidRPr="00EB2612">
        <w:t>meziroční srovnání interpretována s vědomím těchto nedostatků.</w:t>
      </w:r>
      <w:r w:rsidR="00FB5667" w:rsidRPr="00EB2612">
        <w:t xml:space="preserve"> </w:t>
      </w:r>
      <w:r w:rsidR="00C844DF" w:rsidRPr="00EB2612">
        <w:t>Podniková strukturální</w:t>
      </w:r>
      <w:r w:rsidR="00B82B44" w:rsidRPr="00EB2612">
        <w:t xml:space="preserve"> s</w:t>
      </w:r>
      <w:r w:rsidR="00623611" w:rsidRPr="00EB2612">
        <w:t xml:space="preserve">tatistika </w:t>
      </w:r>
      <w:r w:rsidR="00C844DF" w:rsidRPr="00EB2612">
        <w:t xml:space="preserve">také neobsahuje data o </w:t>
      </w:r>
      <w:r w:rsidR="00623611" w:rsidRPr="00EB2612">
        <w:t xml:space="preserve">neziskových organizacích, jejichž činnost je však pro </w:t>
      </w:r>
      <w:r w:rsidR="00C844DF" w:rsidRPr="00EB2612">
        <w:t xml:space="preserve">některé </w:t>
      </w:r>
      <w:r w:rsidR="00623611" w:rsidRPr="00EB2612">
        <w:t>oblast</w:t>
      </w:r>
      <w:r w:rsidR="00C844DF" w:rsidRPr="00EB2612">
        <w:t>i</w:t>
      </w:r>
      <w:r w:rsidR="00623611" w:rsidRPr="00EB2612">
        <w:t xml:space="preserve"> kultury stěžejní.</w:t>
      </w:r>
    </w:p>
    <w:p w:rsidR="00623611" w:rsidRPr="00EB2612" w:rsidRDefault="00623611" w:rsidP="00B414F8">
      <w:r w:rsidRPr="00EB2612">
        <w:tab/>
      </w:r>
      <w:r w:rsidR="00F82744" w:rsidRPr="00EB2612">
        <w:t xml:space="preserve">Údaje z Podnikové strukturální statistiky lze </w:t>
      </w:r>
      <w:r w:rsidR="00B82B44" w:rsidRPr="00EB2612">
        <w:t>pro sledování</w:t>
      </w:r>
      <w:r w:rsidR="00F82744" w:rsidRPr="00EB2612">
        <w:t xml:space="preserve"> statistiky zaměstnanosti doplnit o údaje z</w:t>
      </w:r>
      <w:r w:rsidR="00F95D6D" w:rsidRPr="00EB2612">
        <w:t> </w:t>
      </w:r>
      <w:r w:rsidR="00F82744" w:rsidRPr="00EB2612">
        <w:t>Výb</w:t>
      </w:r>
      <w:r w:rsidR="00B82B44" w:rsidRPr="00EB2612">
        <w:t>ěrového šetření pracovních sil</w:t>
      </w:r>
      <w:r w:rsidR="009F6BE3" w:rsidRPr="00EB2612">
        <w:t xml:space="preserve"> (</w:t>
      </w:r>
      <w:r w:rsidR="009F6BE3" w:rsidRPr="00EB2612">
        <w:rPr>
          <w:i/>
        </w:rPr>
        <w:t>Labour Force Survey</w:t>
      </w:r>
      <w:r w:rsidR="004F7E67" w:rsidRPr="00EB2612">
        <w:t>)</w:t>
      </w:r>
      <w:r w:rsidR="00F82744" w:rsidRPr="00EB2612">
        <w:t>. Toto šetření</w:t>
      </w:r>
      <w:r w:rsidR="00247371" w:rsidRPr="00EB2612">
        <w:t xml:space="preserve"> </w:t>
      </w:r>
      <w:r w:rsidR="000E5EEF" w:rsidRPr="00EB2612">
        <w:t xml:space="preserve">od respondentů </w:t>
      </w:r>
      <w:r w:rsidR="00B82B44" w:rsidRPr="00EB2612">
        <w:t xml:space="preserve">zjišťuje </w:t>
      </w:r>
      <w:r w:rsidR="003150BE" w:rsidRPr="00EB2612">
        <w:t>nejen, v jaké</w:t>
      </w:r>
      <w:r w:rsidR="008E685D" w:rsidRPr="00EB2612">
        <w:t xml:space="preserve"> ekonomické oblasti pracují </w:t>
      </w:r>
      <w:r w:rsidR="000E5EEF" w:rsidRPr="00EB2612">
        <w:t>(dle klasifikace ekonomických činností CZ-NACE)</w:t>
      </w:r>
      <w:r w:rsidR="00247371" w:rsidRPr="00EB2612">
        <w:t xml:space="preserve">, ale </w:t>
      </w:r>
      <w:r w:rsidR="000E5EEF" w:rsidRPr="00EB2612">
        <w:t xml:space="preserve">sleduje </w:t>
      </w:r>
      <w:r w:rsidR="001132C6" w:rsidRPr="00EB2612">
        <w:t>také, jaké</w:t>
      </w:r>
      <w:r w:rsidR="008E685D" w:rsidRPr="00EB2612">
        <w:t xml:space="preserve"> konkrétní povolání</w:t>
      </w:r>
      <w:r w:rsidR="000E5EEF" w:rsidRPr="00EB2612">
        <w:t xml:space="preserve"> vykonávají (dle klasifikace zaměstnání CZ-ISCO)</w:t>
      </w:r>
      <w:r w:rsidR="00DA4A23" w:rsidRPr="00EB2612">
        <w:t>.</w:t>
      </w:r>
      <w:r w:rsidR="004C7C28" w:rsidRPr="00EB2612">
        <w:t xml:space="preserve"> Víme tedy nejen, zda respondent </w:t>
      </w:r>
      <w:r w:rsidR="004C7C28" w:rsidRPr="00EB2612">
        <w:lastRenderedPageBreak/>
        <w:t>pracuje v podniku, který svou převažující ekonomickou činností spadá do oblasti kultury, resp. kulturních průmyslů (např. je zaměstnán ve vydavatelství), ale také, jaké konkrétní zaměstnání tam vykonává (např.</w:t>
      </w:r>
      <w:r w:rsidR="00F95D6D" w:rsidRPr="00EB2612">
        <w:t> </w:t>
      </w:r>
      <w:r w:rsidR="0019602F" w:rsidRPr="00EB2612">
        <w:t>redaktor</w:t>
      </w:r>
      <w:r w:rsidR="004C7C28" w:rsidRPr="00EB2612">
        <w:t>, řídící pracovník či personalista).</w:t>
      </w:r>
      <w:r w:rsidR="000E5EEF" w:rsidRPr="00EB2612">
        <w:t xml:space="preserve"> </w:t>
      </w:r>
      <w:r w:rsidR="00FC4669" w:rsidRPr="00EB2612">
        <w:t>Údaje jsou sbírány</w:t>
      </w:r>
      <w:r w:rsidR="00220642" w:rsidRPr="00EB2612">
        <w:t xml:space="preserve"> čtvrtletně od osob starších 15 let žijících v domácnostech. Omezení tohoto šetření pro analýzu kulturních průmyslů jsou obdobná jako u Podnikové strukturální statistiky. P</w:t>
      </w:r>
      <w:r w:rsidR="008417AB" w:rsidRPr="00EB2612">
        <w:t xml:space="preserve">ro </w:t>
      </w:r>
      <w:r w:rsidR="00C37C2F" w:rsidRPr="00EB2612">
        <w:t>vytvoření</w:t>
      </w:r>
      <w:r w:rsidR="008417AB" w:rsidRPr="00EB2612">
        <w:t xml:space="preserve"> oblastí kulturního průmyslu je třeba pracovat se čtyřmístným členěním kategorií CZ-ISCO a CZ-NACE. Takto podrobné údaje jsou však založené na velmi malém vzorku a mohou meziročně kolísat. Výhodou tohoto zdroje je však jeho schopnost zachytit údaje o kulturních pracovnících v oblastech, které nespadají do kulturních průmyslů (např. novinářská profese pro firemní časopis ocelářské firmy)</w:t>
      </w:r>
      <w:r w:rsidR="000E5EEF" w:rsidRPr="00EB2612">
        <w:t xml:space="preserve"> a naopak „ne</w:t>
      </w:r>
      <w:r w:rsidR="004F7E67" w:rsidRPr="00EB2612">
        <w:t>-</w:t>
      </w:r>
      <w:r w:rsidR="000E5EEF" w:rsidRPr="00EB2612">
        <w:t xml:space="preserve">kulturní“ profese </w:t>
      </w:r>
      <w:r w:rsidR="00B82B44" w:rsidRPr="00EB2612">
        <w:t xml:space="preserve">v </w:t>
      </w:r>
      <w:r w:rsidR="000E5EEF" w:rsidRPr="00EB2612">
        <w:t>kulturních odvětví</w:t>
      </w:r>
      <w:r w:rsidR="00B82B44" w:rsidRPr="00EB2612">
        <w:t>ch</w:t>
      </w:r>
      <w:r w:rsidR="000E5EEF" w:rsidRPr="00EB2612">
        <w:t xml:space="preserve"> (např. účetní v galerii)</w:t>
      </w:r>
      <w:r w:rsidR="008417AB" w:rsidRPr="00EB2612">
        <w:t>.</w:t>
      </w:r>
    </w:p>
    <w:p w:rsidR="00C37C2F" w:rsidRPr="00EB2612" w:rsidRDefault="00E0238B" w:rsidP="00B414F8">
      <w:r w:rsidRPr="00EB2612">
        <w:tab/>
      </w:r>
      <w:r w:rsidR="00C37C2F" w:rsidRPr="00EB2612">
        <w:t xml:space="preserve">Pro analýzu spotřebitelského chování </w:t>
      </w:r>
      <w:r w:rsidR="00B82B44" w:rsidRPr="00EB2612">
        <w:t xml:space="preserve">v kultuře </w:t>
      </w:r>
      <w:r w:rsidR="009C64E1" w:rsidRPr="00EB2612">
        <w:t>jsou pak hlavním zdrojem údaje z Výběrového šetření o</w:t>
      </w:r>
      <w:r w:rsidR="00F95D6D" w:rsidRPr="00EB2612">
        <w:t> </w:t>
      </w:r>
      <w:r w:rsidR="009C64E1" w:rsidRPr="00EB2612">
        <w:t>informačních a komunikačních technologiích v domácnostech a mezi jednotlivci (</w:t>
      </w:r>
      <w:r w:rsidR="009C64E1" w:rsidRPr="00EB2612">
        <w:rPr>
          <w:i/>
        </w:rPr>
        <w:t>ICT usage in households and by individuals</w:t>
      </w:r>
      <w:r w:rsidR="009F6BE3" w:rsidRPr="00EB2612">
        <w:t xml:space="preserve">). </w:t>
      </w:r>
      <w:r w:rsidR="00B82B44" w:rsidRPr="00EB2612">
        <w:t xml:space="preserve">Ze své podstaty je </w:t>
      </w:r>
      <w:r w:rsidR="009F6BE3" w:rsidRPr="00EB2612">
        <w:t xml:space="preserve">šetření </w:t>
      </w:r>
      <w:r w:rsidR="00B82B44" w:rsidRPr="00EB2612">
        <w:t>omezeno</w:t>
      </w:r>
      <w:r w:rsidR="009F6BE3" w:rsidRPr="00EB2612">
        <w:t xml:space="preserve"> pouze na kulturní aktivity prováděné na internetu. Dalším omezením je pak příliš široké vymezení některých druhů aktivit</w:t>
      </w:r>
      <w:r w:rsidR="00B82B44" w:rsidRPr="00EB2612">
        <w:t xml:space="preserve"> (obdobně jako u</w:t>
      </w:r>
      <w:r w:rsidR="008B64EB" w:rsidRPr="00EB2612">
        <w:t> </w:t>
      </w:r>
      <w:r w:rsidR="00B82B44" w:rsidRPr="00EB2612">
        <w:t>předchozích zdrojů dat</w:t>
      </w:r>
      <w:r w:rsidR="00B9096F" w:rsidRPr="00EB2612">
        <w:t>, ani toto šetření není primárně zaměřené na oblast kultury)</w:t>
      </w:r>
      <w:r w:rsidR="009F6BE3" w:rsidRPr="00EB2612">
        <w:t xml:space="preserve">. Výhodou tohoto šetření je však jeho schopnost zachytit rychle se měnící návyky spotřebitelů </w:t>
      </w:r>
      <w:r w:rsidR="00410BEE" w:rsidRPr="00EB2612">
        <w:t xml:space="preserve">v kulturním průmyslu v </w:t>
      </w:r>
      <w:r w:rsidR="009F6BE3" w:rsidRPr="00EB2612">
        <w:t>souvislosti s</w:t>
      </w:r>
      <w:r w:rsidR="00410BEE" w:rsidRPr="00EB2612">
        <w:t> </w:t>
      </w:r>
      <w:r w:rsidR="009F6BE3" w:rsidRPr="00EB2612">
        <w:t>rozvojem</w:t>
      </w:r>
      <w:r w:rsidR="00410BEE" w:rsidRPr="00EB2612">
        <w:t xml:space="preserve"> nových technologií.</w:t>
      </w:r>
    </w:p>
    <w:p w:rsidR="00410BEE" w:rsidRPr="00EB2612" w:rsidRDefault="00E0238B" w:rsidP="00B414F8">
      <w:r w:rsidRPr="00EB2612">
        <w:tab/>
      </w:r>
      <w:r w:rsidR="00FA7C55" w:rsidRPr="00EB2612">
        <w:t>Dalšími důležitými zdroji Č</w:t>
      </w:r>
      <w:r w:rsidR="00410BEE" w:rsidRPr="00EB2612">
        <w:t>SÚ pro tuto publikaci jsou Statistika neziskových organizac</w:t>
      </w:r>
      <w:r w:rsidR="00EE1F14" w:rsidRPr="00EB2612">
        <w:t>í</w:t>
      </w:r>
      <w:r w:rsidR="00410BEE" w:rsidRPr="00EB2612">
        <w:t xml:space="preserve">, Národní účty použité pro </w:t>
      </w:r>
      <w:r w:rsidR="00FC4669" w:rsidRPr="00EB2612">
        <w:t xml:space="preserve">analýzu spotřebitelských výdajů, </w:t>
      </w:r>
      <w:r w:rsidR="001E554C">
        <w:t xml:space="preserve">Životní podmínky </w:t>
      </w:r>
      <w:r w:rsidR="00410BEE" w:rsidRPr="00EB2612">
        <w:t xml:space="preserve">ČR </w:t>
      </w:r>
      <w:r w:rsidR="00EE1F14" w:rsidRPr="00EB2612">
        <w:t>(</w:t>
      </w:r>
      <w:proofErr w:type="spellStart"/>
      <w:r w:rsidR="00EE1F14" w:rsidRPr="00EB2612">
        <w:rPr>
          <w:i/>
        </w:rPr>
        <w:t>Statistics</w:t>
      </w:r>
      <w:proofErr w:type="spellEnd"/>
      <w:r w:rsidR="00EE1F14" w:rsidRPr="00EB2612">
        <w:rPr>
          <w:i/>
        </w:rPr>
        <w:t xml:space="preserve"> on </w:t>
      </w:r>
      <w:proofErr w:type="spellStart"/>
      <w:r w:rsidR="00EE1F14" w:rsidRPr="00EB2612">
        <w:rPr>
          <w:i/>
        </w:rPr>
        <w:t>Income</w:t>
      </w:r>
      <w:proofErr w:type="spellEnd"/>
      <w:r w:rsidR="00EE1F14" w:rsidRPr="00EB2612">
        <w:rPr>
          <w:i/>
        </w:rPr>
        <w:t xml:space="preserve"> </w:t>
      </w:r>
      <w:proofErr w:type="spellStart"/>
      <w:r w:rsidR="00EE1F14" w:rsidRPr="00EB2612">
        <w:rPr>
          <w:i/>
        </w:rPr>
        <w:t>and</w:t>
      </w:r>
      <w:proofErr w:type="spellEnd"/>
      <w:r w:rsidR="00EE1F14" w:rsidRPr="00EB2612">
        <w:rPr>
          <w:i/>
        </w:rPr>
        <w:t xml:space="preserve"> Living Conditions</w:t>
      </w:r>
      <w:r w:rsidR="00EE1F14" w:rsidRPr="00EB2612">
        <w:t xml:space="preserve">) </w:t>
      </w:r>
      <w:r w:rsidR="00410BEE" w:rsidRPr="00EB2612">
        <w:t>sledující kulturní participaci jednotlivců ve volném času</w:t>
      </w:r>
      <w:r w:rsidR="00FC4669" w:rsidRPr="00EB2612">
        <w:t xml:space="preserve"> a také šetření Vzdělávání dospělých v České republice (</w:t>
      </w:r>
      <w:r w:rsidR="00FC4669" w:rsidRPr="00EB2612">
        <w:rPr>
          <w:i/>
        </w:rPr>
        <w:t>Adult Education Survey</w:t>
      </w:r>
      <w:r w:rsidR="00FC4669" w:rsidRPr="00EB2612">
        <w:t xml:space="preserve">) zaměřující </w:t>
      </w:r>
      <w:r w:rsidR="002C1C2C" w:rsidRPr="00EB2612">
        <w:t xml:space="preserve">se </w:t>
      </w:r>
      <w:r w:rsidR="00FC4669" w:rsidRPr="00EB2612">
        <w:t xml:space="preserve">na </w:t>
      </w:r>
      <w:r w:rsidR="002C1C2C" w:rsidRPr="00EB2612">
        <w:t>celoživotní vzdělávání</w:t>
      </w:r>
      <w:r w:rsidR="00410BEE" w:rsidRPr="00EB2612">
        <w:t>.</w:t>
      </w:r>
    </w:p>
    <w:p w:rsidR="002D06A3" w:rsidRPr="00EB2612" w:rsidRDefault="008A3E33" w:rsidP="002D06A3">
      <w:r w:rsidRPr="00EB2612">
        <w:tab/>
      </w:r>
      <w:r w:rsidR="002D06A3" w:rsidRPr="00EB2612">
        <w:t>Relevantními zdroji dat jsou také pravidelné roční výkazy řady Kult v gesci ČSÚ (</w:t>
      </w:r>
      <w:r w:rsidR="004443D7" w:rsidRPr="00EB2612">
        <w:t>sledující oblast audiovizuálních</w:t>
      </w:r>
      <w:r w:rsidR="002D06A3" w:rsidRPr="00EB2612">
        <w:t xml:space="preserve"> mediálních služeb a rozhlasu) a Národního informačního a poradenského střediska pro kulturu, které je příspěvkovou organizací MK ČR (sledující oblast knih a tisku). Data získaná z výkazů Kult mají tu výhodu, že na rozdíl od výběrových šetření zachycují oblast vyčerpávajícím způsobem. V rámci statistiky zaměstnanosti lze jako doplňující zdroj použít také údaje z Informačního systému o průměrném výdělku, jejímž gestorem je Ministerstvo práce a sociálních věcí. Ten může poskytnout cenné informace o</w:t>
      </w:r>
      <w:r w:rsidR="00FA7C55" w:rsidRPr="00EB2612">
        <w:t> </w:t>
      </w:r>
      <w:r w:rsidR="002D06A3" w:rsidRPr="00EB2612">
        <w:t>průměrných mzdách (platech) v rámci jednotlivých zaměstnání. Na druhou stranu sleduje pouze zaměstnance ve mzdové a platové sféře, nikoliv podnikatele a pracovníky na dohody a proto je problematické využití tohoto zdroje společně s daty z</w:t>
      </w:r>
      <w:r w:rsidR="004443D7" w:rsidRPr="00EB2612">
        <w:t> Výběrového šetření pracovních sil (</w:t>
      </w:r>
      <w:r w:rsidR="002D06A3" w:rsidRPr="00EB2612">
        <w:t>VŠPS</w:t>
      </w:r>
      <w:r w:rsidR="004443D7" w:rsidRPr="00EB2612">
        <w:t>)</w:t>
      </w:r>
      <w:r w:rsidR="002D06A3" w:rsidRPr="00EB2612">
        <w:t>, které podnikatele a</w:t>
      </w:r>
      <w:r w:rsidR="00260C15" w:rsidRPr="00EB2612">
        <w:t> </w:t>
      </w:r>
      <w:r w:rsidR="002D06A3" w:rsidRPr="00EB2612">
        <w:t>pracovníky na dohody zahrnuje. Údaje z tohoto šetření pochází od ekonomických subjektů (podniků, institucí) nikoliv z domácností (jak je tomu u VŠPS) a zahrnují pouze zaměstnance, jejichž týdenní pracovní doba přesahuje 30 hodin a zároveň u daného zaměstnavatele odpracovali nejméně jeden měsíc.</w:t>
      </w:r>
    </w:p>
    <w:p w:rsidR="002D06A3" w:rsidRPr="00EB2612" w:rsidRDefault="002D06A3" w:rsidP="002D06A3">
      <w:r w:rsidRPr="00EB2612">
        <w:tab/>
        <w:t>Hodnotná data poskytují také profesní organizace sdružující významné společnosti v rámci jednotlivých průmyslů</w:t>
      </w:r>
      <w:r w:rsidR="004443D7" w:rsidRPr="00EB2612">
        <w:t>. Výstupy</w:t>
      </w:r>
      <w:r w:rsidRPr="00EB2612">
        <w:t xml:space="preserve"> těchto organizací mohou v závislosti na rozsahu členské základny poskytovat úplnější informace o ekonomice jednotlivých oblastí (například pro oblast hudby) než data ze</w:t>
      </w:r>
      <w:r w:rsidR="000E0D24" w:rsidRPr="00EB2612">
        <w:t> </w:t>
      </w:r>
      <w:r w:rsidRPr="00EB2612">
        <w:t>zmíněných výběrových šetření. Údaje o kulturní participaci doplňují také výsledky šetření soukromých společností či veřejných institucí, která jsou často administrována ve spolupráci s profesními asociacemi. Vzhledem k tomu, že tato doplňující šetření nepodléhají prověřené mezinárodní metodice, je třeba věnovat zvýšenou pozornost jejich metodice, zejména pak použitému výběrovému vzorku.</w:t>
      </w:r>
    </w:p>
    <w:p w:rsidR="00BB64DB" w:rsidRPr="00EB2612" w:rsidRDefault="00BB64DB" w:rsidP="00B414F8">
      <w:pPr>
        <w:pStyle w:val="Titulek"/>
        <w:rPr>
          <w:rFonts w:cs="Arial"/>
          <w:b w:val="0"/>
          <w:color w:val="auto"/>
          <w:sz w:val="22"/>
          <w:szCs w:val="22"/>
        </w:rPr>
      </w:pPr>
      <w:bookmarkStart w:id="10" w:name="_Toc464832045"/>
      <w:r w:rsidRPr="00EB2612">
        <w:rPr>
          <w:rFonts w:cs="Arial"/>
          <w:color w:val="auto"/>
          <w:sz w:val="22"/>
          <w:szCs w:val="22"/>
        </w:rPr>
        <w:lastRenderedPageBreak/>
        <w:t xml:space="preserve">Tabulka </w:t>
      </w:r>
      <w:r w:rsidR="00781DF4" w:rsidRPr="00EB2612">
        <w:rPr>
          <w:rFonts w:cs="Arial"/>
          <w:color w:val="auto"/>
          <w:sz w:val="22"/>
          <w:szCs w:val="22"/>
        </w:rPr>
        <w:fldChar w:fldCharType="begin"/>
      </w:r>
      <w:r w:rsidRPr="00EB2612">
        <w:rPr>
          <w:rFonts w:cs="Arial"/>
          <w:color w:val="auto"/>
          <w:sz w:val="22"/>
          <w:szCs w:val="22"/>
        </w:rPr>
        <w:instrText xml:space="preserve"> SEQ Tabulka \* ARABIC </w:instrText>
      </w:r>
      <w:r w:rsidR="00781DF4" w:rsidRPr="00EB2612">
        <w:rPr>
          <w:rFonts w:cs="Arial"/>
          <w:color w:val="auto"/>
          <w:sz w:val="22"/>
          <w:szCs w:val="22"/>
        </w:rPr>
        <w:fldChar w:fldCharType="separate"/>
      </w:r>
      <w:r w:rsidR="00705045">
        <w:rPr>
          <w:rFonts w:cs="Arial"/>
          <w:noProof/>
          <w:color w:val="auto"/>
          <w:sz w:val="22"/>
          <w:szCs w:val="22"/>
        </w:rPr>
        <w:t>2</w:t>
      </w:r>
      <w:r w:rsidR="00781DF4" w:rsidRPr="00EB2612">
        <w:rPr>
          <w:rFonts w:cs="Arial"/>
          <w:color w:val="auto"/>
          <w:sz w:val="22"/>
          <w:szCs w:val="22"/>
        </w:rPr>
        <w:fldChar w:fldCharType="end"/>
      </w:r>
      <w:r w:rsidRPr="00EB2612">
        <w:rPr>
          <w:rFonts w:cs="Arial"/>
          <w:b w:val="0"/>
          <w:color w:val="auto"/>
          <w:sz w:val="22"/>
          <w:szCs w:val="22"/>
        </w:rPr>
        <w:t xml:space="preserve"> Přehled zdrojů dat</w:t>
      </w:r>
      <w:bookmarkEnd w:id="10"/>
    </w:p>
    <w:tbl>
      <w:tblPr>
        <w:tblW w:w="4945" w:type="pct"/>
        <w:tblInd w:w="70" w:type="dxa"/>
        <w:tblLayout w:type="fixed"/>
        <w:tblCellMar>
          <w:left w:w="70" w:type="dxa"/>
          <w:right w:w="70" w:type="dxa"/>
        </w:tblCellMar>
        <w:tblLook w:val="04A0"/>
      </w:tblPr>
      <w:tblGrid>
        <w:gridCol w:w="1907"/>
        <w:gridCol w:w="3779"/>
        <w:gridCol w:w="3984"/>
      </w:tblGrid>
      <w:tr w:rsidR="00B414F8" w:rsidRPr="00EB2612" w:rsidTr="002D06A3">
        <w:trPr>
          <w:trHeight w:val="227"/>
        </w:trPr>
        <w:tc>
          <w:tcPr>
            <w:tcW w:w="986" w:type="pct"/>
            <w:tcBorders>
              <w:top w:val="single" w:sz="12" w:space="0" w:color="auto"/>
              <w:left w:val="nil"/>
              <w:bottom w:val="single" w:sz="12" w:space="0" w:color="auto"/>
            </w:tcBorders>
            <w:shd w:val="clear" w:color="auto" w:fill="F2DBDB" w:themeFill="accent2" w:themeFillTint="33"/>
            <w:vAlign w:val="bottom"/>
            <w:hideMark/>
          </w:tcPr>
          <w:p w:rsidR="00BB64DB" w:rsidRPr="00EB2612" w:rsidRDefault="00BB64DB" w:rsidP="00E0238B">
            <w:pPr>
              <w:pStyle w:val="Box"/>
              <w:spacing w:line="240" w:lineRule="auto"/>
              <w:ind w:left="0"/>
              <w:rPr>
                <w:rFonts w:asciiTheme="minorHAnsi" w:hAnsiTheme="minorHAnsi"/>
                <w:sz w:val="20"/>
                <w:szCs w:val="20"/>
              </w:rPr>
            </w:pPr>
            <w:r w:rsidRPr="00EB2612">
              <w:rPr>
                <w:rFonts w:asciiTheme="minorHAnsi" w:hAnsiTheme="minorHAnsi"/>
                <w:sz w:val="20"/>
                <w:szCs w:val="20"/>
              </w:rPr>
              <w:t>DATA</w:t>
            </w:r>
          </w:p>
        </w:tc>
        <w:tc>
          <w:tcPr>
            <w:tcW w:w="1954" w:type="pct"/>
            <w:tcBorders>
              <w:top w:val="single" w:sz="12" w:space="0" w:color="auto"/>
              <w:left w:val="nil"/>
              <w:bottom w:val="single" w:sz="12" w:space="0" w:color="auto"/>
            </w:tcBorders>
            <w:shd w:val="clear" w:color="auto" w:fill="F2DBDB" w:themeFill="accent2" w:themeFillTint="33"/>
            <w:noWrap/>
            <w:vAlign w:val="bottom"/>
            <w:hideMark/>
          </w:tcPr>
          <w:p w:rsidR="00BB64DB" w:rsidRPr="00EB2612" w:rsidRDefault="00BB64DB" w:rsidP="00E0238B">
            <w:pPr>
              <w:pStyle w:val="Box"/>
              <w:spacing w:line="240" w:lineRule="auto"/>
              <w:rPr>
                <w:rFonts w:asciiTheme="minorHAnsi" w:hAnsiTheme="minorHAnsi"/>
                <w:sz w:val="20"/>
                <w:szCs w:val="20"/>
              </w:rPr>
            </w:pPr>
            <w:r w:rsidRPr="00EB2612">
              <w:rPr>
                <w:rFonts w:asciiTheme="minorHAnsi" w:hAnsiTheme="minorHAnsi"/>
                <w:sz w:val="20"/>
                <w:szCs w:val="20"/>
              </w:rPr>
              <w:t>UKAZATEL</w:t>
            </w:r>
          </w:p>
        </w:tc>
        <w:tc>
          <w:tcPr>
            <w:tcW w:w="2060" w:type="pct"/>
            <w:tcBorders>
              <w:top w:val="single" w:sz="12" w:space="0" w:color="auto"/>
              <w:left w:val="nil"/>
              <w:bottom w:val="single" w:sz="12" w:space="0" w:color="auto"/>
            </w:tcBorders>
            <w:shd w:val="clear" w:color="auto" w:fill="F2DBDB" w:themeFill="accent2" w:themeFillTint="33"/>
            <w:vAlign w:val="bottom"/>
            <w:hideMark/>
          </w:tcPr>
          <w:p w:rsidR="00BB64DB" w:rsidRPr="00EB2612" w:rsidRDefault="00BB64DB" w:rsidP="00E0238B">
            <w:pPr>
              <w:pStyle w:val="Box"/>
              <w:spacing w:line="240" w:lineRule="auto"/>
              <w:rPr>
                <w:rFonts w:asciiTheme="minorHAnsi" w:hAnsiTheme="minorHAnsi"/>
                <w:sz w:val="20"/>
                <w:szCs w:val="20"/>
              </w:rPr>
            </w:pPr>
            <w:r w:rsidRPr="00EB2612">
              <w:rPr>
                <w:rFonts w:asciiTheme="minorHAnsi" w:hAnsiTheme="minorHAnsi"/>
                <w:sz w:val="20"/>
                <w:szCs w:val="20"/>
              </w:rPr>
              <w:t>ZDROJ DAT</w:t>
            </w:r>
          </w:p>
        </w:tc>
      </w:tr>
      <w:tr w:rsidR="00BB64DB" w:rsidRPr="00EB2612" w:rsidTr="001E554C">
        <w:trPr>
          <w:trHeight w:val="227"/>
        </w:trPr>
        <w:tc>
          <w:tcPr>
            <w:tcW w:w="986" w:type="pct"/>
            <w:vMerge w:val="restart"/>
            <w:tcBorders>
              <w:top w:val="single" w:sz="12" w:space="0" w:color="auto"/>
              <w:left w:val="nil"/>
              <w:bottom w:val="single" w:sz="8" w:space="0" w:color="000000"/>
            </w:tcBorders>
            <w:shd w:val="clear" w:color="auto" w:fill="auto"/>
            <w:vAlign w:val="center"/>
            <w:hideMark/>
          </w:tcPr>
          <w:p w:rsidR="00BB64DB" w:rsidRPr="00EB2612" w:rsidRDefault="00BB64DB" w:rsidP="00E0238B">
            <w:pPr>
              <w:spacing w:before="40" w:after="40" w:line="240" w:lineRule="auto"/>
              <w:rPr>
                <w:rFonts w:asciiTheme="minorHAnsi" w:hAnsiTheme="minorHAnsi" w:cs="Arial"/>
                <w:szCs w:val="20"/>
              </w:rPr>
            </w:pPr>
            <w:r w:rsidRPr="00EB2612">
              <w:rPr>
                <w:rFonts w:asciiTheme="minorHAnsi" w:hAnsiTheme="minorHAnsi" w:cs="Arial"/>
                <w:szCs w:val="20"/>
              </w:rPr>
              <w:t>HLAVNÍ ZDROJE DAT</w:t>
            </w:r>
          </w:p>
        </w:tc>
        <w:tc>
          <w:tcPr>
            <w:tcW w:w="1954" w:type="pct"/>
            <w:tcBorders>
              <w:top w:val="single" w:sz="12" w:space="0" w:color="auto"/>
              <w:left w:val="nil"/>
              <w:bottom w:val="single" w:sz="4" w:space="0" w:color="auto"/>
            </w:tcBorders>
            <w:shd w:val="clear" w:color="auto" w:fill="auto"/>
            <w:noWrap/>
            <w:vAlign w:val="center"/>
            <w:hideMark/>
          </w:tcPr>
          <w:p w:rsidR="00BB64DB" w:rsidRPr="00EB2612" w:rsidRDefault="00B9096F" w:rsidP="001E554C">
            <w:pPr>
              <w:spacing w:before="30" w:after="30" w:line="240" w:lineRule="auto"/>
              <w:jc w:val="left"/>
              <w:rPr>
                <w:rFonts w:asciiTheme="minorHAnsi" w:hAnsiTheme="minorHAnsi" w:cs="Arial"/>
                <w:szCs w:val="20"/>
              </w:rPr>
            </w:pPr>
            <w:r w:rsidRPr="00EB2612">
              <w:rPr>
                <w:rFonts w:asciiTheme="minorHAnsi" w:hAnsiTheme="minorHAnsi" w:cs="Arial"/>
                <w:szCs w:val="20"/>
              </w:rPr>
              <w:t>příjmy, (přepočtený) počet zaměstnanců</w:t>
            </w:r>
          </w:p>
        </w:tc>
        <w:tc>
          <w:tcPr>
            <w:tcW w:w="2060" w:type="pct"/>
            <w:tcBorders>
              <w:top w:val="single" w:sz="12" w:space="0" w:color="auto"/>
              <w:left w:val="nil"/>
              <w:bottom w:val="single" w:sz="4" w:space="0" w:color="auto"/>
            </w:tcBorders>
            <w:shd w:val="clear" w:color="auto" w:fill="auto"/>
            <w:vAlign w:val="center"/>
            <w:hideMark/>
          </w:tcPr>
          <w:p w:rsidR="00B9096F" w:rsidRPr="00EB2612" w:rsidRDefault="00B9096F"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Podniková strukturální statistika, ČSÚ</w:t>
            </w:r>
          </w:p>
          <w:p w:rsidR="00BB64DB" w:rsidRPr="00EB2612" w:rsidRDefault="00B9096F"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Statistika neziskových organizací, ČSÚ</w:t>
            </w:r>
          </w:p>
        </w:tc>
      </w:tr>
      <w:tr w:rsidR="00BB64DB" w:rsidRPr="00EB2612" w:rsidTr="002D06A3">
        <w:trPr>
          <w:trHeight w:val="227"/>
        </w:trPr>
        <w:tc>
          <w:tcPr>
            <w:tcW w:w="986" w:type="pct"/>
            <w:vMerge/>
            <w:tcBorders>
              <w:top w:val="nil"/>
              <w:left w:val="nil"/>
              <w:bottom w:val="single" w:sz="8" w:space="0" w:color="000000"/>
            </w:tcBorders>
            <w:vAlign w:val="center"/>
            <w:hideMark/>
          </w:tcPr>
          <w:p w:rsidR="00BB64DB" w:rsidRPr="00EB2612" w:rsidRDefault="00BB64DB" w:rsidP="00E0238B">
            <w:pPr>
              <w:spacing w:before="40" w:after="40" w:line="240" w:lineRule="auto"/>
              <w:rPr>
                <w:rFonts w:asciiTheme="minorHAnsi" w:hAnsiTheme="minorHAnsi" w:cs="Arial"/>
                <w:szCs w:val="20"/>
              </w:rPr>
            </w:pPr>
          </w:p>
        </w:tc>
        <w:tc>
          <w:tcPr>
            <w:tcW w:w="1954" w:type="pct"/>
            <w:tcBorders>
              <w:top w:val="single" w:sz="4" w:space="0" w:color="auto"/>
              <w:left w:val="nil"/>
              <w:bottom w:val="single" w:sz="4" w:space="0" w:color="auto"/>
            </w:tcBorders>
            <w:shd w:val="clear" w:color="auto" w:fill="auto"/>
            <w:noWrap/>
            <w:hideMark/>
          </w:tcPr>
          <w:p w:rsidR="00BB64DB" w:rsidRPr="00EB2612" w:rsidRDefault="00B9096F"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spotřebitelské výdaje (domácnosti)</w:t>
            </w:r>
          </w:p>
        </w:tc>
        <w:tc>
          <w:tcPr>
            <w:tcW w:w="2060" w:type="pct"/>
            <w:tcBorders>
              <w:top w:val="single" w:sz="4" w:space="0" w:color="auto"/>
              <w:left w:val="nil"/>
              <w:bottom w:val="single" w:sz="4" w:space="0" w:color="auto"/>
            </w:tcBorders>
            <w:shd w:val="clear" w:color="auto" w:fill="auto"/>
            <w:vAlign w:val="center"/>
            <w:hideMark/>
          </w:tcPr>
          <w:p w:rsidR="004E419B" w:rsidRPr="00EB2612" w:rsidRDefault="00B9096F"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Národní účty, ČSÚ</w:t>
            </w:r>
          </w:p>
        </w:tc>
      </w:tr>
      <w:tr w:rsidR="00BB64DB" w:rsidRPr="00EB2612" w:rsidTr="001E554C">
        <w:trPr>
          <w:trHeight w:val="324"/>
        </w:trPr>
        <w:tc>
          <w:tcPr>
            <w:tcW w:w="986" w:type="pct"/>
            <w:vMerge/>
            <w:tcBorders>
              <w:top w:val="nil"/>
              <w:left w:val="nil"/>
              <w:bottom w:val="single" w:sz="8" w:space="0" w:color="000000"/>
            </w:tcBorders>
            <w:vAlign w:val="center"/>
            <w:hideMark/>
          </w:tcPr>
          <w:p w:rsidR="00BB64DB" w:rsidRPr="00EB2612" w:rsidRDefault="00BB64DB" w:rsidP="00E0238B">
            <w:pPr>
              <w:spacing w:before="40" w:after="40" w:line="240" w:lineRule="auto"/>
              <w:rPr>
                <w:rFonts w:asciiTheme="minorHAnsi" w:hAnsiTheme="minorHAnsi" w:cs="Arial"/>
                <w:szCs w:val="20"/>
              </w:rPr>
            </w:pPr>
          </w:p>
        </w:tc>
        <w:tc>
          <w:tcPr>
            <w:tcW w:w="1954" w:type="pct"/>
            <w:vMerge w:val="restart"/>
            <w:tcBorders>
              <w:top w:val="single" w:sz="4" w:space="0" w:color="auto"/>
              <w:left w:val="nil"/>
              <w:bottom w:val="single" w:sz="8" w:space="0" w:color="000000"/>
            </w:tcBorders>
            <w:shd w:val="clear" w:color="auto" w:fill="auto"/>
            <w:noWrap/>
            <w:vAlign w:val="center"/>
            <w:hideMark/>
          </w:tcPr>
          <w:p w:rsidR="00BB64DB" w:rsidRPr="00EB2612" w:rsidRDefault="00CB5E1F" w:rsidP="001E554C">
            <w:pPr>
              <w:spacing w:before="30" w:after="30" w:line="240" w:lineRule="auto"/>
              <w:jc w:val="left"/>
              <w:rPr>
                <w:rFonts w:asciiTheme="minorHAnsi" w:hAnsiTheme="minorHAnsi" w:cs="Arial"/>
                <w:szCs w:val="20"/>
              </w:rPr>
            </w:pPr>
            <w:r w:rsidRPr="00EB2612">
              <w:rPr>
                <w:rFonts w:asciiTheme="minorHAnsi" w:hAnsiTheme="minorHAnsi" w:cs="Arial"/>
                <w:szCs w:val="20"/>
              </w:rPr>
              <w:t>k</w:t>
            </w:r>
            <w:r w:rsidR="00BB64DB" w:rsidRPr="00EB2612">
              <w:rPr>
                <w:rFonts w:asciiTheme="minorHAnsi" w:hAnsiTheme="minorHAnsi" w:cs="Arial"/>
                <w:szCs w:val="20"/>
              </w:rPr>
              <w:t>ulturní participace</w:t>
            </w:r>
          </w:p>
        </w:tc>
        <w:tc>
          <w:tcPr>
            <w:tcW w:w="2060" w:type="pct"/>
            <w:vMerge w:val="restart"/>
            <w:tcBorders>
              <w:top w:val="single" w:sz="4" w:space="0" w:color="auto"/>
              <w:left w:val="nil"/>
              <w:bottom w:val="single" w:sz="8" w:space="0" w:color="000000"/>
            </w:tcBorders>
            <w:shd w:val="clear" w:color="auto" w:fill="auto"/>
            <w:vAlign w:val="center"/>
            <w:hideMark/>
          </w:tcPr>
          <w:p w:rsidR="00BB64DB" w:rsidRPr="00EB2612" w:rsidRDefault="00BB64DB"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Výběrové šetření o informačních a komunikačních technologiích v domácnostech a mezi jednotlivci, ČSÚ</w:t>
            </w:r>
          </w:p>
          <w:p w:rsidR="005719E1" w:rsidRPr="00EB2612" w:rsidRDefault="005719E1"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Životní podmínky ČR, ČSÚ</w:t>
            </w:r>
          </w:p>
          <w:p w:rsidR="002C1C2C" w:rsidRPr="00EB2612" w:rsidRDefault="002C1C2C"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Vzdělávání dospělých v</w:t>
            </w:r>
            <w:r w:rsidR="001E554C">
              <w:rPr>
                <w:rFonts w:asciiTheme="minorHAnsi" w:hAnsiTheme="minorHAnsi" w:cs="Arial"/>
                <w:szCs w:val="20"/>
              </w:rPr>
              <w:t> </w:t>
            </w:r>
            <w:r w:rsidRPr="00EB2612">
              <w:rPr>
                <w:rFonts w:asciiTheme="minorHAnsi" w:hAnsiTheme="minorHAnsi" w:cs="Arial"/>
                <w:szCs w:val="20"/>
              </w:rPr>
              <w:t>ČR</w:t>
            </w:r>
            <w:r w:rsidR="001E554C">
              <w:rPr>
                <w:rFonts w:asciiTheme="minorHAnsi" w:hAnsiTheme="minorHAnsi" w:cs="Arial"/>
                <w:szCs w:val="20"/>
              </w:rPr>
              <w:t>, ČSÚ</w:t>
            </w:r>
          </w:p>
        </w:tc>
      </w:tr>
      <w:tr w:rsidR="00BB64DB" w:rsidRPr="00EB2612" w:rsidTr="00E0238B">
        <w:trPr>
          <w:trHeight w:val="324"/>
        </w:trPr>
        <w:tc>
          <w:tcPr>
            <w:tcW w:w="986" w:type="pct"/>
            <w:vMerge/>
            <w:tcBorders>
              <w:top w:val="nil"/>
              <w:left w:val="nil"/>
              <w:bottom w:val="single" w:sz="8" w:space="0" w:color="auto"/>
            </w:tcBorders>
            <w:vAlign w:val="center"/>
            <w:hideMark/>
          </w:tcPr>
          <w:p w:rsidR="00BB64DB" w:rsidRPr="00EB2612" w:rsidRDefault="00BB64DB" w:rsidP="00E0238B">
            <w:pPr>
              <w:spacing w:before="40" w:after="40" w:line="240" w:lineRule="auto"/>
              <w:rPr>
                <w:rFonts w:asciiTheme="minorHAnsi" w:hAnsiTheme="minorHAnsi" w:cs="Arial"/>
                <w:szCs w:val="20"/>
              </w:rPr>
            </w:pPr>
          </w:p>
        </w:tc>
        <w:tc>
          <w:tcPr>
            <w:tcW w:w="1954" w:type="pct"/>
            <w:vMerge/>
            <w:tcBorders>
              <w:top w:val="nil"/>
              <w:left w:val="nil"/>
              <w:bottom w:val="single" w:sz="8" w:space="0" w:color="auto"/>
            </w:tcBorders>
            <w:vAlign w:val="center"/>
            <w:hideMark/>
          </w:tcPr>
          <w:p w:rsidR="00BB64DB" w:rsidRPr="00EB2612" w:rsidRDefault="00BB64DB" w:rsidP="00E0238B">
            <w:pPr>
              <w:spacing w:before="30" w:after="30" w:line="240" w:lineRule="auto"/>
              <w:jc w:val="left"/>
              <w:rPr>
                <w:rFonts w:asciiTheme="minorHAnsi" w:hAnsiTheme="minorHAnsi" w:cs="Arial"/>
                <w:szCs w:val="20"/>
              </w:rPr>
            </w:pPr>
          </w:p>
        </w:tc>
        <w:tc>
          <w:tcPr>
            <w:tcW w:w="2060" w:type="pct"/>
            <w:vMerge/>
            <w:tcBorders>
              <w:top w:val="nil"/>
              <w:left w:val="nil"/>
              <w:bottom w:val="single" w:sz="8" w:space="0" w:color="auto"/>
            </w:tcBorders>
            <w:vAlign w:val="center"/>
            <w:hideMark/>
          </w:tcPr>
          <w:p w:rsidR="00BB64DB" w:rsidRPr="00EB2612" w:rsidRDefault="00BB64DB" w:rsidP="00E0238B">
            <w:pPr>
              <w:spacing w:before="30" w:after="30" w:line="240" w:lineRule="auto"/>
              <w:jc w:val="left"/>
              <w:rPr>
                <w:rFonts w:asciiTheme="minorHAnsi" w:hAnsiTheme="minorHAnsi" w:cs="Arial"/>
                <w:szCs w:val="20"/>
              </w:rPr>
            </w:pPr>
          </w:p>
        </w:tc>
      </w:tr>
      <w:tr w:rsidR="00BB64DB" w:rsidRPr="00EB2612" w:rsidTr="00E0238B">
        <w:trPr>
          <w:trHeight w:val="227"/>
        </w:trPr>
        <w:tc>
          <w:tcPr>
            <w:tcW w:w="986" w:type="pct"/>
            <w:tcBorders>
              <w:top w:val="single" w:sz="8" w:space="0" w:color="auto"/>
              <w:left w:val="nil"/>
              <w:bottom w:val="single" w:sz="8" w:space="0" w:color="auto"/>
            </w:tcBorders>
            <w:shd w:val="clear" w:color="auto" w:fill="auto"/>
            <w:vAlign w:val="center"/>
            <w:hideMark/>
          </w:tcPr>
          <w:p w:rsidR="00BB64DB" w:rsidRPr="00EB2612" w:rsidRDefault="00BB64DB" w:rsidP="00E0238B">
            <w:pPr>
              <w:spacing w:before="40" w:after="40" w:line="240" w:lineRule="auto"/>
              <w:jc w:val="left"/>
              <w:rPr>
                <w:rFonts w:asciiTheme="minorHAnsi" w:hAnsiTheme="minorHAnsi" w:cs="Arial"/>
                <w:szCs w:val="20"/>
              </w:rPr>
            </w:pPr>
            <w:r w:rsidRPr="00EB2612">
              <w:rPr>
                <w:rFonts w:asciiTheme="minorHAnsi" w:hAnsiTheme="minorHAnsi" w:cs="Arial"/>
                <w:szCs w:val="20"/>
              </w:rPr>
              <w:t>DOPLŇUJÍCÍ ZDROJE DAT</w:t>
            </w:r>
          </w:p>
        </w:tc>
        <w:tc>
          <w:tcPr>
            <w:tcW w:w="1954" w:type="pct"/>
            <w:tcBorders>
              <w:top w:val="single" w:sz="8" w:space="0" w:color="auto"/>
              <w:left w:val="nil"/>
              <w:bottom w:val="single" w:sz="8" w:space="0" w:color="auto"/>
            </w:tcBorders>
            <w:shd w:val="clear" w:color="auto" w:fill="auto"/>
            <w:noWrap/>
            <w:vAlign w:val="center"/>
            <w:hideMark/>
          </w:tcPr>
          <w:p w:rsidR="00BB64DB" w:rsidRPr="00EB2612" w:rsidRDefault="00CB5E1F"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p</w:t>
            </w:r>
            <w:r w:rsidR="00BB64DB" w:rsidRPr="00EB2612">
              <w:rPr>
                <w:rFonts w:asciiTheme="minorHAnsi" w:hAnsiTheme="minorHAnsi" w:cs="Arial"/>
                <w:szCs w:val="20"/>
              </w:rPr>
              <w:t>říjmy,</w:t>
            </w:r>
            <w:r w:rsidR="007A39D9" w:rsidRPr="00EB2612">
              <w:rPr>
                <w:rFonts w:asciiTheme="minorHAnsi" w:hAnsiTheme="minorHAnsi" w:cs="Arial"/>
                <w:szCs w:val="20"/>
              </w:rPr>
              <w:t xml:space="preserve"> </w:t>
            </w:r>
            <w:r w:rsidR="00BB64DB" w:rsidRPr="00EB2612">
              <w:rPr>
                <w:rFonts w:asciiTheme="minorHAnsi" w:hAnsiTheme="minorHAnsi" w:cs="Arial"/>
                <w:szCs w:val="20"/>
              </w:rPr>
              <w:t>(přepočtený) počet zaměstnanců</w:t>
            </w:r>
            <w:r w:rsidR="008F2642" w:rsidRPr="00EB2612">
              <w:rPr>
                <w:rFonts w:asciiTheme="minorHAnsi" w:hAnsiTheme="minorHAnsi" w:cs="Arial"/>
                <w:szCs w:val="20"/>
              </w:rPr>
              <w:t>, naturální ukazatele</w:t>
            </w:r>
          </w:p>
        </w:tc>
        <w:tc>
          <w:tcPr>
            <w:tcW w:w="2060" w:type="pct"/>
            <w:tcBorders>
              <w:top w:val="single" w:sz="8" w:space="0" w:color="auto"/>
              <w:left w:val="nil"/>
              <w:bottom w:val="single" w:sz="8" w:space="0" w:color="auto"/>
            </w:tcBorders>
            <w:shd w:val="clear" w:color="auto" w:fill="auto"/>
            <w:noWrap/>
            <w:vAlign w:val="center"/>
            <w:hideMark/>
          </w:tcPr>
          <w:p w:rsidR="004C7C28" w:rsidRPr="00EB2612" w:rsidRDefault="004C7C28"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 xml:space="preserve">Informační systém o průměrném výdělku, MPSV </w:t>
            </w:r>
          </w:p>
          <w:p w:rsidR="004C7C28" w:rsidRPr="00EB2612" w:rsidRDefault="004C7C28"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 xml:space="preserve">Výkazy Kult, NIPOS, ČSÚ </w:t>
            </w:r>
          </w:p>
          <w:p w:rsidR="005719E1" w:rsidRPr="00EB2612" w:rsidRDefault="004C7C28"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Výběrové šetření pracovních sil, ČSÚ</w:t>
            </w:r>
          </w:p>
        </w:tc>
      </w:tr>
      <w:tr w:rsidR="002D06A3" w:rsidRPr="00EB2612" w:rsidTr="002D06A3">
        <w:trPr>
          <w:trHeight w:val="227"/>
        </w:trPr>
        <w:tc>
          <w:tcPr>
            <w:tcW w:w="986" w:type="pct"/>
            <w:vMerge w:val="restart"/>
            <w:tcBorders>
              <w:top w:val="single" w:sz="8" w:space="0" w:color="auto"/>
              <w:left w:val="nil"/>
            </w:tcBorders>
            <w:vAlign w:val="center"/>
            <w:hideMark/>
          </w:tcPr>
          <w:p w:rsidR="002D06A3" w:rsidRPr="00EB2612" w:rsidRDefault="002D06A3" w:rsidP="00E0238B">
            <w:pPr>
              <w:spacing w:before="40" w:after="40" w:line="240" w:lineRule="auto"/>
              <w:jc w:val="left"/>
              <w:rPr>
                <w:rFonts w:asciiTheme="minorHAnsi" w:hAnsiTheme="minorHAnsi" w:cs="Arial"/>
                <w:szCs w:val="20"/>
              </w:rPr>
            </w:pPr>
            <w:r w:rsidRPr="00EB2612">
              <w:rPr>
                <w:rFonts w:asciiTheme="minorHAnsi" w:hAnsiTheme="minorHAnsi" w:cs="Arial"/>
                <w:szCs w:val="20"/>
              </w:rPr>
              <w:t>HLAVNÍ PROFESNÍ A OBOROVÉ ORGANIZACE</w:t>
            </w:r>
          </w:p>
        </w:tc>
        <w:tc>
          <w:tcPr>
            <w:tcW w:w="1954" w:type="pct"/>
            <w:vMerge w:val="restart"/>
            <w:tcBorders>
              <w:top w:val="single" w:sz="8" w:space="0" w:color="auto"/>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struktura trhu, příjmy, naturální ukazatele</w:t>
            </w:r>
          </w:p>
        </w:tc>
        <w:tc>
          <w:tcPr>
            <w:tcW w:w="2060" w:type="pct"/>
            <w:tcBorders>
              <w:top w:val="single" w:sz="8" w:space="0" w:color="auto"/>
              <w:left w:val="nil"/>
            </w:tcBorders>
            <w:shd w:val="clear" w:color="auto" w:fill="auto"/>
            <w:noWrap/>
            <w:vAlign w:val="center"/>
            <w:hideMark/>
          </w:tcPr>
          <w:p w:rsidR="001E554C" w:rsidRDefault="001E554C" w:rsidP="00E0238B">
            <w:pPr>
              <w:spacing w:before="30" w:after="30" w:line="240" w:lineRule="auto"/>
              <w:jc w:val="left"/>
              <w:rPr>
                <w:rFonts w:asciiTheme="minorHAnsi" w:hAnsiTheme="minorHAnsi" w:cs="Arial"/>
                <w:szCs w:val="20"/>
              </w:rPr>
            </w:pPr>
            <w:r w:rsidRPr="00211A50">
              <w:rPr>
                <w:rFonts w:asciiTheme="minorHAnsi" w:hAnsiTheme="minorHAnsi" w:cs="Arial"/>
                <w:szCs w:val="20"/>
              </w:rPr>
              <w:t>Asociace českých herních vývojářů</w:t>
            </w:r>
          </w:p>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Asociace producentů v audiovizi</w:t>
            </w:r>
          </w:p>
        </w:tc>
      </w:tr>
      <w:tr w:rsidR="002D06A3" w:rsidRPr="00EB2612" w:rsidTr="002D06A3">
        <w:trPr>
          <w:trHeight w:val="227"/>
        </w:trPr>
        <w:tc>
          <w:tcPr>
            <w:tcW w:w="986" w:type="pct"/>
            <w:vMerge/>
            <w:tcBorders>
              <w:left w:val="nil"/>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Asociace televizních organizací</w:t>
            </w:r>
          </w:p>
        </w:tc>
      </w:tr>
      <w:tr w:rsidR="002D06A3" w:rsidRPr="00EB2612" w:rsidTr="002D06A3">
        <w:trPr>
          <w:trHeight w:val="227"/>
        </w:trPr>
        <w:tc>
          <w:tcPr>
            <w:tcW w:w="986" w:type="pct"/>
            <w:vMerge/>
            <w:tcBorders>
              <w:left w:val="nil"/>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2D06A3" w:rsidRPr="00EB2612" w:rsidRDefault="002D06A3" w:rsidP="00EB34FD">
            <w:pPr>
              <w:spacing w:before="30" w:after="30" w:line="240" w:lineRule="auto"/>
              <w:jc w:val="left"/>
              <w:rPr>
                <w:rFonts w:asciiTheme="minorHAnsi" w:hAnsiTheme="minorHAnsi" w:cs="Arial"/>
                <w:szCs w:val="20"/>
              </w:rPr>
            </w:pPr>
            <w:r w:rsidRPr="00EB2612">
              <w:rPr>
                <w:rFonts w:asciiTheme="minorHAnsi" w:hAnsiTheme="minorHAnsi" w:cs="Arial"/>
                <w:szCs w:val="20"/>
              </w:rPr>
              <w:t>Česká národní skupina – Mezinárodní federace hudebního průmyslu</w:t>
            </w:r>
          </w:p>
        </w:tc>
      </w:tr>
      <w:tr w:rsidR="002D06A3" w:rsidRPr="00EB2612" w:rsidTr="002D06A3">
        <w:trPr>
          <w:trHeight w:val="227"/>
        </w:trPr>
        <w:tc>
          <w:tcPr>
            <w:tcW w:w="986" w:type="pct"/>
            <w:vMerge/>
            <w:tcBorders>
              <w:left w:val="nil"/>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2D06A3" w:rsidRPr="00EB2612" w:rsidRDefault="001E554C"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Rada pro rozhlasové a televizní vysílání</w:t>
            </w:r>
          </w:p>
        </w:tc>
      </w:tr>
      <w:tr w:rsidR="002D06A3" w:rsidRPr="00EB2612" w:rsidTr="002D06A3">
        <w:trPr>
          <w:trHeight w:val="227"/>
        </w:trPr>
        <w:tc>
          <w:tcPr>
            <w:tcW w:w="986" w:type="pct"/>
            <w:vMerge/>
            <w:tcBorders>
              <w:left w:val="nil"/>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2D06A3" w:rsidRPr="00EB2612" w:rsidRDefault="001E554C" w:rsidP="00E0238B">
            <w:pPr>
              <w:spacing w:before="30" w:after="30" w:line="240" w:lineRule="auto"/>
              <w:jc w:val="left"/>
              <w:rPr>
                <w:rFonts w:asciiTheme="minorHAnsi" w:hAnsiTheme="minorHAnsi" w:cs="Arial"/>
                <w:szCs w:val="20"/>
              </w:rPr>
            </w:pPr>
            <w:r>
              <w:rPr>
                <w:rFonts w:asciiTheme="minorHAnsi" w:hAnsiTheme="minorHAnsi" w:cs="Arial"/>
                <w:szCs w:val="20"/>
              </w:rPr>
              <w:t>Státní fond kinematografie</w:t>
            </w:r>
          </w:p>
        </w:tc>
      </w:tr>
      <w:tr w:rsidR="002D06A3" w:rsidRPr="00EB2612" w:rsidTr="002D06A3">
        <w:trPr>
          <w:trHeight w:val="227"/>
        </w:trPr>
        <w:tc>
          <w:tcPr>
            <w:tcW w:w="986" w:type="pct"/>
            <w:vMerge/>
            <w:tcBorders>
              <w:left w:val="nil"/>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tcBorders>
            <w:shd w:val="clear" w:color="auto" w:fill="auto"/>
            <w:vAlign w:val="center"/>
            <w:hideMark/>
          </w:tcPr>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Svaz českých knihkupců a nakladatelů</w:t>
            </w:r>
          </w:p>
        </w:tc>
      </w:tr>
      <w:tr w:rsidR="002D06A3" w:rsidRPr="00EB2612" w:rsidTr="002D06A3">
        <w:trPr>
          <w:trHeight w:val="227"/>
        </w:trPr>
        <w:tc>
          <w:tcPr>
            <w:tcW w:w="986" w:type="pct"/>
            <w:vMerge/>
            <w:tcBorders>
              <w:left w:val="nil"/>
              <w:bottom w:val="single" w:sz="8" w:space="0" w:color="auto"/>
            </w:tcBorders>
            <w:vAlign w:val="center"/>
            <w:hideMark/>
          </w:tcPr>
          <w:p w:rsidR="002D06A3" w:rsidRPr="00EB2612" w:rsidRDefault="002D06A3" w:rsidP="00E0238B">
            <w:pPr>
              <w:spacing w:before="40" w:after="40" w:line="240" w:lineRule="auto"/>
              <w:rPr>
                <w:rFonts w:asciiTheme="minorHAnsi" w:hAnsiTheme="minorHAnsi" w:cs="Arial"/>
                <w:szCs w:val="20"/>
              </w:rPr>
            </w:pPr>
          </w:p>
        </w:tc>
        <w:tc>
          <w:tcPr>
            <w:tcW w:w="1954" w:type="pct"/>
            <w:vMerge/>
            <w:tcBorders>
              <w:left w:val="nil"/>
              <w:bottom w:val="single" w:sz="8" w:space="0" w:color="auto"/>
            </w:tcBorders>
            <w:vAlign w:val="center"/>
            <w:hideMark/>
          </w:tcPr>
          <w:p w:rsidR="002D06A3" w:rsidRPr="00EB2612" w:rsidRDefault="002D06A3" w:rsidP="00E0238B">
            <w:pPr>
              <w:spacing w:before="30" w:after="30" w:line="240" w:lineRule="auto"/>
              <w:jc w:val="left"/>
              <w:rPr>
                <w:rFonts w:asciiTheme="minorHAnsi" w:hAnsiTheme="minorHAnsi" w:cs="Arial"/>
                <w:szCs w:val="20"/>
              </w:rPr>
            </w:pPr>
          </w:p>
        </w:tc>
        <w:tc>
          <w:tcPr>
            <w:tcW w:w="2060" w:type="pct"/>
            <w:tcBorders>
              <w:left w:val="nil"/>
              <w:bottom w:val="single" w:sz="8" w:space="0" w:color="auto"/>
            </w:tcBorders>
            <w:shd w:val="clear" w:color="auto" w:fill="auto"/>
            <w:vAlign w:val="center"/>
            <w:hideMark/>
          </w:tcPr>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Unie filmových distributorů</w:t>
            </w:r>
          </w:p>
          <w:p w:rsidR="002D06A3" w:rsidRPr="00EB2612" w:rsidRDefault="002D06A3"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Unie vydavatelů</w:t>
            </w:r>
          </w:p>
        </w:tc>
      </w:tr>
      <w:tr w:rsidR="00C165FD" w:rsidRPr="00EB2612" w:rsidTr="00E0238B">
        <w:trPr>
          <w:trHeight w:val="227"/>
        </w:trPr>
        <w:tc>
          <w:tcPr>
            <w:tcW w:w="986" w:type="pct"/>
            <w:vMerge w:val="restart"/>
            <w:tcBorders>
              <w:top w:val="single" w:sz="8" w:space="0" w:color="auto"/>
              <w:left w:val="nil"/>
              <w:bottom w:val="nil"/>
              <w:right w:val="nil"/>
            </w:tcBorders>
            <w:shd w:val="clear" w:color="auto" w:fill="auto"/>
            <w:vAlign w:val="center"/>
            <w:hideMark/>
          </w:tcPr>
          <w:p w:rsidR="00C165FD" w:rsidRPr="00EB2612" w:rsidRDefault="00C165FD" w:rsidP="00E0238B">
            <w:pPr>
              <w:spacing w:before="40" w:after="40" w:line="240" w:lineRule="auto"/>
              <w:jc w:val="left"/>
              <w:rPr>
                <w:rFonts w:asciiTheme="minorHAnsi" w:hAnsiTheme="minorHAnsi" w:cs="Arial"/>
                <w:szCs w:val="20"/>
              </w:rPr>
            </w:pPr>
            <w:r w:rsidRPr="00EB2612">
              <w:rPr>
                <w:rFonts w:asciiTheme="minorHAnsi" w:hAnsiTheme="minorHAnsi" w:cs="Arial"/>
                <w:szCs w:val="20"/>
              </w:rPr>
              <w:t>VÝZKUMNÉ INSTITUCE A SOUKROMÉ SUBJEKTY</w:t>
            </w:r>
          </w:p>
        </w:tc>
        <w:tc>
          <w:tcPr>
            <w:tcW w:w="1954" w:type="pct"/>
            <w:vMerge w:val="restart"/>
            <w:tcBorders>
              <w:top w:val="single" w:sz="8" w:space="0" w:color="auto"/>
              <w:left w:val="nil"/>
              <w:bottom w:val="nil"/>
              <w:right w:val="nil"/>
            </w:tcBorders>
            <w:shd w:val="clear" w:color="auto" w:fill="auto"/>
            <w:noWrap/>
            <w:vAlign w:val="center"/>
            <w:hideMark/>
          </w:tcPr>
          <w:p w:rsidR="00C165FD" w:rsidRPr="00EB2612" w:rsidRDefault="00C165FD" w:rsidP="00E0238B">
            <w:pPr>
              <w:spacing w:before="30" w:after="30" w:line="240" w:lineRule="auto"/>
              <w:jc w:val="left"/>
              <w:rPr>
                <w:rFonts w:asciiTheme="minorHAnsi" w:hAnsiTheme="minorHAnsi" w:cs="Arial"/>
                <w:szCs w:val="20"/>
              </w:rPr>
            </w:pPr>
            <w:r w:rsidRPr="00EB2612">
              <w:rPr>
                <w:rFonts w:asciiTheme="minorHAnsi" w:hAnsiTheme="minorHAnsi" w:cs="Arial"/>
                <w:szCs w:val="20"/>
              </w:rPr>
              <w:t>kulturní participace</w:t>
            </w:r>
          </w:p>
        </w:tc>
        <w:tc>
          <w:tcPr>
            <w:tcW w:w="2060" w:type="pct"/>
            <w:tcBorders>
              <w:top w:val="single" w:sz="8" w:space="0" w:color="auto"/>
              <w:left w:val="nil"/>
              <w:bottom w:val="nil"/>
              <w:right w:val="nil"/>
            </w:tcBorders>
            <w:shd w:val="clear" w:color="auto" w:fill="auto"/>
            <w:noWrap/>
            <w:vAlign w:val="center"/>
            <w:hideMark/>
          </w:tcPr>
          <w:p w:rsidR="00C165FD" w:rsidRPr="00EB2612" w:rsidRDefault="00C165FD" w:rsidP="00FC208C">
            <w:pPr>
              <w:spacing w:before="30" w:after="30" w:line="240" w:lineRule="auto"/>
              <w:jc w:val="left"/>
              <w:rPr>
                <w:rFonts w:asciiTheme="minorHAnsi" w:hAnsiTheme="minorHAnsi" w:cs="Arial"/>
                <w:szCs w:val="20"/>
              </w:rPr>
            </w:pPr>
            <w:r w:rsidRPr="00EB2612">
              <w:rPr>
                <w:rFonts w:asciiTheme="minorHAnsi" w:hAnsiTheme="minorHAnsi" w:cs="Arial"/>
                <w:szCs w:val="20"/>
              </w:rPr>
              <w:t>Median, s.r.o.</w:t>
            </w:r>
          </w:p>
        </w:tc>
      </w:tr>
      <w:tr w:rsidR="00C165FD" w:rsidRPr="00EB2612" w:rsidTr="00E0238B">
        <w:trPr>
          <w:trHeight w:val="227"/>
        </w:trPr>
        <w:tc>
          <w:tcPr>
            <w:tcW w:w="986" w:type="pct"/>
            <w:vMerge/>
            <w:tcBorders>
              <w:top w:val="nil"/>
              <w:left w:val="nil"/>
              <w:bottom w:val="nil"/>
              <w:right w:val="nil"/>
            </w:tcBorders>
            <w:vAlign w:val="center"/>
            <w:hideMark/>
          </w:tcPr>
          <w:p w:rsidR="00C165FD" w:rsidRPr="00EB2612" w:rsidRDefault="00C165FD"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C165FD" w:rsidRPr="00EB2612" w:rsidRDefault="00C165FD"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C165FD" w:rsidRPr="00EB2612" w:rsidRDefault="00211A50" w:rsidP="00FC208C">
            <w:pPr>
              <w:spacing w:before="30" w:after="30" w:line="240" w:lineRule="auto"/>
              <w:jc w:val="left"/>
              <w:rPr>
                <w:rFonts w:asciiTheme="minorHAnsi" w:hAnsiTheme="minorHAnsi" w:cs="Arial"/>
                <w:szCs w:val="20"/>
              </w:rPr>
            </w:pPr>
            <w:r w:rsidRPr="00211A50">
              <w:rPr>
                <w:rFonts w:asciiTheme="minorHAnsi" w:hAnsiTheme="minorHAnsi" w:cs="Arial"/>
                <w:szCs w:val="20"/>
              </w:rPr>
              <w:t>Nielsen Admosphere</w:t>
            </w:r>
          </w:p>
        </w:tc>
      </w:tr>
      <w:tr w:rsidR="00C165FD" w:rsidRPr="00EB2612" w:rsidTr="00E0238B">
        <w:trPr>
          <w:trHeight w:val="227"/>
        </w:trPr>
        <w:tc>
          <w:tcPr>
            <w:tcW w:w="986" w:type="pct"/>
            <w:vMerge/>
            <w:tcBorders>
              <w:top w:val="nil"/>
              <w:left w:val="nil"/>
              <w:bottom w:val="nil"/>
              <w:right w:val="nil"/>
            </w:tcBorders>
            <w:vAlign w:val="center"/>
            <w:hideMark/>
          </w:tcPr>
          <w:p w:rsidR="00C165FD" w:rsidRPr="00EB2612" w:rsidRDefault="00C165FD"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C165FD" w:rsidRPr="00EB2612" w:rsidRDefault="00C165FD"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C165FD" w:rsidRPr="00EB2612" w:rsidRDefault="00C165FD" w:rsidP="00FC208C">
            <w:pPr>
              <w:spacing w:before="30" w:after="30" w:line="240" w:lineRule="auto"/>
              <w:jc w:val="left"/>
              <w:rPr>
                <w:rFonts w:asciiTheme="minorHAnsi" w:hAnsiTheme="minorHAnsi" w:cs="Arial"/>
                <w:szCs w:val="20"/>
              </w:rPr>
            </w:pPr>
            <w:r w:rsidRPr="00EB2612">
              <w:rPr>
                <w:rFonts w:asciiTheme="minorHAnsi" w:hAnsiTheme="minorHAnsi" w:cs="Arial"/>
                <w:szCs w:val="20"/>
              </w:rPr>
              <w:t>PricewaterhouseCoopers</w:t>
            </w:r>
          </w:p>
        </w:tc>
      </w:tr>
      <w:tr w:rsidR="00C165FD" w:rsidRPr="00EB2612" w:rsidTr="00E0238B">
        <w:trPr>
          <w:trHeight w:val="227"/>
        </w:trPr>
        <w:tc>
          <w:tcPr>
            <w:tcW w:w="986" w:type="pct"/>
            <w:vMerge/>
            <w:tcBorders>
              <w:top w:val="nil"/>
              <w:left w:val="nil"/>
              <w:bottom w:val="nil"/>
              <w:right w:val="nil"/>
            </w:tcBorders>
            <w:vAlign w:val="center"/>
            <w:hideMark/>
          </w:tcPr>
          <w:p w:rsidR="00C165FD" w:rsidRPr="00EB2612" w:rsidRDefault="00C165FD" w:rsidP="00E0238B">
            <w:pPr>
              <w:spacing w:before="40" w:after="40" w:line="240" w:lineRule="auto"/>
              <w:rPr>
                <w:rFonts w:asciiTheme="minorHAnsi" w:hAnsiTheme="minorHAnsi" w:cs="Arial"/>
                <w:szCs w:val="20"/>
              </w:rPr>
            </w:pPr>
          </w:p>
        </w:tc>
        <w:tc>
          <w:tcPr>
            <w:tcW w:w="1954" w:type="pct"/>
            <w:vMerge/>
            <w:tcBorders>
              <w:top w:val="nil"/>
              <w:left w:val="nil"/>
              <w:bottom w:val="nil"/>
              <w:right w:val="nil"/>
            </w:tcBorders>
            <w:vAlign w:val="center"/>
            <w:hideMark/>
          </w:tcPr>
          <w:p w:rsidR="00C165FD" w:rsidRPr="00EB2612" w:rsidRDefault="00C165FD" w:rsidP="00E0238B">
            <w:pPr>
              <w:spacing w:before="30" w:after="30" w:line="240" w:lineRule="auto"/>
              <w:jc w:val="left"/>
              <w:rPr>
                <w:rFonts w:asciiTheme="minorHAnsi" w:hAnsiTheme="minorHAnsi" w:cs="Arial"/>
                <w:szCs w:val="20"/>
              </w:rPr>
            </w:pPr>
          </w:p>
        </w:tc>
        <w:tc>
          <w:tcPr>
            <w:tcW w:w="2060" w:type="pct"/>
            <w:tcBorders>
              <w:top w:val="nil"/>
              <w:left w:val="nil"/>
              <w:bottom w:val="nil"/>
              <w:right w:val="nil"/>
            </w:tcBorders>
            <w:shd w:val="clear" w:color="auto" w:fill="auto"/>
            <w:noWrap/>
            <w:vAlign w:val="center"/>
            <w:hideMark/>
          </w:tcPr>
          <w:p w:rsidR="00C165FD" w:rsidRPr="00EB2612" w:rsidRDefault="00C165FD" w:rsidP="00FC208C">
            <w:pPr>
              <w:spacing w:before="30" w:after="30" w:line="240" w:lineRule="auto"/>
              <w:jc w:val="left"/>
              <w:rPr>
                <w:rFonts w:asciiTheme="minorHAnsi" w:hAnsiTheme="minorHAnsi" w:cs="Arial"/>
                <w:szCs w:val="20"/>
              </w:rPr>
            </w:pPr>
            <w:r w:rsidRPr="00EB2612">
              <w:rPr>
                <w:rFonts w:asciiTheme="minorHAnsi" w:hAnsiTheme="minorHAnsi" w:cs="Arial"/>
                <w:szCs w:val="20"/>
              </w:rPr>
              <w:t>Reuters Institute</w:t>
            </w:r>
          </w:p>
        </w:tc>
      </w:tr>
      <w:tr w:rsidR="00C165FD" w:rsidRPr="00EB2612" w:rsidTr="00E0238B">
        <w:trPr>
          <w:trHeight w:val="227"/>
        </w:trPr>
        <w:tc>
          <w:tcPr>
            <w:tcW w:w="986" w:type="pct"/>
            <w:vMerge/>
            <w:tcBorders>
              <w:top w:val="nil"/>
              <w:left w:val="nil"/>
              <w:bottom w:val="single" w:sz="12" w:space="0" w:color="auto"/>
              <w:right w:val="nil"/>
            </w:tcBorders>
            <w:vAlign w:val="center"/>
            <w:hideMark/>
          </w:tcPr>
          <w:p w:rsidR="00C165FD" w:rsidRPr="00EB2612" w:rsidRDefault="00C165FD" w:rsidP="00E0238B">
            <w:pPr>
              <w:spacing w:before="40" w:after="40" w:line="240" w:lineRule="auto"/>
              <w:rPr>
                <w:rFonts w:asciiTheme="minorHAnsi" w:hAnsiTheme="minorHAnsi" w:cs="Arial"/>
                <w:szCs w:val="20"/>
              </w:rPr>
            </w:pPr>
          </w:p>
        </w:tc>
        <w:tc>
          <w:tcPr>
            <w:tcW w:w="1954" w:type="pct"/>
            <w:vMerge/>
            <w:tcBorders>
              <w:top w:val="nil"/>
              <w:left w:val="nil"/>
              <w:bottom w:val="single" w:sz="12" w:space="0" w:color="auto"/>
              <w:right w:val="nil"/>
            </w:tcBorders>
            <w:vAlign w:val="center"/>
            <w:hideMark/>
          </w:tcPr>
          <w:p w:rsidR="00C165FD" w:rsidRPr="00EB2612" w:rsidRDefault="00C165FD" w:rsidP="00E0238B">
            <w:pPr>
              <w:spacing w:before="30" w:after="30" w:line="240" w:lineRule="auto"/>
              <w:jc w:val="left"/>
              <w:rPr>
                <w:rFonts w:asciiTheme="minorHAnsi" w:hAnsiTheme="minorHAnsi" w:cs="Arial"/>
                <w:szCs w:val="20"/>
              </w:rPr>
            </w:pPr>
          </w:p>
        </w:tc>
        <w:tc>
          <w:tcPr>
            <w:tcW w:w="2060" w:type="pct"/>
            <w:tcBorders>
              <w:top w:val="nil"/>
              <w:left w:val="nil"/>
              <w:bottom w:val="single" w:sz="12" w:space="0" w:color="auto"/>
              <w:right w:val="nil"/>
            </w:tcBorders>
            <w:shd w:val="clear" w:color="auto" w:fill="auto"/>
            <w:noWrap/>
            <w:vAlign w:val="center"/>
            <w:hideMark/>
          </w:tcPr>
          <w:p w:rsidR="00C165FD" w:rsidRPr="00EB2612" w:rsidRDefault="00C165FD" w:rsidP="00FC208C">
            <w:pPr>
              <w:spacing w:before="30" w:after="30" w:line="240" w:lineRule="auto"/>
              <w:jc w:val="left"/>
              <w:rPr>
                <w:rFonts w:asciiTheme="minorHAnsi" w:hAnsiTheme="minorHAnsi" w:cs="Arial"/>
                <w:szCs w:val="20"/>
              </w:rPr>
            </w:pPr>
            <w:r w:rsidRPr="00EB2612">
              <w:rPr>
                <w:rFonts w:asciiTheme="minorHAnsi" w:hAnsiTheme="minorHAnsi" w:cs="Arial"/>
                <w:szCs w:val="20"/>
              </w:rPr>
              <w:t>STEM/MARK, a.s.</w:t>
            </w:r>
          </w:p>
          <w:p w:rsidR="00C165FD" w:rsidRPr="00EB2612" w:rsidRDefault="00C165FD" w:rsidP="00FC208C">
            <w:pPr>
              <w:spacing w:before="30" w:after="30" w:line="240" w:lineRule="auto"/>
              <w:jc w:val="left"/>
              <w:rPr>
                <w:rFonts w:asciiTheme="minorHAnsi" w:hAnsiTheme="minorHAnsi" w:cs="Arial"/>
                <w:szCs w:val="20"/>
              </w:rPr>
            </w:pPr>
            <w:r w:rsidRPr="00EB2612">
              <w:rPr>
                <w:rFonts w:asciiTheme="minorHAnsi" w:hAnsiTheme="minorHAnsi" w:cs="Arial"/>
                <w:szCs w:val="20"/>
              </w:rPr>
              <w:t>Ústav pro českou literaturu AV ČR</w:t>
            </w:r>
          </w:p>
        </w:tc>
      </w:tr>
    </w:tbl>
    <w:p w:rsidR="00C844DF" w:rsidRPr="00EB2612" w:rsidRDefault="00C844DF" w:rsidP="00410BEE">
      <w:bookmarkStart w:id="11" w:name="_Toc430189791"/>
      <w:bookmarkStart w:id="12" w:name="_Toc431474848"/>
      <w:bookmarkStart w:id="13" w:name="_Toc431475019"/>
    </w:p>
    <w:p w:rsidR="008E55E4" w:rsidRPr="00EB2612" w:rsidRDefault="008E55E4">
      <w:pPr>
        <w:spacing w:after="0" w:line="240" w:lineRule="auto"/>
        <w:jc w:val="left"/>
      </w:pPr>
      <w:r w:rsidRPr="00EB2612">
        <w:br w:type="page"/>
      </w:r>
    </w:p>
    <w:p w:rsidR="00BB64DB" w:rsidRPr="00EB2612" w:rsidRDefault="00515498" w:rsidP="00F33F97">
      <w:pPr>
        <w:pStyle w:val="Nadpis1"/>
        <w:numPr>
          <w:ilvl w:val="0"/>
          <w:numId w:val="17"/>
        </w:numPr>
      </w:pPr>
      <w:bookmarkStart w:id="14" w:name="_Toc55384421"/>
      <w:bookmarkEnd w:id="11"/>
      <w:bookmarkEnd w:id="12"/>
      <w:bookmarkEnd w:id="13"/>
      <w:r w:rsidRPr="00EB2612">
        <w:lastRenderedPageBreak/>
        <w:t>SPECIFIKA KULTURNÍCH PRŮMYSLŮ</w:t>
      </w:r>
      <w:bookmarkEnd w:id="14"/>
    </w:p>
    <w:p w:rsidR="00D82C76" w:rsidRPr="00EB2612" w:rsidRDefault="00215600" w:rsidP="006511DD">
      <w:r w:rsidRPr="00EB2612">
        <w:t>Tato publikace přináší statistickou analýzu kulturn</w:t>
      </w:r>
      <w:r w:rsidR="005F4FDA" w:rsidRPr="00EB2612">
        <w:t xml:space="preserve">ích průmyslů. </w:t>
      </w:r>
      <w:r w:rsidRPr="00EB2612">
        <w:t>Obsáhlejší studii</w:t>
      </w:r>
      <w:r w:rsidR="004D28F3" w:rsidRPr="00EB2612">
        <w:t>,</w:t>
      </w:r>
      <w:r w:rsidRPr="00EB2612">
        <w:t xml:space="preserve"> nabízející vedle podrobného teoretického vymezení kulturních průmyslů také silné a slabé stránky jednotlivých oblastí a</w:t>
      </w:r>
      <w:r w:rsidR="00F95D6D" w:rsidRPr="00EB2612">
        <w:t> </w:t>
      </w:r>
      <w:r w:rsidRPr="00EB2612">
        <w:t>návrhy</w:t>
      </w:r>
      <w:r w:rsidR="004D28F3" w:rsidRPr="00EB2612">
        <w:t xml:space="preserve"> na zlepšení stávající situace, vydal v roce 2015 Institut umění – Divadelní ústav. </w:t>
      </w:r>
      <w:r w:rsidR="005F4FDA" w:rsidRPr="00EB2612">
        <w:t>P</w:t>
      </w:r>
      <w:r w:rsidR="004D28F3" w:rsidRPr="00EB2612">
        <w:t>ublikace</w:t>
      </w:r>
      <w:r w:rsidR="005F4FDA" w:rsidRPr="00EB2612">
        <w:t xml:space="preserve"> </w:t>
      </w:r>
      <w:r w:rsidR="006D2601" w:rsidRPr="00EB2612">
        <w:t>nese název</w:t>
      </w:r>
      <w:r w:rsidR="005F4FDA" w:rsidRPr="00EB2612">
        <w:t xml:space="preserve"> </w:t>
      </w:r>
      <w:hyperlink r:id="rId12" w:history="1">
        <w:r w:rsidR="004D28F3" w:rsidRPr="00EB2612">
          <w:rPr>
            <w:rStyle w:val="Hypertextovodkaz"/>
          </w:rPr>
          <w:t>Mapování kulturních a kreativních průmyslů</w:t>
        </w:r>
      </w:hyperlink>
      <w:r w:rsidR="004D28F3" w:rsidRPr="00EB2612">
        <w:t xml:space="preserve"> </w:t>
      </w:r>
      <w:r w:rsidR="005F4FDA" w:rsidRPr="00EB2612">
        <w:t xml:space="preserve">a </w:t>
      </w:r>
      <w:r w:rsidR="004D28F3" w:rsidRPr="00EB2612">
        <w:t>je volně ke stažení.</w:t>
      </w:r>
      <w:r w:rsidR="00DD2C24" w:rsidRPr="00EB2612">
        <w:t xml:space="preserve"> Teoretickým aspektům kulturních průmyslů se věnuje také celá řada zahraničních studií a publikací.</w:t>
      </w:r>
      <w:r w:rsidR="004D28F3" w:rsidRPr="00EB2612">
        <w:t xml:space="preserve"> </w:t>
      </w:r>
      <w:r w:rsidR="00DD2C24" w:rsidRPr="00EB2612">
        <w:t xml:space="preserve">Přehledný materiál o zákonitostech kulturních průmyslů nabízí např. Ruth Towse v publikaci </w:t>
      </w:r>
      <w:r w:rsidR="00DD2C24" w:rsidRPr="00EB2612">
        <w:rPr>
          <w:i/>
        </w:rPr>
        <w:t xml:space="preserve">A </w:t>
      </w:r>
      <w:proofErr w:type="spellStart"/>
      <w:r w:rsidR="00DD2C24" w:rsidRPr="00EB2612">
        <w:rPr>
          <w:i/>
        </w:rPr>
        <w:t>Textbook</w:t>
      </w:r>
      <w:proofErr w:type="spellEnd"/>
      <w:r w:rsidR="00DD2C24" w:rsidRPr="00EB2612">
        <w:rPr>
          <w:i/>
        </w:rPr>
        <w:t xml:space="preserve"> </w:t>
      </w:r>
      <w:proofErr w:type="spellStart"/>
      <w:r w:rsidR="00DD2C24" w:rsidRPr="00EB2612">
        <w:rPr>
          <w:i/>
        </w:rPr>
        <w:t>of</w:t>
      </w:r>
      <w:proofErr w:type="spellEnd"/>
      <w:r w:rsidR="00DD2C24" w:rsidRPr="00EB2612">
        <w:rPr>
          <w:i/>
        </w:rPr>
        <w:t xml:space="preserve"> </w:t>
      </w:r>
      <w:proofErr w:type="spellStart"/>
      <w:r w:rsidR="00DD2C24" w:rsidRPr="00EB2612">
        <w:rPr>
          <w:i/>
        </w:rPr>
        <w:t>Cultural</w:t>
      </w:r>
      <w:proofErr w:type="spellEnd"/>
      <w:r w:rsidR="00DD2C24" w:rsidRPr="00EB2612">
        <w:rPr>
          <w:i/>
        </w:rPr>
        <w:t xml:space="preserve"> </w:t>
      </w:r>
      <w:proofErr w:type="spellStart"/>
      <w:r w:rsidR="00DD2C24" w:rsidRPr="00EB2612">
        <w:rPr>
          <w:i/>
        </w:rPr>
        <w:t>Economics</w:t>
      </w:r>
      <w:proofErr w:type="spellEnd"/>
      <w:r w:rsidR="005F4FDA" w:rsidRPr="00EB2612">
        <w:t xml:space="preserve"> vydané</w:t>
      </w:r>
      <w:r w:rsidR="00E32007">
        <w:t xml:space="preserve"> v</w:t>
      </w:r>
      <w:r w:rsidR="00F06DC6">
        <w:t> aktuální edici v roce 2019</w:t>
      </w:r>
      <w:r w:rsidR="00E32007">
        <w:t>.</w:t>
      </w:r>
    </w:p>
    <w:p w:rsidR="002F7B33" w:rsidRPr="00EB2612" w:rsidRDefault="00D82C76" w:rsidP="006511DD">
      <w:r w:rsidRPr="00EB2612">
        <w:tab/>
      </w:r>
      <w:r w:rsidR="005F4FDA" w:rsidRPr="00EB2612">
        <w:t>Důležitým tématem</w:t>
      </w:r>
      <w:r w:rsidRPr="00EB2612">
        <w:t xml:space="preserve"> spojeným s oblastí kulturních průmyslů je </w:t>
      </w:r>
      <w:r w:rsidR="005F4FDA" w:rsidRPr="00EB2612">
        <w:t>problematika</w:t>
      </w:r>
      <w:r w:rsidRPr="00EB2612">
        <w:t xml:space="preserve"> autorského práva a jeho správné aplikace. </w:t>
      </w:r>
      <w:r w:rsidR="006511DD" w:rsidRPr="00EB2612">
        <w:t xml:space="preserve">Teorie ekonomiky kultury vnímá specifický vztah mezi umělci (tvůrci) a komerčními subjekty, kteří umělecké dílo distribuují na trh. I přesto, že tyto komerční subjekty nevytvářejí žádný kreativní obsah, jsou v mnoha případech </w:t>
      </w:r>
      <w:r w:rsidR="005F4FDA" w:rsidRPr="00EB2612">
        <w:t xml:space="preserve">právě </w:t>
      </w:r>
      <w:r w:rsidR="006511DD" w:rsidRPr="00EB2612">
        <w:t>nositeli autorských práv na umělecká díla a bez jejich přispění nejsou samotní umělci často schopni na trhu obstát (Towse, 2010). Pro kulturní zboží je také charakteristický velmi nejistý úspěch na trhu. Ten záleží na názoru kritiky, aktuálním naladění publika a dalších faktorech a proto se dá předpovědět obtížněji než u více homogenních produktů a komodit (Caves, 2000). Každá oblast má však vedle těchto obecných rysů vlastní specifickou charakteristiku, která bude nastíněna v úvodu každé kapitoly.</w:t>
      </w:r>
    </w:p>
    <w:p w:rsidR="006A0EA1" w:rsidRPr="00EB2612" w:rsidRDefault="006A0EA1" w:rsidP="006A0EA1">
      <w:pPr>
        <w:pStyle w:val="Nadpis2"/>
        <w:numPr>
          <w:ilvl w:val="1"/>
          <w:numId w:val="17"/>
        </w:numPr>
        <w:rPr>
          <w:sz w:val="32"/>
          <w:szCs w:val="28"/>
        </w:rPr>
      </w:pPr>
      <w:bookmarkStart w:id="15" w:name="_Toc463969174"/>
      <w:bookmarkStart w:id="16" w:name="_Toc465253884"/>
      <w:bookmarkStart w:id="17" w:name="_Toc55384422"/>
      <w:r w:rsidRPr="00EB2612">
        <w:rPr>
          <w:sz w:val="32"/>
          <w:szCs w:val="28"/>
        </w:rPr>
        <w:t>EKONOMICKÉ ASPEKTY KULTURNÍCH PRŮMYSLŮ</w:t>
      </w:r>
      <w:bookmarkEnd w:id="15"/>
      <w:bookmarkEnd w:id="16"/>
      <w:bookmarkEnd w:id="17"/>
    </w:p>
    <w:p w:rsidR="00910452" w:rsidRPr="00EB2612" w:rsidRDefault="006A0EA1" w:rsidP="005E3C8A">
      <w:r w:rsidRPr="00EB2612">
        <w:t>Ekonomické aspekty</w:t>
      </w:r>
      <w:r w:rsidR="005E3C8A" w:rsidRPr="00EB2612">
        <w:t xml:space="preserve"> kulturních průmyslů je potřeba vnímat v kontextu celého kulturního odvětví. </w:t>
      </w:r>
      <w:r w:rsidR="00BB64DB" w:rsidRPr="00EB2612">
        <w:t>Oblasti</w:t>
      </w:r>
      <w:r w:rsidR="00F95D6D" w:rsidRPr="00EB2612">
        <w:t> </w:t>
      </w:r>
      <w:r w:rsidR="00BB64DB" w:rsidRPr="00EB2612">
        <w:t xml:space="preserve">spadající do </w:t>
      </w:r>
      <w:r w:rsidR="005E3C8A" w:rsidRPr="00EB2612">
        <w:t xml:space="preserve">kulturních </w:t>
      </w:r>
      <w:r w:rsidR="005E2679" w:rsidRPr="00EB2612">
        <w:t xml:space="preserve">a kreativních průmyslů </w:t>
      </w:r>
      <w:r w:rsidR="00BB64DB" w:rsidRPr="00EB2612">
        <w:t xml:space="preserve">jsou charakteristické vysokým podílem samofinancování podniků. Naproti tomu oblasti spadající do </w:t>
      </w:r>
      <w:r w:rsidR="004443D7" w:rsidRPr="00EB2612">
        <w:t xml:space="preserve">tradičního odvětví </w:t>
      </w:r>
      <w:r w:rsidR="00BB64DB" w:rsidRPr="00EB2612">
        <w:t>produkují statky, které bez</w:t>
      </w:r>
      <w:r w:rsidR="0082100C">
        <w:t xml:space="preserve"> podpory z veřejných zdrojů </w:t>
      </w:r>
      <w:r w:rsidR="00BB64DB" w:rsidRPr="00EB2612">
        <w:t>nejsou</w:t>
      </w:r>
      <w:r w:rsidR="0082100C">
        <w:t xml:space="preserve"> často</w:t>
      </w:r>
      <w:r w:rsidR="00BB64DB" w:rsidRPr="00EB2612">
        <w:t xml:space="preserve"> schopny obstát na trhu, mají nicméně pro společnost také jinou než finanční hodnotu.</w:t>
      </w:r>
      <w:r w:rsidR="00C8471A" w:rsidRPr="00EB2612">
        <w:t xml:space="preserve"> </w:t>
      </w:r>
      <w:r w:rsidR="00F33376" w:rsidRPr="00EB2612">
        <w:t>V</w:t>
      </w:r>
      <w:r w:rsidR="00260C15" w:rsidRPr="00EB2612">
        <w:t> </w:t>
      </w:r>
      <w:r w:rsidR="00676E68" w:rsidRPr="00EB2612">
        <w:t>oblasti</w:t>
      </w:r>
      <w:r w:rsidR="003B39C4" w:rsidRPr="00EB2612">
        <w:t xml:space="preserve"> kulturních </w:t>
      </w:r>
      <w:r w:rsidR="00676E68" w:rsidRPr="00EB2612">
        <w:t xml:space="preserve">průmyslů zůstává </w:t>
      </w:r>
      <w:r w:rsidR="00F33376" w:rsidRPr="00EB2612">
        <w:t xml:space="preserve">finanční rozdělení zdrojů </w:t>
      </w:r>
      <w:r w:rsidR="002F7B33" w:rsidRPr="00EB2612">
        <w:t>dlouhodobě</w:t>
      </w:r>
      <w:r w:rsidR="00F65272" w:rsidRPr="00EB2612">
        <w:t xml:space="preserve"> </w:t>
      </w:r>
      <w:r w:rsidR="003B39C4" w:rsidRPr="00EB2612">
        <w:t>takřka neměnné, kdy více než 90</w:t>
      </w:r>
      <w:r w:rsidR="00260C15" w:rsidRPr="00EB2612">
        <w:t> </w:t>
      </w:r>
      <w:r w:rsidR="003B39C4" w:rsidRPr="00EB2612">
        <w:t>% všech zdrojů pochází ze soukromého sektoru</w:t>
      </w:r>
      <w:r w:rsidRPr="00EB2612">
        <w:t xml:space="preserve"> (</w:t>
      </w:r>
      <w:r w:rsidR="003B39C4" w:rsidRPr="00EB2612">
        <w:t>z</w:t>
      </w:r>
      <w:r w:rsidRPr="00EB2612">
        <w:t>ejména z</w:t>
      </w:r>
      <w:r w:rsidR="003B39C4" w:rsidRPr="00EB2612">
        <w:t> prostředků domácností či soukromých podniků</w:t>
      </w:r>
      <w:r w:rsidRPr="00EB2612">
        <w:t>)</w:t>
      </w:r>
      <w:r w:rsidR="00E32007">
        <w:t>. V roce 2018</w:t>
      </w:r>
      <w:r w:rsidR="00EF6A33" w:rsidRPr="00EB2612">
        <w:t xml:space="preserve"> pak 95</w:t>
      </w:r>
      <w:r w:rsidR="003B39C4" w:rsidRPr="00EB2612">
        <w:t xml:space="preserve"> % zdrojů pocházelo ze soukr</w:t>
      </w:r>
      <w:r w:rsidR="007F3674" w:rsidRPr="00EB2612">
        <w:t>omého sektoru a</w:t>
      </w:r>
      <w:r w:rsidR="005843E4" w:rsidRPr="00EB2612">
        <w:t> </w:t>
      </w:r>
      <w:r w:rsidR="00EF6A33" w:rsidRPr="00EB2612">
        <w:t>pouze 5</w:t>
      </w:r>
      <w:r w:rsidR="003B39C4" w:rsidRPr="00EB2612">
        <w:t xml:space="preserve"> % tvořily domácí dotace či podpora ze zahraničí.</w:t>
      </w:r>
    </w:p>
    <w:p w:rsidR="00F33376" w:rsidRPr="00EB2612" w:rsidRDefault="00E0238B" w:rsidP="00B414F8">
      <w:r w:rsidRPr="00EB2612">
        <w:tab/>
      </w:r>
      <w:r w:rsidR="00B414F8" w:rsidRPr="00EB2612">
        <w:t>Příjmy</w:t>
      </w:r>
      <w:r w:rsidR="00BB64DB" w:rsidRPr="00EB2612">
        <w:t xml:space="preserve"> právnických a fyzických osob dle trojsektorového členění kultu</w:t>
      </w:r>
      <w:r w:rsidR="006A63F6" w:rsidRPr="00EB2612">
        <w:t>ry mezi lety 2010 a 201</w:t>
      </w:r>
      <w:r w:rsidR="00A33179">
        <w:t>8</w:t>
      </w:r>
      <w:r w:rsidR="00BB64DB" w:rsidRPr="00EB2612">
        <w:t xml:space="preserve"> jsou zobrazeny v Grafu </w:t>
      </w:r>
      <w:r w:rsidR="00F33376" w:rsidRPr="00EB2612">
        <w:t>1</w:t>
      </w:r>
      <w:r w:rsidR="00BB64DB" w:rsidRPr="00EB2612">
        <w:t xml:space="preserve">. </w:t>
      </w:r>
      <w:r w:rsidR="00F33376" w:rsidRPr="00EB2612">
        <w:t>Údaje pro tento i následující graf pocházejí ze Satelitního účtu kultury, který poskytuje ucelený statistický přehled o jednotlivých oblastech kultury a umožňuje jejich vzájemné srovnání</w:t>
      </w:r>
      <w:r w:rsidR="00676E68" w:rsidRPr="00EB2612">
        <w:t xml:space="preserve"> na základě využití nejvíce relevantních zdrojů pro každou oblast</w:t>
      </w:r>
      <w:r w:rsidR="004443D7" w:rsidRPr="00EB2612">
        <w:t>. N</w:t>
      </w:r>
      <w:r w:rsidR="002F7B33" w:rsidRPr="00EB2612">
        <w:t xml:space="preserve">apř. </w:t>
      </w:r>
      <w:r w:rsidR="00F33376" w:rsidRPr="00EB2612">
        <w:t>pro st</w:t>
      </w:r>
      <w:r w:rsidR="004443D7" w:rsidRPr="00EB2612">
        <w:t xml:space="preserve">atistiku tradičních odvětví, na </w:t>
      </w:r>
      <w:r w:rsidR="00F33376" w:rsidRPr="00EB2612">
        <w:t>rozdíl od</w:t>
      </w:r>
      <w:r w:rsidR="00F95D6D" w:rsidRPr="00EB2612">
        <w:t xml:space="preserve"> </w:t>
      </w:r>
      <w:r w:rsidR="00F33376" w:rsidRPr="00EB2612">
        <w:t>oblasti ku</w:t>
      </w:r>
      <w:r w:rsidR="004443D7" w:rsidRPr="00EB2612">
        <w:t>lturních průmyslů, je vhodné na</w:t>
      </w:r>
      <w:r w:rsidR="00F33376" w:rsidRPr="00EB2612">
        <w:t>místo Podnikové strukturální statistiky, jež není schopna v plné míře zachytit malé subjekty a neziskové instituce, využít spíše výkazy Národního informačního a</w:t>
      </w:r>
      <w:r w:rsidR="00F95D6D" w:rsidRPr="00EB2612">
        <w:t> </w:t>
      </w:r>
      <w:r w:rsidR="00F33376" w:rsidRPr="00EB2612">
        <w:t>poradenského střediska pro kulturu, příp.</w:t>
      </w:r>
      <w:r w:rsidR="00676E68" w:rsidRPr="00EB2612">
        <w:t xml:space="preserve"> další</w:t>
      </w:r>
      <w:r w:rsidR="004443D7" w:rsidRPr="00EB2612">
        <w:t xml:space="preserve"> doplňková šetření</w:t>
      </w:r>
      <w:r w:rsidR="00182456" w:rsidRPr="00EB2612">
        <w:t>.</w:t>
      </w:r>
    </w:p>
    <w:p w:rsidR="00BB64DB" w:rsidRPr="00EB2612" w:rsidRDefault="00BB64DB" w:rsidP="00BB64DB">
      <w:pPr>
        <w:pStyle w:val="Titulek"/>
        <w:keepNext/>
        <w:rPr>
          <w:b w:val="0"/>
          <w:color w:val="auto"/>
          <w:sz w:val="22"/>
          <w:szCs w:val="22"/>
        </w:rPr>
      </w:pPr>
      <w:r w:rsidRPr="00EB2612">
        <w:rPr>
          <w:color w:val="auto"/>
          <w:sz w:val="22"/>
          <w:szCs w:val="22"/>
        </w:rPr>
        <w:lastRenderedPageBreak/>
        <w:t xml:space="preserve">Graf </w:t>
      </w:r>
      <w:r w:rsidR="001A4BAA" w:rsidRPr="00EB2612">
        <w:rPr>
          <w:color w:val="auto"/>
          <w:sz w:val="22"/>
          <w:szCs w:val="22"/>
        </w:rPr>
        <w:t>1</w:t>
      </w:r>
      <w:r w:rsidR="002F7B33" w:rsidRPr="00EB2612">
        <w:rPr>
          <w:color w:val="auto"/>
          <w:sz w:val="22"/>
          <w:szCs w:val="22"/>
        </w:rPr>
        <w:t xml:space="preserve"> </w:t>
      </w:r>
      <w:r w:rsidR="00B414F8" w:rsidRPr="00EB2612">
        <w:rPr>
          <w:b w:val="0"/>
          <w:color w:val="auto"/>
          <w:sz w:val="22"/>
          <w:szCs w:val="22"/>
        </w:rPr>
        <w:t>Příjmy</w:t>
      </w:r>
      <w:r w:rsidR="00B414F8" w:rsidRPr="00EB2612">
        <w:rPr>
          <w:color w:val="auto"/>
          <w:sz w:val="22"/>
          <w:szCs w:val="22"/>
        </w:rPr>
        <w:t xml:space="preserve"> </w:t>
      </w:r>
      <w:r w:rsidRPr="00EB2612">
        <w:rPr>
          <w:b w:val="0"/>
          <w:color w:val="auto"/>
          <w:sz w:val="22"/>
          <w:szCs w:val="22"/>
        </w:rPr>
        <w:t xml:space="preserve">fyzických a právnických osob podle trojsektorového členění kultury (v </w:t>
      </w:r>
      <w:r w:rsidR="00B414F8" w:rsidRPr="00EB2612">
        <w:rPr>
          <w:b w:val="0"/>
          <w:color w:val="auto"/>
          <w:sz w:val="22"/>
          <w:szCs w:val="22"/>
        </w:rPr>
        <w:t>mld</w:t>
      </w:r>
      <w:r w:rsidRPr="00EB2612">
        <w:rPr>
          <w:b w:val="0"/>
          <w:color w:val="auto"/>
          <w:sz w:val="22"/>
          <w:szCs w:val="22"/>
        </w:rPr>
        <w:t>. Kč)</w:t>
      </w:r>
    </w:p>
    <w:p w:rsidR="00BB64DB" w:rsidRPr="00EB2612" w:rsidRDefault="00E4183E" w:rsidP="00BB64DB">
      <w:pPr>
        <w:keepNext/>
      </w:pPr>
      <w:r w:rsidRPr="00EB2612">
        <w:rPr>
          <w:noProof/>
        </w:rPr>
        <w:drawing>
          <wp:inline distT="0" distB="0" distL="0" distR="0">
            <wp:extent cx="5857875" cy="2085975"/>
            <wp:effectExtent l="0" t="0" r="0" b="0"/>
            <wp:docPr id="13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Pr="00EB2612" w:rsidRDefault="00F72FAA" w:rsidP="00BB64DB">
      <w:pPr>
        <w:pStyle w:val="Titulek"/>
        <w:rPr>
          <w:rFonts w:cs="Arial"/>
          <w:b w:val="0"/>
          <w:color w:val="auto"/>
          <w:sz w:val="22"/>
          <w:szCs w:val="22"/>
        </w:rPr>
      </w:pPr>
      <w:r w:rsidRPr="00EB2612">
        <w:rPr>
          <w:rFonts w:cs="Arial"/>
          <w:b w:val="0"/>
          <w:color w:val="auto"/>
          <w:sz w:val="22"/>
          <w:szCs w:val="22"/>
        </w:rPr>
        <w:t xml:space="preserve">Zdroj: </w:t>
      </w:r>
      <w:r w:rsidR="00B54975" w:rsidRPr="00EB2612">
        <w:rPr>
          <w:rFonts w:cs="Arial"/>
          <w:b w:val="0"/>
          <w:color w:val="auto"/>
          <w:sz w:val="22"/>
          <w:szCs w:val="22"/>
        </w:rPr>
        <w:t xml:space="preserve">Satelitní účet kultury, </w:t>
      </w:r>
      <w:r w:rsidRPr="00EB2612">
        <w:rPr>
          <w:rFonts w:cs="Arial"/>
          <w:b w:val="0"/>
          <w:color w:val="auto"/>
          <w:sz w:val="22"/>
          <w:szCs w:val="22"/>
        </w:rPr>
        <w:t>ČSÚ, NIPOS</w:t>
      </w:r>
    </w:p>
    <w:p w:rsidR="002F7B33" w:rsidRPr="00EB2612" w:rsidRDefault="002F7B33" w:rsidP="002F7B33">
      <w:r w:rsidRPr="00EB2612">
        <w:t>Jak je patrné z Grafu 1, kreativní průmysly zahrnující reklamu, design a architekturu generovaly</w:t>
      </w:r>
      <w:r w:rsidR="00A33179">
        <w:t xml:space="preserve"> v roce 2018</w:t>
      </w:r>
      <w:r w:rsidR="007F3674" w:rsidRPr="00EB2612">
        <w:t xml:space="preserve"> příjmy </w:t>
      </w:r>
      <w:r w:rsidR="00A33179">
        <w:t>ve výši 12</w:t>
      </w:r>
      <w:r w:rsidR="00EF6A33" w:rsidRPr="00EB2612">
        <w:t>0</w:t>
      </w:r>
      <w:r w:rsidR="00A33179">
        <w:t>,1</w:t>
      </w:r>
      <w:r w:rsidRPr="00EB2612">
        <w:t xml:space="preserve"> mld. Kč a předčily tak kulturní průmy</w:t>
      </w:r>
      <w:r w:rsidR="00A33179">
        <w:t>sly o 28,3</w:t>
      </w:r>
      <w:r w:rsidRPr="00EB2612">
        <w:t xml:space="preserve"> mld. Kč.</w:t>
      </w:r>
      <w:r w:rsidR="00EF6A33" w:rsidRPr="00EB2612">
        <w:t xml:space="preserve"> Zatímco ještě v roce 2014 byly výkony těchto dvou oblastí na podobné úrovni, v posledních letech se ekonomicky daří více podnikům v kr</w:t>
      </w:r>
      <w:r w:rsidR="00B002FC" w:rsidRPr="00EB2612">
        <w:t>e</w:t>
      </w:r>
      <w:r w:rsidR="00EF6A33" w:rsidRPr="00EB2612">
        <w:t xml:space="preserve">ativních průmyslech. </w:t>
      </w:r>
      <w:r w:rsidRPr="00EB2612">
        <w:t xml:space="preserve">Příjmy </w:t>
      </w:r>
      <w:r w:rsidR="009F6142" w:rsidRPr="00EB2612">
        <w:t>organizací</w:t>
      </w:r>
      <w:r w:rsidRPr="00EB2612">
        <w:t xml:space="preserve"> v tradičním odvět</w:t>
      </w:r>
      <w:r w:rsidR="00906251" w:rsidRPr="00EB2612">
        <w:t xml:space="preserve">ví </w:t>
      </w:r>
      <w:r w:rsidR="009F6142" w:rsidRPr="00EB2612">
        <w:t xml:space="preserve">se </w:t>
      </w:r>
      <w:r w:rsidRPr="00EB2612">
        <w:t xml:space="preserve">v průběhu </w:t>
      </w:r>
      <w:r w:rsidR="009F6142" w:rsidRPr="00EB2612">
        <w:t>sledovaných</w:t>
      </w:r>
      <w:r w:rsidRPr="00EB2612">
        <w:t xml:space="preserve"> </w:t>
      </w:r>
      <w:r w:rsidR="009F6142" w:rsidRPr="00EB2612">
        <w:t>let s</w:t>
      </w:r>
      <w:r w:rsidR="00A33179">
        <w:t>oustavně zvyšovaly a v roce 2018</w:t>
      </w:r>
      <w:r w:rsidR="00EF6A33" w:rsidRPr="00EB2612">
        <w:t xml:space="preserve"> dosáhly </w:t>
      </w:r>
      <w:r w:rsidR="00B002FC" w:rsidRPr="00EB2612">
        <w:t xml:space="preserve">více než </w:t>
      </w:r>
      <w:r w:rsidR="00A33179">
        <w:t>45,7</w:t>
      </w:r>
      <w:r w:rsidRPr="00EB2612">
        <w:t xml:space="preserve"> mld. Kč. V porovnání s kulturními a kreativními průmysly generoval</w:t>
      </w:r>
      <w:r w:rsidR="00906251" w:rsidRPr="00EB2612">
        <w:t>a</w:t>
      </w:r>
      <w:r w:rsidRPr="00EB2612">
        <w:t xml:space="preserve"> </w:t>
      </w:r>
      <w:r w:rsidR="00906251" w:rsidRPr="00EB2612">
        <w:t>tradiční odvětví</w:t>
      </w:r>
      <w:r w:rsidRPr="00EB2612">
        <w:t xml:space="preserve"> </w:t>
      </w:r>
      <w:r w:rsidR="007F3674" w:rsidRPr="00EB2612">
        <w:t>daleko menší příjmy</w:t>
      </w:r>
      <w:r w:rsidRPr="00EB2612">
        <w:t>, což však odpovídá charakteru tohoto sektoru, který je financovaný z </w:t>
      </w:r>
      <w:r w:rsidR="00472C6B" w:rsidRPr="00EB2612">
        <w:t>velké části z veřejných zdrojů.</w:t>
      </w:r>
    </w:p>
    <w:p w:rsidR="00BB64DB" w:rsidRPr="00EB2612" w:rsidRDefault="00E0238B" w:rsidP="00B414F8">
      <w:r w:rsidRPr="00EB2612">
        <w:tab/>
      </w:r>
      <w:r w:rsidR="00BB64DB" w:rsidRPr="00EB2612">
        <w:t>I přesto, že</w:t>
      </w:r>
      <w:r w:rsidR="00B414F8" w:rsidRPr="00EB2612">
        <w:t xml:space="preserve"> </w:t>
      </w:r>
      <w:r w:rsidR="005E2679" w:rsidRPr="00EB2612">
        <w:t>subjekty v tradičním odvětví</w:t>
      </w:r>
      <w:r w:rsidR="00B414F8" w:rsidRPr="00EB2612">
        <w:t xml:space="preserve"> negenerova</w:t>
      </w:r>
      <w:r w:rsidR="004F78AD" w:rsidRPr="00EB2612">
        <w:t>l</w:t>
      </w:r>
      <w:r w:rsidR="005E2679" w:rsidRPr="00EB2612">
        <w:t>y</w:t>
      </w:r>
      <w:r w:rsidR="004F78AD" w:rsidRPr="00EB2612">
        <w:t xml:space="preserve"> v období mezi lety 201</w:t>
      </w:r>
      <w:r w:rsidR="00A33179">
        <w:t>0 a 2018</w:t>
      </w:r>
      <w:r w:rsidR="00BB64DB" w:rsidRPr="00EB2612">
        <w:t xml:space="preserve"> </w:t>
      </w:r>
      <w:r w:rsidR="005E2679" w:rsidRPr="00EB2612">
        <w:t>tak vysoké</w:t>
      </w:r>
      <w:r w:rsidR="00BB64DB" w:rsidRPr="00EB2612">
        <w:t xml:space="preserve"> </w:t>
      </w:r>
      <w:r w:rsidR="005E2679" w:rsidRPr="00EB2612">
        <w:t xml:space="preserve">příjmy, </w:t>
      </w:r>
      <w:r w:rsidR="00B414F8" w:rsidRPr="00EB2612">
        <w:t>zaměstnával</w:t>
      </w:r>
      <w:r w:rsidR="006A0EA1" w:rsidRPr="00EB2612">
        <w:t>y</w:t>
      </w:r>
      <w:r w:rsidR="00BB64DB" w:rsidRPr="00EB2612">
        <w:t xml:space="preserve"> dle dostupných statistik v porovnání s kulturními a kreativními průmysly nejvíce </w:t>
      </w:r>
      <w:r w:rsidR="00B414F8" w:rsidRPr="00EB2612">
        <w:t>osob</w:t>
      </w:r>
      <w:r w:rsidR="004F78AD" w:rsidRPr="00EB2612">
        <w:t>. Mezi</w:t>
      </w:r>
      <w:r w:rsidR="00F95D6D" w:rsidRPr="00EB2612">
        <w:t> </w:t>
      </w:r>
      <w:r w:rsidR="00A33179">
        <w:t>lety 2010 a 2018</w:t>
      </w:r>
      <w:r w:rsidR="00BB64DB" w:rsidRPr="00EB2612">
        <w:t xml:space="preserve"> došlo k nárůstu počtu zaměstnanc</w:t>
      </w:r>
      <w:r w:rsidR="004F78AD" w:rsidRPr="00EB2612">
        <w:t>ů v</w:t>
      </w:r>
      <w:r w:rsidR="005E2679" w:rsidRPr="00EB2612">
        <w:t> tradičních odvětvích</w:t>
      </w:r>
      <w:r w:rsidR="001C709C" w:rsidRPr="00EB2612">
        <w:t xml:space="preserve"> </w:t>
      </w:r>
      <w:r w:rsidR="00B002FC" w:rsidRPr="00EB2612">
        <w:t>přibližně o</w:t>
      </w:r>
      <w:r w:rsidR="00A33179">
        <w:t xml:space="preserve"> 6</w:t>
      </w:r>
      <w:r w:rsidR="00C61984" w:rsidRPr="00EB2612">
        <w:t xml:space="preserve"> tis. a v </w:t>
      </w:r>
      <w:r w:rsidR="00A33179">
        <w:t>roce 2018</w:t>
      </w:r>
      <w:r w:rsidR="00C61984" w:rsidRPr="00EB2612">
        <w:t xml:space="preserve"> pracovalo v těchto odvětvích </w:t>
      </w:r>
      <w:r w:rsidR="00B002FC" w:rsidRPr="00EB2612">
        <w:t>více než</w:t>
      </w:r>
      <w:r w:rsidR="00C61984" w:rsidRPr="00EB2612">
        <w:t xml:space="preserve"> </w:t>
      </w:r>
      <w:r w:rsidR="00A33179">
        <w:t>38</w:t>
      </w:r>
      <w:r w:rsidR="00313494" w:rsidRPr="00EB2612">
        <w:t> </w:t>
      </w:r>
      <w:r w:rsidR="003C736E" w:rsidRPr="00EB2612">
        <w:t>tis.</w:t>
      </w:r>
      <w:r w:rsidR="00C61984" w:rsidRPr="00EB2612">
        <w:t xml:space="preserve"> zaměstnanců</w:t>
      </w:r>
      <w:r w:rsidR="00BB64DB" w:rsidRPr="00EB2612">
        <w:t xml:space="preserve">. </w:t>
      </w:r>
      <w:r w:rsidR="001C709C" w:rsidRPr="00EB2612">
        <w:t>K</w:t>
      </w:r>
      <w:r w:rsidR="00BB64DB" w:rsidRPr="00EB2612">
        <w:t>reativní průmysly zaznamenaly</w:t>
      </w:r>
      <w:r w:rsidR="002D1652" w:rsidRPr="00EB2612">
        <w:t xml:space="preserve"> v posledních letech v souladu s růstem příjmů také</w:t>
      </w:r>
      <w:r w:rsidR="00BB64DB" w:rsidRPr="00EB2612">
        <w:t xml:space="preserve"> mírný </w:t>
      </w:r>
      <w:r w:rsidR="008964FF" w:rsidRPr="00EB2612">
        <w:t>nárůst počtu zaměst</w:t>
      </w:r>
      <w:r w:rsidR="00906251" w:rsidRPr="00EB2612">
        <w:t>nan</w:t>
      </w:r>
      <w:r w:rsidR="00B002FC" w:rsidRPr="00EB2612">
        <w:t xml:space="preserve">ců </w:t>
      </w:r>
      <w:r w:rsidR="00A33179">
        <w:t>na necelých 23</w:t>
      </w:r>
      <w:r w:rsidR="002D1652" w:rsidRPr="00EB2612">
        <w:t xml:space="preserve"> tis. </w:t>
      </w:r>
      <w:r w:rsidR="00A33179">
        <w:t>v roce 2018</w:t>
      </w:r>
      <w:r w:rsidR="00BB64DB" w:rsidRPr="00EB2612">
        <w:t xml:space="preserve">. </w:t>
      </w:r>
      <w:r w:rsidR="001C709C" w:rsidRPr="00EB2612">
        <w:t>Zaměs</w:t>
      </w:r>
      <w:r w:rsidR="008964FF" w:rsidRPr="00EB2612">
        <w:t xml:space="preserve">tnanost v kulturních průmyslech </w:t>
      </w:r>
      <w:r w:rsidR="00A33179">
        <w:t>v roce 2018 zastavila propad z předchozích let a</w:t>
      </w:r>
      <w:r w:rsidR="00362010">
        <w:t> </w:t>
      </w:r>
      <w:r w:rsidR="00A33179">
        <w:t>dosahovala výše necelých 25</w:t>
      </w:r>
      <w:r w:rsidR="002D1652" w:rsidRPr="00EB2612">
        <w:t xml:space="preserve"> tis. zaměstnanců</w:t>
      </w:r>
      <w:r w:rsidR="008964FF" w:rsidRPr="00EB2612">
        <w:t xml:space="preserve">. </w:t>
      </w:r>
      <w:r w:rsidR="006A0EA1" w:rsidRPr="00EB2612">
        <w:t xml:space="preserve">Tyto údaje o </w:t>
      </w:r>
      <w:r w:rsidR="00BB64DB" w:rsidRPr="00EB2612">
        <w:t>zaměstnanost</w:t>
      </w:r>
      <w:r w:rsidR="006A0EA1" w:rsidRPr="00EB2612">
        <w:t>i však</w:t>
      </w:r>
      <w:r w:rsidR="00BB64DB" w:rsidRPr="00EB2612">
        <w:t xml:space="preserve"> </w:t>
      </w:r>
      <w:r w:rsidR="006A0EA1" w:rsidRPr="00EB2612">
        <w:t>reflektují</w:t>
      </w:r>
      <w:r w:rsidR="00B414F8" w:rsidRPr="00EB2612">
        <w:t xml:space="preserve"> pouze </w:t>
      </w:r>
      <w:r w:rsidR="0082100C">
        <w:t>zaměstnance subjektů</w:t>
      </w:r>
      <w:r w:rsidR="00B414F8" w:rsidRPr="00EB2612">
        <w:t xml:space="preserve"> s převažující kulturní činností dle klasifikace NACE</w:t>
      </w:r>
      <w:r w:rsidR="006A0EA1" w:rsidRPr="00EB2612">
        <w:t xml:space="preserve">, </w:t>
      </w:r>
      <w:r w:rsidR="008964FF" w:rsidRPr="00EB2612">
        <w:t>nezaměřují se</w:t>
      </w:r>
      <w:r w:rsidR="00BB64DB" w:rsidRPr="00EB2612">
        <w:t xml:space="preserve"> </w:t>
      </w:r>
      <w:r w:rsidR="00A33179">
        <w:t xml:space="preserve">však </w:t>
      </w:r>
      <w:r w:rsidR="008964FF" w:rsidRPr="00EB2612">
        <w:t xml:space="preserve">na </w:t>
      </w:r>
      <w:r w:rsidR="00323843" w:rsidRPr="00EB2612">
        <w:t xml:space="preserve">povolání kulturního charakteru </w:t>
      </w:r>
      <w:r w:rsidR="00BB64DB" w:rsidRPr="00EB2612">
        <w:t>v</w:t>
      </w:r>
      <w:r w:rsidR="00323843" w:rsidRPr="00EB2612">
        <w:t> </w:t>
      </w:r>
      <w:r w:rsidR="003C736E" w:rsidRPr="00EB2612">
        <w:t>„</w:t>
      </w:r>
      <w:r w:rsidR="00BB64DB" w:rsidRPr="00EB2612">
        <w:t>ne</w:t>
      </w:r>
      <w:r w:rsidR="00F72FAA" w:rsidRPr="00EB2612">
        <w:t>-</w:t>
      </w:r>
      <w:r w:rsidR="00BB64DB" w:rsidRPr="00EB2612">
        <w:t>kulturních</w:t>
      </w:r>
      <w:r w:rsidR="003C736E" w:rsidRPr="00EB2612">
        <w:t>“</w:t>
      </w:r>
      <w:r w:rsidR="00BB64DB" w:rsidRPr="00EB2612">
        <w:t xml:space="preserve"> podnicích (například designér v automobilce)</w:t>
      </w:r>
      <w:r w:rsidR="00323843" w:rsidRPr="00EB2612">
        <w:t>.</w:t>
      </w:r>
    </w:p>
    <w:p w:rsidR="00BB64DB" w:rsidRPr="00EB2612" w:rsidRDefault="00BB64DB" w:rsidP="00BB64DB">
      <w:pPr>
        <w:pStyle w:val="Titulek"/>
        <w:keepNext/>
        <w:rPr>
          <w:color w:val="auto"/>
        </w:rPr>
      </w:pPr>
      <w:r w:rsidRPr="00EB2612">
        <w:rPr>
          <w:color w:val="auto"/>
          <w:sz w:val="22"/>
          <w:szCs w:val="22"/>
        </w:rPr>
        <w:t xml:space="preserve">Graf </w:t>
      </w:r>
      <w:r w:rsidR="001A4BAA" w:rsidRPr="00EB2612">
        <w:rPr>
          <w:color w:val="auto"/>
          <w:sz w:val="22"/>
          <w:szCs w:val="22"/>
        </w:rPr>
        <w:t>2</w:t>
      </w:r>
      <w:r w:rsidRPr="00EB2612">
        <w:rPr>
          <w:color w:val="auto"/>
          <w:sz w:val="22"/>
          <w:szCs w:val="22"/>
        </w:rPr>
        <w:t xml:space="preserve"> </w:t>
      </w:r>
      <w:r w:rsidRPr="00EB2612">
        <w:rPr>
          <w:b w:val="0"/>
          <w:color w:val="auto"/>
          <w:sz w:val="22"/>
          <w:szCs w:val="22"/>
        </w:rPr>
        <w:t>Počet zaměstnanců v kultuře (</w:t>
      </w:r>
      <w:r w:rsidR="00F72FAA" w:rsidRPr="00EB2612">
        <w:rPr>
          <w:b w:val="0"/>
          <w:color w:val="auto"/>
          <w:sz w:val="22"/>
          <w:szCs w:val="22"/>
        </w:rPr>
        <w:t xml:space="preserve">v tis. osob, </w:t>
      </w:r>
      <w:r w:rsidR="00B414F8" w:rsidRPr="00EB2612">
        <w:rPr>
          <w:b w:val="0"/>
          <w:color w:val="auto"/>
          <w:sz w:val="22"/>
          <w:szCs w:val="22"/>
        </w:rPr>
        <w:t>přepočtený na plné pracovní úvazky</w:t>
      </w:r>
      <w:r w:rsidRPr="00EB2612">
        <w:rPr>
          <w:b w:val="0"/>
          <w:color w:val="auto"/>
          <w:sz w:val="22"/>
          <w:szCs w:val="22"/>
        </w:rPr>
        <w:t>)</w:t>
      </w:r>
    </w:p>
    <w:p w:rsidR="00BB64DB" w:rsidRPr="00EB2612" w:rsidRDefault="00E4183E" w:rsidP="00BB64DB">
      <w:pPr>
        <w:keepNext/>
      </w:pPr>
      <w:r w:rsidRPr="00EB2612">
        <w:rPr>
          <w:noProof/>
          <w:color w:val="FFFFFF" w:themeColor="background1"/>
        </w:rPr>
        <w:drawing>
          <wp:inline distT="0" distB="0" distL="0" distR="0">
            <wp:extent cx="5876925" cy="1790700"/>
            <wp:effectExtent l="0" t="0" r="0" b="0"/>
            <wp:docPr id="12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4923" w:rsidRPr="00EB2612" w:rsidRDefault="00BB64DB" w:rsidP="00E84923">
      <w:pPr>
        <w:pStyle w:val="Titulek"/>
        <w:rPr>
          <w:b w:val="0"/>
          <w:color w:val="auto"/>
          <w:sz w:val="22"/>
          <w:szCs w:val="22"/>
        </w:rPr>
      </w:pPr>
      <w:r w:rsidRPr="00EB2612">
        <w:rPr>
          <w:b w:val="0"/>
          <w:color w:val="auto"/>
          <w:sz w:val="22"/>
          <w:szCs w:val="22"/>
        </w:rPr>
        <w:t xml:space="preserve">Zdroj: </w:t>
      </w:r>
      <w:r w:rsidR="00A11B36" w:rsidRPr="00EB2612">
        <w:rPr>
          <w:rFonts w:cs="Arial"/>
          <w:b w:val="0"/>
          <w:color w:val="auto"/>
          <w:sz w:val="22"/>
          <w:szCs w:val="22"/>
        </w:rPr>
        <w:t>Satelitní účet kultury</w:t>
      </w:r>
      <w:r w:rsidR="00A11B36" w:rsidRPr="00EB2612">
        <w:rPr>
          <w:b w:val="0"/>
          <w:color w:val="auto"/>
          <w:sz w:val="22"/>
          <w:szCs w:val="22"/>
        </w:rPr>
        <w:t xml:space="preserve">, </w:t>
      </w:r>
      <w:r w:rsidRPr="00EB2612">
        <w:rPr>
          <w:b w:val="0"/>
          <w:color w:val="auto"/>
          <w:sz w:val="22"/>
          <w:szCs w:val="22"/>
        </w:rPr>
        <w:t>ČSÚ, NIPOS</w:t>
      </w:r>
    </w:p>
    <w:p w:rsidR="00BC712A" w:rsidRPr="00EB2612" w:rsidRDefault="00E27145" w:rsidP="00522C16">
      <w:pPr>
        <w:rPr>
          <w:lang w:eastAsia="en-US"/>
        </w:rPr>
      </w:pPr>
      <w:r w:rsidRPr="00EB2612">
        <w:rPr>
          <w:lang w:eastAsia="en-US"/>
        </w:rPr>
        <w:lastRenderedPageBreak/>
        <w:t>Na statistiku zaměstnanosti v kultuře lze nahlížet také komplexnějším způsobem. Výbě</w:t>
      </w:r>
      <w:r w:rsidR="004571B5" w:rsidRPr="00EB2612">
        <w:rPr>
          <w:lang w:eastAsia="en-US"/>
        </w:rPr>
        <w:t>rové</w:t>
      </w:r>
      <w:r w:rsidRPr="00EB2612">
        <w:rPr>
          <w:lang w:eastAsia="en-US"/>
        </w:rPr>
        <w:t xml:space="preserve"> šetření pracovních sil</w:t>
      </w:r>
      <w:r w:rsidR="004571B5" w:rsidRPr="00EB2612">
        <w:rPr>
          <w:lang w:eastAsia="en-US"/>
        </w:rPr>
        <w:t xml:space="preserve"> </w:t>
      </w:r>
      <w:r w:rsidR="004571B5" w:rsidRPr="00EB2612">
        <w:t xml:space="preserve">požaduje od respondentů nejen vymezení </w:t>
      </w:r>
      <w:r w:rsidR="00EA33A6" w:rsidRPr="00EB2612">
        <w:t>konkrétní oblasti, ve které pracují</w:t>
      </w:r>
      <w:r w:rsidR="004571B5" w:rsidRPr="00EB2612">
        <w:t xml:space="preserve"> (zařazenou dle klasifikace ekonomických činností CZ-NACE), ale sleduje také, jaký typ zaměstnání vykonávají</w:t>
      </w:r>
      <w:r w:rsidR="008B64EB" w:rsidRPr="00EB2612">
        <w:t> </w:t>
      </w:r>
      <w:r w:rsidR="00EA33A6" w:rsidRPr="00EB2612">
        <w:t>(zařazení</w:t>
      </w:r>
      <w:r w:rsidR="004571B5" w:rsidRPr="00EB2612">
        <w:t xml:space="preserve"> dle klasifikace zaměstnání CZ-ISCO).</w:t>
      </w:r>
      <w:r w:rsidR="004571B5" w:rsidRPr="00EB2612">
        <w:rPr>
          <w:lang w:eastAsia="en-US"/>
        </w:rPr>
        <w:t xml:space="preserve"> J</w:t>
      </w:r>
      <w:r w:rsidR="00571CFA" w:rsidRPr="00EB2612">
        <w:rPr>
          <w:lang w:eastAsia="en-US"/>
        </w:rPr>
        <w:t xml:space="preserve">e </w:t>
      </w:r>
      <w:r w:rsidR="004571B5" w:rsidRPr="00EB2612">
        <w:rPr>
          <w:lang w:eastAsia="en-US"/>
        </w:rPr>
        <w:t xml:space="preserve">tak </w:t>
      </w:r>
      <w:r w:rsidR="00571CFA" w:rsidRPr="00EB2612">
        <w:rPr>
          <w:lang w:eastAsia="en-US"/>
        </w:rPr>
        <w:t>možné rozlišit, která</w:t>
      </w:r>
      <w:r w:rsidR="00E93594" w:rsidRPr="00EB2612">
        <w:rPr>
          <w:lang w:eastAsia="en-US"/>
        </w:rPr>
        <w:t xml:space="preserve"> zaměstnání v</w:t>
      </w:r>
      <w:r w:rsidR="00DF38E1" w:rsidRPr="00EB2612">
        <w:rPr>
          <w:lang w:eastAsia="en-US"/>
        </w:rPr>
        <w:t> kulturních organizacích</w:t>
      </w:r>
      <w:r w:rsidR="00E93594" w:rsidRPr="00EB2612">
        <w:rPr>
          <w:lang w:eastAsia="en-US"/>
        </w:rPr>
        <w:t xml:space="preserve"> se opravdu t</w:t>
      </w:r>
      <w:r w:rsidR="001A37DE">
        <w:rPr>
          <w:lang w:eastAsia="en-US"/>
        </w:rPr>
        <w:t>ýkají kulturních aktivit a která</w:t>
      </w:r>
      <w:r w:rsidR="00E93594" w:rsidRPr="00EB2612">
        <w:rPr>
          <w:lang w:eastAsia="en-US"/>
        </w:rPr>
        <w:t xml:space="preserve"> jsou naopak spíše jiného charakteru</w:t>
      </w:r>
      <w:r w:rsidR="008B64EB" w:rsidRPr="00EB2612">
        <w:rPr>
          <w:lang w:eastAsia="en-US"/>
        </w:rPr>
        <w:t> </w:t>
      </w:r>
      <w:r w:rsidR="003150BE" w:rsidRPr="00EB2612">
        <w:rPr>
          <w:lang w:eastAsia="en-US"/>
        </w:rPr>
        <w:t>(např. účetnictví, úklid</w:t>
      </w:r>
      <w:r w:rsidR="001A37DE">
        <w:rPr>
          <w:lang w:eastAsia="en-US"/>
        </w:rPr>
        <w:t xml:space="preserve"> </w:t>
      </w:r>
      <w:r w:rsidR="00E93594" w:rsidRPr="00EB2612">
        <w:rPr>
          <w:lang w:eastAsia="en-US"/>
        </w:rPr>
        <w:t xml:space="preserve">či ostraha). </w:t>
      </w:r>
      <w:r w:rsidR="004571B5" w:rsidRPr="00EB2612">
        <w:rPr>
          <w:lang w:eastAsia="en-US"/>
        </w:rPr>
        <w:t>Dále je také možné získat údaje o kulturních zaměstnáních v</w:t>
      </w:r>
      <w:r w:rsidR="008B64EB" w:rsidRPr="00EB2612">
        <w:rPr>
          <w:lang w:eastAsia="en-US"/>
        </w:rPr>
        <w:t> </w:t>
      </w:r>
      <w:r w:rsidR="004571B5" w:rsidRPr="00EB2612">
        <w:rPr>
          <w:lang w:eastAsia="en-US"/>
        </w:rPr>
        <w:t>„ne</w:t>
      </w:r>
      <w:r w:rsidR="003C736E" w:rsidRPr="00EB2612">
        <w:rPr>
          <w:lang w:eastAsia="en-US"/>
        </w:rPr>
        <w:t>-</w:t>
      </w:r>
      <w:r w:rsidR="004571B5" w:rsidRPr="00EB2612">
        <w:rPr>
          <w:lang w:eastAsia="en-US"/>
        </w:rPr>
        <w:t xml:space="preserve">kulturních“ organizacích. </w:t>
      </w:r>
      <w:r w:rsidR="00E93594" w:rsidRPr="00EB2612">
        <w:rPr>
          <w:lang w:eastAsia="en-US"/>
        </w:rPr>
        <w:t>K získání údajů o kulturních zaměstnáních je však potřeba využít velmi podrobné statistické členěn</w:t>
      </w:r>
      <w:r w:rsidR="00DF38E1" w:rsidRPr="00EB2612">
        <w:rPr>
          <w:lang w:eastAsia="en-US"/>
        </w:rPr>
        <w:t>í</w:t>
      </w:r>
      <w:r w:rsidR="00515293" w:rsidRPr="00EB2612">
        <w:rPr>
          <w:lang w:eastAsia="en-US"/>
        </w:rPr>
        <w:t>, u</w:t>
      </w:r>
      <w:r w:rsidR="004F29BD" w:rsidRPr="00EB2612">
        <w:rPr>
          <w:lang w:eastAsia="en-US"/>
        </w:rPr>
        <w:t> </w:t>
      </w:r>
      <w:r w:rsidR="00515293" w:rsidRPr="00EB2612">
        <w:rPr>
          <w:lang w:eastAsia="en-US"/>
        </w:rPr>
        <w:t>kterého se zvyšuje pravděpodobnost statisti</w:t>
      </w:r>
      <w:r w:rsidR="00BC712A" w:rsidRPr="00EB2612">
        <w:rPr>
          <w:lang w:eastAsia="en-US"/>
        </w:rPr>
        <w:t>cké chyby.</w:t>
      </w:r>
    </w:p>
    <w:p w:rsidR="00BC712A" w:rsidRPr="00EB2612" w:rsidRDefault="00BC712A" w:rsidP="00522C16">
      <w:pPr>
        <w:rPr>
          <w:lang w:eastAsia="en-US"/>
        </w:rPr>
      </w:pPr>
      <w:r w:rsidRPr="00EB2612">
        <w:rPr>
          <w:lang w:eastAsia="en-US"/>
        </w:rPr>
        <w:tab/>
      </w:r>
      <w:r w:rsidR="00515293" w:rsidRPr="00EB2612">
        <w:rPr>
          <w:lang w:eastAsia="en-US"/>
        </w:rPr>
        <w:t xml:space="preserve">Údaje z Tabulky 3 </w:t>
      </w:r>
      <w:r w:rsidR="006A0EA1" w:rsidRPr="00EB2612">
        <w:rPr>
          <w:lang w:eastAsia="en-US"/>
        </w:rPr>
        <w:t xml:space="preserve">tak </w:t>
      </w:r>
      <w:r w:rsidR="00515293" w:rsidRPr="00EB2612">
        <w:rPr>
          <w:lang w:eastAsia="en-US"/>
        </w:rPr>
        <w:t xml:space="preserve">poslouží </w:t>
      </w:r>
      <w:r w:rsidR="006A0EA1" w:rsidRPr="00EB2612">
        <w:rPr>
          <w:lang w:eastAsia="en-US"/>
        </w:rPr>
        <w:t>pouze pro</w:t>
      </w:r>
      <w:r w:rsidR="00515293" w:rsidRPr="00EB2612">
        <w:rPr>
          <w:lang w:eastAsia="en-US"/>
        </w:rPr>
        <w:t xml:space="preserve"> odhad </w:t>
      </w:r>
      <w:r w:rsidR="006A0EA1" w:rsidRPr="00EB2612">
        <w:rPr>
          <w:lang w:eastAsia="en-US"/>
        </w:rPr>
        <w:t>celkové</w:t>
      </w:r>
      <w:r w:rsidR="00515293" w:rsidRPr="00EB2612">
        <w:rPr>
          <w:lang w:eastAsia="en-US"/>
        </w:rPr>
        <w:t xml:space="preserve"> zaměstnanost</w:t>
      </w:r>
      <w:r w:rsidR="006A0EA1" w:rsidRPr="00EB2612">
        <w:rPr>
          <w:lang w:eastAsia="en-US"/>
        </w:rPr>
        <w:t>i</w:t>
      </w:r>
      <w:r w:rsidR="00515293" w:rsidRPr="00EB2612">
        <w:rPr>
          <w:lang w:eastAsia="en-US"/>
        </w:rPr>
        <w:t xml:space="preserve"> v kultuře zahrnující jak zaměstnance, tak pracovníky na dohody a podnikatele.</w:t>
      </w:r>
      <w:r w:rsidR="00C05AF7" w:rsidRPr="00EB2612">
        <w:rPr>
          <w:lang w:eastAsia="en-US"/>
        </w:rPr>
        <w:t xml:space="preserve"> Tyto údaje, na rozdíl od </w:t>
      </w:r>
      <w:r w:rsidR="003C736E" w:rsidRPr="00EB2612">
        <w:rPr>
          <w:lang w:eastAsia="en-US"/>
        </w:rPr>
        <w:t xml:space="preserve">údajů z Grafu </w:t>
      </w:r>
      <w:r w:rsidR="002F7B33" w:rsidRPr="00EB2612">
        <w:rPr>
          <w:lang w:eastAsia="en-US"/>
        </w:rPr>
        <w:t>2</w:t>
      </w:r>
      <w:r w:rsidR="00C05AF7" w:rsidRPr="00EB2612">
        <w:rPr>
          <w:lang w:eastAsia="en-US"/>
        </w:rPr>
        <w:t xml:space="preserve">, </w:t>
      </w:r>
      <w:r w:rsidR="00C720AF" w:rsidRPr="00EB2612">
        <w:rPr>
          <w:lang w:eastAsia="en-US"/>
        </w:rPr>
        <w:t>nejsou</w:t>
      </w:r>
      <w:r w:rsidR="008B64EB" w:rsidRPr="00EB2612">
        <w:rPr>
          <w:lang w:eastAsia="en-US"/>
        </w:rPr>
        <w:t> </w:t>
      </w:r>
      <w:r w:rsidR="00C720AF" w:rsidRPr="00EB2612">
        <w:rPr>
          <w:lang w:eastAsia="en-US"/>
        </w:rPr>
        <w:t>limitovány</w:t>
      </w:r>
      <w:r w:rsidR="00C05AF7" w:rsidRPr="00EB2612">
        <w:rPr>
          <w:lang w:eastAsia="en-US"/>
        </w:rPr>
        <w:t xml:space="preserve"> form</w:t>
      </w:r>
      <w:r w:rsidR="00C720AF" w:rsidRPr="00EB2612">
        <w:rPr>
          <w:lang w:eastAsia="en-US"/>
        </w:rPr>
        <w:t>o</w:t>
      </w:r>
      <w:r w:rsidR="00C05AF7" w:rsidRPr="00EB2612">
        <w:rPr>
          <w:lang w:eastAsia="en-US"/>
        </w:rPr>
        <w:t>u úvazku.</w:t>
      </w:r>
      <w:r w:rsidR="009B7457" w:rsidRPr="00EB2612">
        <w:rPr>
          <w:lang w:eastAsia="en-US"/>
        </w:rPr>
        <w:t xml:space="preserve"> </w:t>
      </w:r>
      <w:r w:rsidR="00246B49" w:rsidRPr="00EB2612">
        <w:rPr>
          <w:lang w:eastAsia="en-US"/>
        </w:rPr>
        <w:t>O</w:t>
      </w:r>
      <w:r w:rsidR="009B7457" w:rsidRPr="00EB2612">
        <w:rPr>
          <w:lang w:eastAsia="en-US"/>
        </w:rPr>
        <w:t>rganizace v kulturních průmyslech</w:t>
      </w:r>
      <w:r w:rsidR="00246B49" w:rsidRPr="00EB2612">
        <w:rPr>
          <w:lang w:eastAsia="en-US"/>
        </w:rPr>
        <w:t xml:space="preserve"> podle </w:t>
      </w:r>
      <w:r w:rsidR="003C736E" w:rsidRPr="00EB2612">
        <w:rPr>
          <w:lang w:eastAsia="en-US"/>
        </w:rPr>
        <w:t>výchozího vymezení</w:t>
      </w:r>
      <w:r w:rsidR="009C3B45" w:rsidRPr="00EB2612">
        <w:rPr>
          <w:lang w:eastAsia="en-US"/>
        </w:rPr>
        <w:t xml:space="preserve"> v</w:t>
      </w:r>
      <w:r w:rsidR="008B64EB" w:rsidRPr="00EB2612">
        <w:rPr>
          <w:lang w:eastAsia="en-US"/>
        </w:rPr>
        <w:t> </w:t>
      </w:r>
      <w:r w:rsidR="009C3B45" w:rsidRPr="00EB2612">
        <w:rPr>
          <w:lang w:eastAsia="en-US"/>
        </w:rPr>
        <w:t>Kapitole</w:t>
      </w:r>
      <w:r w:rsidR="008B64EB" w:rsidRPr="00EB2612">
        <w:rPr>
          <w:lang w:eastAsia="en-US"/>
        </w:rPr>
        <w:t> </w:t>
      </w:r>
      <w:r w:rsidR="009C3B45" w:rsidRPr="00EB2612">
        <w:rPr>
          <w:lang w:eastAsia="en-US"/>
        </w:rPr>
        <w:t>1</w:t>
      </w:r>
      <w:r w:rsidR="003C736E" w:rsidRPr="00EB2612">
        <w:rPr>
          <w:lang w:eastAsia="en-US"/>
        </w:rPr>
        <w:t xml:space="preserve"> </w:t>
      </w:r>
      <w:r w:rsidR="00246B49" w:rsidRPr="00EB2612">
        <w:rPr>
          <w:lang w:eastAsia="en-US"/>
        </w:rPr>
        <w:t>zajišťují</w:t>
      </w:r>
      <w:r w:rsidR="009B7457" w:rsidRPr="00EB2612">
        <w:rPr>
          <w:lang w:eastAsia="en-US"/>
        </w:rPr>
        <w:t xml:space="preserve"> </w:t>
      </w:r>
      <w:r w:rsidRPr="00EB2612">
        <w:rPr>
          <w:lang w:eastAsia="en-US"/>
        </w:rPr>
        <w:t xml:space="preserve">zejména výrobní, distribuční a obchodní </w:t>
      </w:r>
      <w:r w:rsidR="003C736E" w:rsidRPr="00EB2612">
        <w:rPr>
          <w:lang w:eastAsia="en-US"/>
        </w:rPr>
        <w:t xml:space="preserve">ekonomické </w:t>
      </w:r>
      <w:r w:rsidRPr="00EB2612">
        <w:rPr>
          <w:lang w:eastAsia="en-US"/>
        </w:rPr>
        <w:t>činnosti spojené s kulturními statky</w:t>
      </w:r>
      <w:r w:rsidR="003C736E" w:rsidRPr="00EB2612">
        <w:rPr>
          <w:lang w:eastAsia="en-US"/>
        </w:rPr>
        <w:t xml:space="preserve">. </w:t>
      </w:r>
      <w:r w:rsidR="00246B49" w:rsidRPr="00EB2612">
        <w:rPr>
          <w:lang w:eastAsia="en-US"/>
        </w:rPr>
        <w:t>Samotné u</w:t>
      </w:r>
      <w:r w:rsidRPr="00EB2612">
        <w:rPr>
          <w:lang w:eastAsia="en-US"/>
        </w:rPr>
        <w:t>mělecké činnosti spadají obvykle do tradičních odvětví</w:t>
      </w:r>
      <w:r w:rsidR="00AD076E" w:rsidRPr="00EB2612">
        <w:rPr>
          <w:lang w:eastAsia="en-US"/>
        </w:rPr>
        <w:t xml:space="preserve"> a tam také najdeme i velkou část uměleckých povolání – například h</w:t>
      </w:r>
      <w:r w:rsidRPr="00EB2612">
        <w:rPr>
          <w:lang w:eastAsia="en-US"/>
        </w:rPr>
        <w:t>udebn</w:t>
      </w:r>
      <w:r w:rsidR="00AD076E" w:rsidRPr="00EB2612">
        <w:rPr>
          <w:lang w:eastAsia="en-US"/>
        </w:rPr>
        <w:t>íky či herce</w:t>
      </w:r>
      <w:r w:rsidR="00246B49" w:rsidRPr="00EB2612">
        <w:rPr>
          <w:lang w:eastAsia="en-US"/>
        </w:rPr>
        <w:t xml:space="preserve"> </w:t>
      </w:r>
      <w:r w:rsidR="00AD076E" w:rsidRPr="00EB2612">
        <w:rPr>
          <w:lang w:eastAsia="en-US"/>
        </w:rPr>
        <w:t xml:space="preserve">obvykle nenajdeme v </w:t>
      </w:r>
      <w:r w:rsidRPr="00EB2612">
        <w:rPr>
          <w:lang w:eastAsia="en-US"/>
        </w:rPr>
        <w:t>oblasti hud</w:t>
      </w:r>
      <w:r w:rsidR="009C3B45" w:rsidRPr="00EB2612">
        <w:rPr>
          <w:lang w:eastAsia="en-US"/>
        </w:rPr>
        <w:t>by</w:t>
      </w:r>
      <w:r w:rsidR="00C720AF" w:rsidRPr="00EB2612">
        <w:rPr>
          <w:lang w:eastAsia="en-US"/>
        </w:rPr>
        <w:t>,</w:t>
      </w:r>
      <w:r w:rsidR="009C3B45" w:rsidRPr="00EB2612">
        <w:rPr>
          <w:lang w:eastAsia="en-US"/>
        </w:rPr>
        <w:t xml:space="preserve"> </w:t>
      </w:r>
      <w:r w:rsidRPr="00EB2612">
        <w:rPr>
          <w:lang w:eastAsia="en-US"/>
        </w:rPr>
        <w:t>respektive filmu a</w:t>
      </w:r>
      <w:r w:rsidR="004F29BD" w:rsidRPr="00EB2612">
        <w:rPr>
          <w:lang w:eastAsia="en-US"/>
        </w:rPr>
        <w:t> </w:t>
      </w:r>
      <w:r w:rsidRPr="00EB2612">
        <w:rPr>
          <w:lang w:eastAsia="en-US"/>
        </w:rPr>
        <w:t>videa, ale</w:t>
      </w:r>
      <w:r w:rsidR="008B64EB" w:rsidRPr="00EB2612">
        <w:rPr>
          <w:lang w:eastAsia="en-US"/>
        </w:rPr>
        <w:t> </w:t>
      </w:r>
      <w:r w:rsidR="00AD076E" w:rsidRPr="00EB2612">
        <w:rPr>
          <w:lang w:eastAsia="en-US"/>
        </w:rPr>
        <w:t>objevují se spíše v</w:t>
      </w:r>
      <w:r w:rsidRPr="00EB2612">
        <w:rPr>
          <w:lang w:eastAsia="en-US"/>
        </w:rPr>
        <w:t xml:space="preserve"> oblasti scénických umění v rámci </w:t>
      </w:r>
      <w:r w:rsidR="00EA33A6" w:rsidRPr="00EB2612">
        <w:rPr>
          <w:lang w:eastAsia="en-US"/>
        </w:rPr>
        <w:t>tradičních odvětví</w:t>
      </w:r>
      <w:r w:rsidRPr="00EB2612">
        <w:rPr>
          <w:lang w:eastAsia="en-US"/>
        </w:rPr>
        <w:t>.</w:t>
      </w:r>
    </w:p>
    <w:p w:rsidR="00AF026E" w:rsidRPr="00EB2612" w:rsidRDefault="00BC712A" w:rsidP="00522C16">
      <w:pPr>
        <w:rPr>
          <w:lang w:eastAsia="en-US"/>
        </w:rPr>
      </w:pPr>
      <w:r w:rsidRPr="00EB2612">
        <w:rPr>
          <w:lang w:eastAsia="en-US"/>
        </w:rPr>
        <w:tab/>
      </w:r>
      <w:r w:rsidR="00515293" w:rsidRPr="00EB2612">
        <w:rPr>
          <w:lang w:eastAsia="en-US"/>
        </w:rPr>
        <w:t>Celková zaměstnanost</w:t>
      </w:r>
      <w:r w:rsidR="00F75378" w:rsidRPr="00EB2612">
        <w:rPr>
          <w:lang w:eastAsia="en-US"/>
        </w:rPr>
        <w:t xml:space="preserve"> v kultuře, zohledníme-li kulturní činnosti </w:t>
      </w:r>
      <w:r w:rsidR="00310E42" w:rsidRPr="00EB2612">
        <w:rPr>
          <w:lang w:eastAsia="en-US"/>
        </w:rPr>
        <w:t>CZ-</w:t>
      </w:r>
      <w:r w:rsidR="00F75378" w:rsidRPr="00EB2612">
        <w:rPr>
          <w:lang w:eastAsia="en-US"/>
        </w:rPr>
        <w:t xml:space="preserve">NACE a zaměstnaní </w:t>
      </w:r>
      <w:r w:rsidR="00310E42" w:rsidRPr="00EB2612">
        <w:rPr>
          <w:lang w:eastAsia="en-US"/>
        </w:rPr>
        <w:t>CZ-</w:t>
      </w:r>
      <w:r w:rsidR="00F75378" w:rsidRPr="00EB2612">
        <w:rPr>
          <w:lang w:eastAsia="en-US"/>
        </w:rPr>
        <w:t>ISCO vymezené projektem ESS-net culture,</w:t>
      </w:r>
      <w:r w:rsidR="00515293" w:rsidRPr="00EB2612">
        <w:rPr>
          <w:lang w:eastAsia="en-US"/>
        </w:rPr>
        <w:t xml:space="preserve"> </w:t>
      </w:r>
      <w:r w:rsidR="00B92E07" w:rsidRPr="00EB2612">
        <w:rPr>
          <w:lang w:eastAsia="en-US"/>
        </w:rPr>
        <w:t xml:space="preserve">se </w:t>
      </w:r>
      <w:r w:rsidR="00A33179">
        <w:rPr>
          <w:lang w:eastAsia="en-US"/>
        </w:rPr>
        <w:t>v roce 2019</w:t>
      </w:r>
      <w:r w:rsidR="00F75378" w:rsidRPr="00EB2612">
        <w:rPr>
          <w:lang w:eastAsia="en-US"/>
        </w:rPr>
        <w:t xml:space="preserve"> mohla pohybovat</w:t>
      </w:r>
      <w:r w:rsidR="00A33179">
        <w:rPr>
          <w:lang w:eastAsia="en-US"/>
        </w:rPr>
        <w:t xml:space="preserve"> okolo 209</w:t>
      </w:r>
      <w:r w:rsidR="00B92E07" w:rsidRPr="00EB2612">
        <w:rPr>
          <w:lang w:eastAsia="en-US"/>
        </w:rPr>
        <w:t xml:space="preserve"> tis.</w:t>
      </w:r>
      <w:r w:rsidR="00F75378" w:rsidRPr="00EB2612">
        <w:rPr>
          <w:lang w:eastAsia="en-US"/>
        </w:rPr>
        <w:t xml:space="preserve"> zaměstnaných osob, respektive 4</w:t>
      </w:r>
      <w:r w:rsidR="00A92238" w:rsidRPr="00EB2612">
        <w:rPr>
          <w:lang w:eastAsia="en-US"/>
        </w:rPr>
        <w:t xml:space="preserve"> </w:t>
      </w:r>
      <w:r w:rsidR="00F75378" w:rsidRPr="00EB2612">
        <w:rPr>
          <w:lang w:eastAsia="en-US"/>
        </w:rPr>
        <w:t xml:space="preserve">% celkové zaměstnanosti. V kulturních </w:t>
      </w:r>
      <w:r w:rsidR="007F46D3" w:rsidRPr="00EB2612">
        <w:rPr>
          <w:lang w:eastAsia="en-US"/>
        </w:rPr>
        <w:t xml:space="preserve">průmyslech </w:t>
      </w:r>
      <w:r w:rsidR="00F75378" w:rsidRPr="00EB2612">
        <w:rPr>
          <w:lang w:eastAsia="en-US"/>
        </w:rPr>
        <w:t>pak podle údajů VŠPS zaměstnanost dosahovala zhr</w:t>
      </w:r>
      <w:r w:rsidR="00311332" w:rsidRPr="00EB2612">
        <w:rPr>
          <w:lang w:eastAsia="en-US"/>
        </w:rPr>
        <w:t>uba 46</w:t>
      </w:r>
      <w:r w:rsidR="00F75378" w:rsidRPr="00EB2612">
        <w:rPr>
          <w:lang w:eastAsia="en-US"/>
        </w:rPr>
        <w:t xml:space="preserve"> tis. zaměstnaných osob, přičemž zdaleka nejvíce z nich </w:t>
      </w:r>
      <w:r w:rsidR="00A33179">
        <w:rPr>
          <w:lang w:eastAsia="en-US"/>
        </w:rPr>
        <w:t>(63</w:t>
      </w:r>
      <w:r w:rsidR="00A67DF4" w:rsidRPr="00EB2612">
        <w:rPr>
          <w:lang w:eastAsia="en-US"/>
        </w:rPr>
        <w:t xml:space="preserve"> %) </w:t>
      </w:r>
      <w:r w:rsidR="00F75378" w:rsidRPr="00EB2612">
        <w:rPr>
          <w:lang w:eastAsia="en-US"/>
        </w:rPr>
        <w:t>pracovalo v oblasti knih a tisku.</w:t>
      </w:r>
    </w:p>
    <w:p w:rsidR="00015D27" w:rsidRPr="00EB2612" w:rsidRDefault="00015D27" w:rsidP="00015D27">
      <w:pPr>
        <w:pStyle w:val="Titulek"/>
        <w:keepNext/>
        <w:rPr>
          <w:color w:val="auto"/>
          <w:sz w:val="22"/>
          <w:szCs w:val="22"/>
        </w:rPr>
      </w:pPr>
      <w:bookmarkStart w:id="18" w:name="_Toc464832046"/>
      <w:r w:rsidRPr="00EB2612">
        <w:rPr>
          <w:color w:val="auto"/>
          <w:sz w:val="22"/>
          <w:szCs w:val="22"/>
        </w:rPr>
        <w:t xml:space="preserve">Tabulka </w:t>
      </w:r>
      <w:r w:rsidR="00781DF4" w:rsidRPr="00EB2612">
        <w:rPr>
          <w:color w:val="auto"/>
          <w:sz w:val="22"/>
          <w:szCs w:val="22"/>
        </w:rPr>
        <w:fldChar w:fldCharType="begin"/>
      </w:r>
      <w:r w:rsidRPr="00EB2612">
        <w:rPr>
          <w:color w:val="auto"/>
          <w:sz w:val="22"/>
          <w:szCs w:val="22"/>
        </w:rPr>
        <w:instrText xml:space="preserve"> SEQ Tabulka \* ARABIC </w:instrText>
      </w:r>
      <w:r w:rsidR="00781DF4" w:rsidRPr="00EB2612">
        <w:rPr>
          <w:color w:val="auto"/>
          <w:sz w:val="22"/>
          <w:szCs w:val="22"/>
        </w:rPr>
        <w:fldChar w:fldCharType="separate"/>
      </w:r>
      <w:r w:rsidR="00705045">
        <w:rPr>
          <w:noProof/>
          <w:color w:val="auto"/>
          <w:sz w:val="22"/>
          <w:szCs w:val="22"/>
        </w:rPr>
        <w:t>3</w:t>
      </w:r>
      <w:r w:rsidR="00781DF4" w:rsidRPr="00EB2612">
        <w:rPr>
          <w:color w:val="auto"/>
          <w:sz w:val="22"/>
          <w:szCs w:val="22"/>
        </w:rPr>
        <w:fldChar w:fldCharType="end"/>
      </w:r>
      <w:r w:rsidR="00AF026E" w:rsidRPr="00EB2612">
        <w:rPr>
          <w:color w:val="auto"/>
          <w:sz w:val="22"/>
          <w:szCs w:val="22"/>
        </w:rPr>
        <w:t xml:space="preserve"> </w:t>
      </w:r>
      <w:r w:rsidR="002D4AB1" w:rsidRPr="00EB2612">
        <w:rPr>
          <w:b w:val="0"/>
          <w:color w:val="auto"/>
          <w:sz w:val="22"/>
          <w:szCs w:val="22"/>
        </w:rPr>
        <w:t>Odhad počtu zaměstn</w:t>
      </w:r>
      <w:r w:rsidR="00792A45" w:rsidRPr="00EB2612">
        <w:rPr>
          <w:b w:val="0"/>
          <w:color w:val="auto"/>
          <w:sz w:val="22"/>
          <w:szCs w:val="22"/>
        </w:rPr>
        <w:t>aných osob v kultuře v r</w:t>
      </w:r>
      <w:r w:rsidR="00A076EF" w:rsidRPr="00EB2612">
        <w:rPr>
          <w:b w:val="0"/>
          <w:color w:val="auto"/>
          <w:sz w:val="22"/>
          <w:szCs w:val="22"/>
        </w:rPr>
        <w:t>oce 2019</w:t>
      </w:r>
      <w:r w:rsidR="002D4AB1" w:rsidRPr="00EB2612">
        <w:rPr>
          <w:b w:val="0"/>
          <w:color w:val="auto"/>
          <w:sz w:val="22"/>
          <w:szCs w:val="22"/>
        </w:rPr>
        <w:t xml:space="preserve"> </w:t>
      </w:r>
      <w:r w:rsidR="00904083" w:rsidRPr="00EB2612">
        <w:rPr>
          <w:b w:val="0"/>
          <w:color w:val="auto"/>
          <w:sz w:val="22"/>
          <w:szCs w:val="22"/>
        </w:rPr>
        <w:t>v tis. osob</w:t>
      </w:r>
      <w:bookmarkEnd w:id="18"/>
      <w:r w:rsidR="002D4AB1" w:rsidRPr="00EB2612">
        <w:rPr>
          <w:b w:val="0"/>
          <w:color w:val="auto"/>
          <w:sz w:val="22"/>
          <w:szCs w:val="22"/>
        </w:rPr>
        <w:t xml:space="preserve"> </w:t>
      </w:r>
    </w:p>
    <w:tbl>
      <w:tblPr>
        <w:tblW w:w="9560" w:type="dxa"/>
        <w:tblInd w:w="55" w:type="dxa"/>
        <w:tblCellMar>
          <w:left w:w="70" w:type="dxa"/>
          <w:right w:w="70" w:type="dxa"/>
        </w:tblCellMar>
        <w:tblLook w:val="04A0"/>
      </w:tblPr>
      <w:tblGrid>
        <w:gridCol w:w="3460"/>
        <w:gridCol w:w="2500"/>
        <w:gridCol w:w="2780"/>
        <w:gridCol w:w="868"/>
      </w:tblGrid>
      <w:tr w:rsidR="00C26558" w:rsidRPr="00EB2612" w:rsidTr="00E1134C">
        <w:trPr>
          <w:trHeight w:val="615"/>
        </w:trPr>
        <w:tc>
          <w:tcPr>
            <w:tcW w:w="3460" w:type="dxa"/>
            <w:tcBorders>
              <w:top w:val="single" w:sz="12" w:space="0" w:color="auto"/>
              <w:left w:val="nil"/>
              <w:bottom w:val="single" w:sz="12" w:space="0" w:color="auto"/>
              <w:right w:val="nil"/>
            </w:tcBorders>
            <w:shd w:val="clear" w:color="auto" w:fill="E5B8B7" w:themeFill="accent2" w:themeFillTint="66"/>
            <w:noWrap/>
            <w:vAlign w:val="bottom"/>
            <w:hideMark/>
          </w:tcPr>
          <w:p w:rsidR="00C26558" w:rsidRPr="00EB2612" w:rsidRDefault="00C26558" w:rsidP="00C26558">
            <w:pPr>
              <w:spacing w:after="0" w:line="240" w:lineRule="auto"/>
              <w:jc w:val="left"/>
              <w:rPr>
                <w:rFonts w:ascii="Calibri" w:hAnsi="Calibri"/>
                <w:color w:val="000000"/>
                <w:sz w:val="22"/>
                <w:szCs w:val="22"/>
              </w:rPr>
            </w:pPr>
          </w:p>
        </w:tc>
        <w:tc>
          <w:tcPr>
            <w:tcW w:w="2500" w:type="dxa"/>
            <w:tcBorders>
              <w:top w:val="single" w:sz="12" w:space="0" w:color="auto"/>
              <w:left w:val="nil"/>
              <w:bottom w:val="single" w:sz="12" w:space="0" w:color="auto"/>
              <w:right w:val="nil"/>
            </w:tcBorders>
            <w:shd w:val="clear" w:color="auto" w:fill="E5B8B7" w:themeFill="accent2" w:themeFillTint="66"/>
            <w:vAlign w:val="center"/>
            <w:hideMark/>
          </w:tcPr>
          <w:p w:rsidR="00C26558" w:rsidRPr="00EB2612" w:rsidRDefault="00C26558" w:rsidP="00AD076E">
            <w:pPr>
              <w:spacing w:after="0" w:line="240" w:lineRule="auto"/>
              <w:jc w:val="left"/>
              <w:rPr>
                <w:rFonts w:ascii="Calibri" w:hAnsi="Calibri"/>
                <w:color w:val="000000"/>
                <w:sz w:val="22"/>
                <w:szCs w:val="22"/>
              </w:rPr>
            </w:pPr>
            <w:r w:rsidRPr="00EB2612">
              <w:rPr>
                <w:rFonts w:ascii="Calibri" w:hAnsi="Calibri" w:cs="Arial"/>
                <w:color w:val="000000"/>
                <w:sz w:val="22"/>
                <w:szCs w:val="20"/>
              </w:rPr>
              <w:t>POVOLÁNÍ KULTURNÍHO CHARAKTERU</w:t>
            </w:r>
          </w:p>
        </w:tc>
        <w:tc>
          <w:tcPr>
            <w:tcW w:w="2780" w:type="dxa"/>
            <w:tcBorders>
              <w:top w:val="single" w:sz="12" w:space="0" w:color="auto"/>
              <w:left w:val="nil"/>
              <w:bottom w:val="single" w:sz="12" w:space="0" w:color="auto"/>
              <w:right w:val="nil"/>
            </w:tcBorders>
            <w:shd w:val="clear" w:color="auto" w:fill="E5B8B7" w:themeFill="accent2" w:themeFillTint="66"/>
            <w:vAlign w:val="center"/>
            <w:hideMark/>
          </w:tcPr>
          <w:p w:rsidR="00C26558" w:rsidRPr="00EB2612" w:rsidRDefault="00C26558" w:rsidP="00AD076E">
            <w:pPr>
              <w:spacing w:after="0" w:line="240" w:lineRule="auto"/>
              <w:jc w:val="left"/>
              <w:rPr>
                <w:rFonts w:ascii="Calibri" w:hAnsi="Calibri"/>
                <w:color w:val="000000"/>
                <w:sz w:val="22"/>
                <w:szCs w:val="22"/>
              </w:rPr>
            </w:pPr>
            <w:r w:rsidRPr="00EB2612">
              <w:rPr>
                <w:rFonts w:ascii="Calibri" w:hAnsi="Calibri" w:cs="Arial"/>
                <w:color w:val="000000"/>
                <w:sz w:val="22"/>
                <w:szCs w:val="20"/>
              </w:rPr>
              <w:t>POVOLÁNÍ NEKULTURNÍHO CHARAKTERU</w:t>
            </w:r>
          </w:p>
        </w:tc>
        <w:tc>
          <w:tcPr>
            <w:tcW w:w="820" w:type="dxa"/>
            <w:tcBorders>
              <w:top w:val="single" w:sz="12" w:space="0" w:color="auto"/>
              <w:left w:val="nil"/>
              <w:bottom w:val="single" w:sz="12" w:space="0" w:color="auto"/>
              <w:right w:val="nil"/>
            </w:tcBorders>
            <w:shd w:val="clear" w:color="auto" w:fill="E5B8B7" w:themeFill="accent2" w:themeFillTint="66"/>
            <w:noWrap/>
            <w:vAlign w:val="center"/>
            <w:hideMark/>
          </w:tcPr>
          <w:p w:rsidR="00C26558" w:rsidRPr="00EB2612" w:rsidRDefault="00C26558" w:rsidP="00C26558">
            <w:pPr>
              <w:spacing w:after="0" w:line="240" w:lineRule="auto"/>
              <w:jc w:val="center"/>
              <w:rPr>
                <w:rFonts w:ascii="Calibri" w:hAnsi="Calibri"/>
                <w:color w:val="000000"/>
                <w:sz w:val="22"/>
                <w:szCs w:val="22"/>
              </w:rPr>
            </w:pPr>
            <w:r w:rsidRPr="00EB2612">
              <w:rPr>
                <w:rFonts w:ascii="Calibri" w:hAnsi="Calibri" w:cs="Arial"/>
                <w:color w:val="000000"/>
                <w:sz w:val="22"/>
                <w:szCs w:val="20"/>
              </w:rPr>
              <w:t>CELKEM</w:t>
            </w:r>
          </w:p>
        </w:tc>
      </w:tr>
      <w:tr w:rsidR="00C26558" w:rsidRPr="00EB2612" w:rsidTr="00E1134C">
        <w:trPr>
          <w:trHeight w:val="300"/>
        </w:trPr>
        <w:tc>
          <w:tcPr>
            <w:tcW w:w="3460" w:type="dxa"/>
            <w:tcBorders>
              <w:top w:val="single" w:sz="12" w:space="0" w:color="auto"/>
              <w:left w:val="nil"/>
              <w:bottom w:val="single" w:sz="4" w:space="0" w:color="auto"/>
              <w:right w:val="nil"/>
            </w:tcBorders>
            <w:shd w:val="clear" w:color="auto" w:fill="auto"/>
            <w:noWrap/>
            <w:vAlign w:val="bottom"/>
            <w:hideMark/>
          </w:tcPr>
          <w:p w:rsidR="00C26558" w:rsidRPr="00EB2612" w:rsidRDefault="00C26558" w:rsidP="00C26558">
            <w:pPr>
              <w:spacing w:after="0" w:line="240" w:lineRule="auto"/>
              <w:jc w:val="left"/>
              <w:rPr>
                <w:rFonts w:ascii="Calibri" w:hAnsi="Calibri"/>
                <w:color w:val="000000"/>
                <w:sz w:val="22"/>
                <w:szCs w:val="22"/>
              </w:rPr>
            </w:pPr>
            <w:r w:rsidRPr="00EB2612">
              <w:rPr>
                <w:rFonts w:ascii="Calibri" w:hAnsi="Calibri" w:cs="Arial"/>
                <w:color w:val="000000"/>
                <w:sz w:val="22"/>
                <w:szCs w:val="20"/>
              </w:rPr>
              <w:t>KULTURNÍ ORGANIZACE</w:t>
            </w:r>
          </w:p>
        </w:tc>
        <w:tc>
          <w:tcPr>
            <w:tcW w:w="2500" w:type="dxa"/>
            <w:tcBorders>
              <w:top w:val="single" w:sz="12" w:space="0" w:color="auto"/>
              <w:left w:val="nil"/>
              <w:bottom w:val="single" w:sz="4"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color w:val="000000"/>
                <w:sz w:val="22"/>
                <w:szCs w:val="22"/>
              </w:rPr>
            </w:pPr>
            <w:r w:rsidRPr="00EB2612">
              <w:rPr>
                <w:rFonts w:ascii="Calibri" w:hAnsi="Calibri"/>
                <w:color w:val="000000"/>
                <w:sz w:val="22"/>
                <w:szCs w:val="22"/>
              </w:rPr>
              <w:t>90</w:t>
            </w:r>
            <w:r w:rsidR="00792A45" w:rsidRPr="00EB2612">
              <w:rPr>
                <w:rFonts w:ascii="Calibri" w:hAnsi="Calibri"/>
                <w:color w:val="000000"/>
                <w:sz w:val="22"/>
                <w:szCs w:val="22"/>
              </w:rPr>
              <w:t>,</w:t>
            </w:r>
            <w:r w:rsidRPr="00EB2612">
              <w:rPr>
                <w:rFonts w:ascii="Calibri" w:hAnsi="Calibri"/>
                <w:color w:val="000000"/>
                <w:sz w:val="22"/>
                <w:szCs w:val="22"/>
              </w:rPr>
              <w:t>2</w:t>
            </w:r>
          </w:p>
        </w:tc>
        <w:tc>
          <w:tcPr>
            <w:tcW w:w="2780" w:type="dxa"/>
            <w:tcBorders>
              <w:top w:val="single" w:sz="12" w:space="0" w:color="auto"/>
              <w:left w:val="nil"/>
              <w:bottom w:val="single" w:sz="4"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color w:val="000000"/>
                <w:sz w:val="22"/>
                <w:szCs w:val="22"/>
              </w:rPr>
            </w:pPr>
            <w:r w:rsidRPr="00EB2612">
              <w:rPr>
                <w:rFonts w:ascii="Calibri" w:hAnsi="Calibri"/>
                <w:color w:val="000000"/>
                <w:sz w:val="22"/>
                <w:szCs w:val="22"/>
              </w:rPr>
              <w:t>80</w:t>
            </w:r>
            <w:r w:rsidR="00C26558" w:rsidRPr="00EB2612">
              <w:rPr>
                <w:rFonts w:ascii="Calibri" w:hAnsi="Calibri"/>
                <w:color w:val="000000"/>
                <w:sz w:val="22"/>
                <w:szCs w:val="22"/>
              </w:rPr>
              <w:t>,</w:t>
            </w:r>
            <w:r w:rsidRPr="00EB2612">
              <w:rPr>
                <w:rFonts w:ascii="Calibri" w:hAnsi="Calibri"/>
                <w:color w:val="000000"/>
                <w:sz w:val="22"/>
                <w:szCs w:val="22"/>
              </w:rPr>
              <w:t>1</w:t>
            </w:r>
          </w:p>
        </w:tc>
        <w:tc>
          <w:tcPr>
            <w:tcW w:w="820" w:type="dxa"/>
            <w:tcBorders>
              <w:top w:val="single" w:sz="12" w:space="0" w:color="auto"/>
              <w:left w:val="nil"/>
              <w:bottom w:val="single" w:sz="4"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color w:val="000000"/>
                <w:sz w:val="22"/>
                <w:szCs w:val="22"/>
              </w:rPr>
            </w:pPr>
            <w:r w:rsidRPr="00EB2612">
              <w:rPr>
                <w:rFonts w:ascii="Calibri" w:hAnsi="Calibri"/>
                <w:color w:val="000000"/>
                <w:sz w:val="22"/>
                <w:szCs w:val="22"/>
              </w:rPr>
              <w:t>170</w:t>
            </w:r>
            <w:r w:rsidR="00C26558" w:rsidRPr="00EB2612">
              <w:rPr>
                <w:rFonts w:ascii="Calibri" w:hAnsi="Calibri"/>
                <w:color w:val="000000"/>
                <w:sz w:val="22"/>
                <w:szCs w:val="22"/>
              </w:rPr>
              <w:t>,</w:t>
            </w:r>
            <w:r w:rsidRPr="00EB2612">
              <w:rPr>
                <w:rFonts w:ascii="Calibri" w:hAnsi="Calibri"/>
                <w:color w:val="000000"/>
                <w:sz w:val="22"/>
                <w:szCs w:val="22"/>
              </w:rPr>
              <w:t>3</w:t>
            </w:r>
          </w:p>
        </w:tc>
      </w:tr>
      <w:tr w:rsidR="00C26558" w:rsidRPr="00EB2612" w:rsidTr="00AD076E">
        <w:trPr>
          <w:trHeight w:val="300"/>
        </w:trPr>
        <w:tc>
          <w:tcPr>
            <w:tcW w:w="3460" w:type="dxa"/>
            <w:tcBorders>
              <w:top w:val="single" w:sz="4" w:space="0" w:color="auto"/>
              <w:left w:val="nil"/>
              <w:bottom w:val="nil"/>
              <w:right w:val="nil"/>
            </w:tcBorders>
            <w:shd w:val="clear" w:color="auto" w:fill="auto"/>
            <w:noWrap/>
            <w:vAlign w:val="center"/>
            <w:hideMark/>
          </w:tcPr>
          <w:p w:rsidR="00C26558" w:rsidRPr="00EB2612" w:rsidRDefault="00C26558"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Kulturní sektor</w:t>
            </w:r>
          </w:p>
        </w:tc>
        <w:tc>
          <w:tcPr>
            <w:tcW w:w="2500" w:type="dxa"/>
            <w:tcBorders>
              <w:top w:val="single" w:sz="4" w:space="0" w:color="auto"/>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42</w:t>
            </w:r>
            <w:r w:rsidR="00C26558" w:rsidRPr="00EB2612">
              <w:rPr>
                <w:rFonts w:ascii="Calibri" w:hAnsi="Calibri"/>
                <w:b/>
                <w:color w:val="000000"/>
                <w:sz w:val="22"/>
                <w:szCs w:val="22"/>
              </w:rPr>
              <w:t>,</w:t>
            </w:r>
            <w:r w:rsidRPr="00EB2612">
              <w:rPr>
                <w:rFonts w:ascii="Calibri" w:hAnsi="Calibri"/>
                <w:b/>
                <w:color w:val="000000"/>
                <w:sz w:val="22"/>
                <w:szCs w:val="22"/>
              </w:rPr>
              <w:t>9</w:t>
            </w:r>
          </w:p>
        </w:tc>
        <w:tc>
          <w:tcPr>
            <w:tcW w:w="2780" w:type="dxa"/>
            <w:tcBorders>
              <w:top w:val="single" w:sz="4" w:space="0" w:color="auto"/>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24</w:t>
            </w:r>
            <w:r w:rsidR="00C26558" w:rsidRPr="00EB2612">
              <w:rPr>
                <w:rFonts w:ascii="Calibri" w:hAnsi="Calibri"/>
                <w:b/>
                <w:color w:val="000000"/>
                <w:sz w:val="22"/>
                <w:szCs w:val="22"/>
              </w:rPr>
              <w:t>,</w:t>
            </w:r>
            <w:r w:rsidRPr="00EB2612">
              <w:rPr>
                <w:rFonts w:ascii="Calibri" w:hAnsi="Calibri"/>
                <w:b/>
                <w:color w:val="000000"/>
                <w:sz w:val="22"/>
                <w:szCs w:val="22"/>
              </w:rPr>
              <w:t>9</w:t>
            </w:r>
          </w:p>
        </w:tc>
        <w:tc>
          <w:tcPr>
            <w:tcW w:w="820" w:type="dxa"/>
            <w:tcBorders>
              <w:top w:val="single" w:sz="4" w:space="0" w:color="auto"/>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67</w:t>
            </w:r>
            <w:r w:rsidR="00C26558" w:rsidRPr="00EB2612">
              <w:rPr>
                <w:rFonts w:ascii="Calibri" w:hAnsi="Calibri"/>
                <w:b/>
                <w:color w:val="000000"/>
                <w:sz w:val="22"/>
                <w:szCs w:val="22"/>
              </w:rPr>
              <w:t>,</w:t>
            </w:r>
            <w:r w:rsidRPr="00EB2612">
              <w:rPr>
                <w:rFonts w:ascii="Calibri" w:hAnsi="Calibri"/>
                <w:b/>
                <w:color w:val="000000"/>
                <w:sz w:val="22"/>
                <w:szCs w:val="22"/>
              </w:rPr>
              <w:t>8</w:t>
            </w: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Kulturní průmysly</w:t>
            </w:r>
          </w:p>
        </w:tc>
        <w:tc>
          <w:tcPr>
            <w:tcW w:w="2500" w:type="dxa"/>
            <w:tcBorders>
              <w:top w:val="nil"/>
              <w:left w:val="nil"/>
              <w:bottom w:val="nil"/>
              <w:right w:val="nil"/>
            </w:tcBorders>
            <w:shd w:val="clear" w:color="auto" w:fill="auto"/>
            <w:noWrap/>
            <w:vAlign w:val="center"/>
            <w:hideMark/>
          </w:tcPr>
          <w:p w:rsidR="00C26558" w:rsidRPr="00EB2612" w:rsidRDefault="00792A45"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27</w:t>
            </w:r>
            <w:r w:rsidR="00C26558" w:rsidRPr="00EB2612">
              <w:rPr>
                <w:rFonts w:ascii="Calibri" w:hAnsi="Calibri"/>
                <w:b/>
                <w:color w:val="000000"/>
                <w:sz w:val="22"/>
                <w:szCs w:val="22"/>
              </w:rPr>
              <w:t>,</w:t>
            </w:r>
            <w:r w:rsidR="00AC1B69" w:rsidRPr="00EB2612">
              <w:rPr>
                <w:rFonts w:ascii="Calibri" w:hAnsi="Calibri"/>
                <w:b/>
                <w:color w:val="000000"/>
                <w:sz w:val="22"/>
                <w:szCs w:val="22"/>
              </w:rPr>
              <w:t>3</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18</w:t>
            </w:r>
            <w:r w:rsidR="00C26558" w:rsidRPr="00EB2612">
              <w:rPr>
                <w:rFonts w:ascii="Calibri" w:hAnsi="Calibri"/>
                <w:b/>
                <w:color w:val="000000"/>
                <w:sz w:val="22"/>
                <w:szCs w:val="22"/>
              </w:rPr>
              <w:t>,</w:t>
            </w:r>
            <w:r w:rsidRPr="00EB2612">
              <w:rPr>
                <w:rFonts w:ascii="Calibri" w:hAnsi="Calibri"/>
                <w:b/>
                <w:color w:val="000000"/>
                <w:sz w:val="22"/>
                <w:szCs w:val="22"/>
              </w:rPr>
              <w:t>4</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45</w:t>
            </w:r>
            <w:r w:rsidR="00C26558" w:rsidRPr="00EB2612">
              <w:rPr>
                <w:rFonts w:ascii="Calibri" w:hAnsi="Calibri"/>
                <w:b/>
                <w:color w:val="000000"/>
                <w:sz w:val="22"/>
                <w:szCs w:val="22"/>
              </w:rPr>
              <w:t>,</w:t>
            </w:r>
            <w:r w:rsidRPr="00EB2612">
              <w:rPr>
                <w:rFonts w:ascii="Calibri" w:hAnsi="Calibri"/>
                <w:b/>
                <w:color w:val="000000"/>
                <w:sz w:val="22"/>
                <w:szCs w:val="22"/>
              </w:rPr>
              <w:t>8</w:t>
            </w:r>
          </w:p>
        </w:tc>
      </w:tr>
      <w:tr w:rsidR="00C26558" w:rsidRPr="00EB2612" w:rsidTr="00AD076E">
        <w:trPr>
          <w:trHeight w:val="300"/>
        </w:trPr>
        <w:tc>
          <w:tcPr>
            <w:tcW w:w="5960" w:type="dxa"/>
            <w:gridSpan w:val="2"/>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hanging="87"/>
              <w:jc w:val="left"/>
              <w:rPr>
                <w:rFonts w:ascii="Calibri" w:hAnsi="Calibri"/>
                <w:color w:val="000000"/>
                <w:sz w:val="22"/>
                <w:szCs w:val="22"/>
              </w:rPr>
            </w:pPr>
            <w:r w:rsidRPr="00EB2612">
              <w:rPr>
                <w:rFonts w:ascii="Calibri" w:hAnsi="Calibri"/>
                <w:color w:val="000000"/>
                <w:sz w:val="22"/>
                <w:szCs w:val="22"/>
              </w:rPr>
              <w:t>z toho přibližné podíly</w:t>
            </w:r>
          </w:p>
          <w:p w:rsidR="00C26558" w:rsidRPr="00EB2612" w:rsidRDefault="00C26558" w:rsidP="00AD076E">
            <w:pPr>
              <w:spacing w:after="0" w:line="240" w:lineRule="auto"/>
              <w:ind w:left="87" w:hanging="87"/>
              <w:jc w:val="left"/>
              <w:rPr>
                <w:rFonts w:ascii="Calibri" w:hAnsi="Calibri"/>
                <w:color w:val="000000"/>
                <w:sz w:val="22"/>
                <w:szCs w:val="22"/>
              </w:rPr>
            </w:pPr>
            <w:r w:rsidRPr="00EB2612">
              <w:rPr>
                <w:rFonts w:ascii="Calibri" w:hAnsi="Calibri"/>
                <w:color w:val="000000"/>
                <w:sz w:val="22"/>
                <w:szCs w:val="22"/>
              </w:rPr>
              <w:t>jednotlivých oblastí:</w:t>
            </w:r>
          </w:p>
        </w:tc>
        <w:tc>
          <w:tcPr>
            <w:tcW w:w="278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jc w:val="left"/>
              <w:rPr>
                <w:rFonts w:ascii="Calibri" w:hAnsi="Calibri"/>
                <w:color w:val="000000"/>
                <w:sz w:val="22"/>
                <w:szCs w:val="22"/>
              </w:rPr>
            </w:pP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Film a video</w:t>
            </w:r>
          </w:p>
        </w:tc>
        <w:tc>
          <w:tcPr>
            <w:tcW w:w="250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16,2</w:t>
            </w:r>
            <w:r w:rsidR="00C26558" w:rsidRPr="00EB2612">
              <w:rPr>
                <w:rFonts w:ascii="Calibri" w:hAnsi="Calibri"/>
                <w:color w:val="000000"/>
                <w:sz w:val="22"/>
                <w:szCs w:val="22"/>
              </w:rPr>
              <w:t>%</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20,0</w:t>
            </w:r>
            <w:r w:rsidR="00C26558" w:rsidRPr="00EB2612">
              <w:rPr>
                <w:rFonts w:ascii="Calibri" w:hAnsi="Calibri"/>
                <w:color w:val="000000"/>
                <w:sz w:val="22"/>
                <w:szCs w:val="22"/>
              </w:rPr>
              <w:t>%</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17,7</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Hudba</w:t>
            </w:r>
          </w:p>
        </w:tc>
        <w:tc>
          <w:tcPr>
            <w:tcW w:w="250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3,8</w:t>
            </w:r>
            <w:r w:rsidR="00C26558" w:rsidRPr="00EB2612">
              <w:rPr>
                <w:rFonts w:ascii="Calibri" w:hAnsi="Calibri"/>
                <w:color w:val="000000"/>
                <w:sz w:val="22"/>
                <w:szCs w:val="22"/>
              </w:rPr>
              <w:t>%</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&lt;1</w:t>
            </w:r>
            <w:r w:rsidR="00C26558" w:rsidRPr="00EB2612">
              <w:rPr>
                <w:rFonts w:ascii="Calibri" w:hAnsi="Calibri"/>
                <w:color w:val="000000"/>
                <w:sz w:val="22"/>
                <w:szCs w:val="22"/>
              </w:rPr>
              <w:t>%</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2,3</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Rozhlas</w:t>
            </w:r>
          </w:p>
        </w:tc>
        <w:tc>
          <w:tcPr>
            <w:tcW w:w="250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jc w:val="left"/>
              <w:rPr>
                <w:rFonts w:ascii="Calibri" w:hAnsi="Calibri"/>
                <w:color w:val="000000"/>
                <w:sz w:val="22"/>
                <w:szCs w:val="22"/>
              </w:rPr>
            </w:pPr>
            <w:r w:rsidRPr="00EB2612">
              <w:rPr>
                <w:rFonts w:ascii="Calibri" w:hAnsi="Calibri"/>
                <w:color w:val="000000"/>
                <w:sz w:val="22"/>
                <w:szCs w:val="22"/>
              </w:rPr>
              <w:t>8</w:t>
            </w:r>
            <w:r w:rsidR="00AC1B69" w:rsidRPr="00EB2612">
              <w:rPr>
                <w:rFonts w:ascii="Calibri" w:hAnsi="Calibri"/>
                <w:color w:val="000000"/>
                <w:sz w:val="22"/>
                <w:szCs w:val="22"/>
              </w:rPr>
              <w:t>,4</w:t>
            </w:r>
            <w:r w:rsidRPr="00EB2612">
              <w:rPr>
                <w:rFonts w:ascii="Calibri" w:hAnsi="Calibri"/>
                <w:color w:val="000000"/>
                <w:sz w:val="22"/>
                <w:szCs w:val="22"/>
              </w:rPr>
              <w:t>%</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6,5</w:t>
            </w:r>
            <w:r w:rsidR="00C26558" w:rsidRPr="00EB2612">
              <w:rPr>
                <w:rFonts w:ascii="Calibri" w:hAnsi="Calibri"/>
                <w:color w:val="000000"/>
                <w:sz w:val="22"/>
                <w:szCs w:val="22"/>
              </w:rPr>
              <w:t>%</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7,6</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Televize</w:t>
            </w:r>
          </w:p>
        </w:tc>
        <w:tc>
          <w:tcPr>
            <w:tcW w:w="250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11,3</w:t>
            </w:r>
            <w:r w:rsidR="00C26558" w:rsidRPr="00EB2612">
              <w:rPr>
                <w:rFonts w:ascii="Calibri" w:hAnsi="Calibri"/>
                <w:color w:val="000000"/>
                <w:sz w:val="22"/>
                <w:szCs w:val="22"/>
              </w:rPr>
              <w:t>%</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6,1</w:t>
            </w:r>
            <w:r w:rsidR="00C26558" w:rsidRPr="00EB2612">
              <w:rPr>
                <w:rFonts w:ascii="Calibri" w:hAnsi="Calibri"/>
                <w:color w:val="000000"/>
                <w:sz w:val="22"/>
                <w:szCs w:val="22"/>
              </w:rPr>
              <w:t>%</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9,2</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bottom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Knihy a tisk</w:t>
            </w:r>
          </w:p>
        </w:tc>
        <w:tc>
          <w:tcPr>
            <w:tcW w:w="250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60,3</w:t>
            </w:r>
            <w:r w:rsidR="00C26558" w:rsidRPr="00EB2612">
              <w:rPr>
                <w:rFonts w:ascii="Calibri" w:hAnsi="Calibri"/>
                <w:color w:val="000000"/>
                <w:sz w:val="22"/>
                <w:szCs w:val="22"/>
              </w:rPr>
              <w:t>%</w:t>
            </w:r>
          </w:p>
        </w:tc>
        <w:tc>
          <w:tcPr>
            <w:tcW w:w="278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66,5</w:t>
            </w:r>
            <w:r w:rsidR="00C26558" w:rsidRPr="00EB2612">
              <w:rPr>
                <w:rFonts w:ascii="Calibri" w:hAnsi="Calibri"/>
                <w:color w:val="000000"/>
                <w:sz w:val="22"/>
                <w:szCs w:val="22"/>
              </w:rPr>
              <w:t>%</w:t>
            </w:r>
          </w:p>
        </w:tc>
        <w:tc>
          <w:tcPr>
            <w:tcW w:w="820" w:type="dxa"/>
            <w:tcBorders>
              <w:top w:val="nil"/>
              <w:left w:val="nil"/>
              <w:bottom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62,8</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right w:val="nil"/>
            </w:tcBorders>
            <w:shd w:val="clear" w:color="auto" w:fill="auto"/>
            <w:noWrap/>
            <w:vAlign w:val="center"/>
            <w:hideMark/>
          </w:tcPr>
          <w:p w:rsidR="00C26558" w:rsidRPr="00EB2612" w:rsidRDefault="00C26558" w:rsidP="00AD076E">
            <w:pPr>
              <w:spacing w:after="0" w:line="240" w:lineRule="auto"/>
              <w:ind w:left="87"/>
              <w:jc w:val="left"/>
              <w:rPr>
                <w:rFonts w:ascii="Calibri" w:hAnsi="Calibri"/>
                <w:color w:val="000000"/>
                <w:sz w:val="22"/>
                <w:szCs w:val="22"/>
              </w:rPr>
            </w:pPr>
            <w:r w:rsidRPr="00EB2612">
              <w:rPr>
                <w:rFonts w:ascii="Calibri" w:hAnsi="Calibri"/>
                <w:color w:val="000000"/>
                <w:sz w:val="22"/>
                <w:szCs w:val="22"/>
              </w:rPr>
              <w:t>Videohry</w:t>
            </w:r>
          </w:p>
        </w:tc>
        <w:tc>
          <w:tcPr>
            <w:tcW w:w="2500" w:type="dxa"/>
            <w:tcBorders>
              <w:top w:val="nil"/>
              <w:left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&lt;1</w:t>
            </w:r>
            <w:r w:rsidR="00C26558" w:rsidRPr="00EB2612">
              <w:rPr>
                <w:rFonts w:ascii="Calibri" w:hAnsi="Calibri"/>
                <w:color w:val="000000"/>
                <w:sz w:val="22"/>
                <w:szCs w:val="22"/>
              </w:rPr>
              <w:t>%</w:t>
            </w:r>
          </w:p>
        </w:tc>
        <w:tc>
          <w:tcPr>
            <w:tcW w:w="2780" w:type="dxa"/>
            <w:tcBorders>
              <w:top w:val="nil"/>
              <w:left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0,7</w:t>
            </w:r>
            <w:r w:rsidR="00C26558" w:rsidRPr="00EB2612">
              <w:rPr>
                <w:rFonts w:ascii="Calibri" w:hAnsi="Calibri"/>
                <w:color w:val="000000"/>
                <w:sz w:val="22"/>
                <w:szCs w:val="22"/>
              </w:rPr>
              <w:t>%</w:t>
            </w:r>
          </w:p>
        </w:tc>
        <w:tc>
          <w:tcPr>
            <w:tcW w:w="820" w:type="dxa"/>
            <w:tcBorders>
              <w:top w:val="nil"/>
              <w:left w:val="nil"/>
              <w:right w:val="nil"/>
            </w:tcBorders>
            <w:shd w:val="clear" w:color="auto" w:fill="auto"/>
            <w:noWrap/>
            <w:vAlign w:val="center"/>
            <w:hideMark/>
          </w:tcPr>
          <w:p w:rsidR="00C26558" w:rsidRPr="00EB2612" w:rsidRDefault="00AC1B69" w:rsidP="00AD076E">
            <w:pPr>
              <w:spacing w:after="0" w:line="240" w:lineRule="auto"/>
              <w:jc w:val="left"/>
              <w:rPr>
                <w:rFonts w:ascii="Calibri" w:hAnsi="Calibri"/>
                <w:color w:val="000000"/>
                <w:sz w:val="22"/>
                <w:szCs w:val="22"/>
              </w:rPr>
            </w:pPr>
            <w:r w:rsidRPr="00EB2612">
              <w:rPr>
                <w:rFonts w:ascii="Calibri" w:hAnsi="Calibri"/>
                <w:color w:val="000000"/>
                <w:sz w:val="22"/>
                <w:szCs w:val="22"/>
              </w:rPr>
              <w:t>0,3</w:t>
            </w:r>
            <w:r w:rsidR="00C26558" w:rsidRPr="00EB2612">
              <w:rPr>
                <w:rFonts w:ascii="Calibri" w:hAnsi="Calibri"/>
                <w:color w:val="000000"/>
                <w:sz w:val="22"/>
                <w:szCs w:val="22"/>
              </w:rPr>
              <w:t>%</w:t>
            </w:r>
          </w:p>
        </w:tc>
      </w:tr>
      <w:tr w:rsidR="00C26558" w:rsidRPr="00EB2612" w:rsidTr="00AD076E">
        <w:trPr>
          <w:trHeight w:val="300"/>
        </w:trPr>
        <w:tc>
          <w:tcPr>
            <w:tcW w:w="3460" w:type="dxa"/>
            <w:tcBorders>
              <w:top w:val="nil"/>
              <w:left w:val="nil"/>
              <w:bottom w:val="single" w:sz="4" w:space="0" w:color="auto"/>
              <w:right w:val="nil"/>
            </w:tcBorders>
            <w:shd w:val="clear" w:color="auto" w:fill="auto"/>
            <w:noWrap/>
            <w:vAlign w:val="center"/>
            <w:hideMark/>
          </w:tcPr>
          <w:p w:rsidR="00C26558" w:rsidRPr="00EB2612" w:rsidRDefault="00C26558" w:rsidP="00AD076E">
            <w:pPr>
              <w:spacing w:after="0" w:line="240" w:lineRule="auto"/>
              <w:ind w:left="229" w:hanging="229"/>
              <w:jc w:val="left"/>
              <w:rPr>
                <w:rFonts w:ascii="Calibri" w:hAnsi="Calibri"/>
                <w:b/>
                <w:color w:val="000000"/>
                <w:sz w:val="22"/>
                <w:szCs w:val="22"/>
              </w:rPr>
            </w:pPr>
            <w:r w:rsidRPr="00EB2612">
              <w:rPr>
                <w:rFonts w:ascii="Calibri" w:hAnsi="Calibri"/>
                <w:b/>
                <w:color w:val="000000"/>
                <w:sz w:val="22"/>
                <w:szCs w:val="22"/>
              </w:rPr>
              <w:t>Kreativní průmysly</w:t>
            </w:r>
          </w:p>
        </w:tc>
        <w:tc>
          <w:tcPr>
            <w:tcW w:w="2500" w:type="dxa"/>
            <w:tcBorders>
              <w:top w:val="nil"/>
              <w:left w:val="nil"/>
              <w:bottom w:val="single" w:sz="4" w:space="0" w:color="auto"/>
              <w:right w:val="nil"/>
            </w:tcBorders>
            <w:shd w:val="clear" w:color="auto" w:fill="auto"/>
            <w:noWrap/>
            <w:vAlign w:val="center"/>
            <w:hideMark/>
          </w:tcPr>
          <w:p w:rsidR="00C26558" w:rsidRPr="00EB2612" w:rsidRDefault="00C26558"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20,</w:t>
            </w:r>
            <w:r w:rsidR="00AC1B69" w:rsidRPr="00EB2612">
              <w:rPr>
                <w:rFonts w:ascii="Calibri" w:hAnsi="Calibri"/>
                <w:b/>
                <w:color w:val="000000"/>
                <w:sz w:val="22"/>
                <w:szCs w:val="22"/>
              </w:rPr>
              <w:t>0</w:t>
            </w:r>
          </w:p>
        </w:tc>
        <w:tc>
          <w:tcPr>
            <w:tcW w:w="2780" w:type="dxa"/>
            <w:tcBorders>
              <w:top w:val="nil"/>
              <w:left w:val="nil"/>
              <w:bottom w:val="single" w:sz="4" w:space="0" w:color="auto"/>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36</w:t>
            </w:r>
            <w:r w:rsidR="00C26558" w:rsidRPr="00EB2612">
              <w:rPr>
                <w:rFonts w:ascii="Calibri" w:hAnsi="Calibri"/>
                <w:b/>
                <w:color w:val="000000"/>
                <w:sz w:val="22"/>
                <w:szCs w:val="22"/>
              </w:rPr>
              <w:t>,</w:t>
            </w:r>
            <w:r w:rsidRPr="00EB2612">
              <w:rPr>
                <w:rFonts w:ascii="Calibri" w:hAnsi="Calibri"/>
                <w:b/>
                <w:color w:val="000000"/>
                <w:sz w:val="22"/>
                <w:szCs w:val="22"/>
              </w:rPr>
              <w:t>7</w:t>
            </w:r>
          </w:p>
        </w:tc>
        <w:tc>
          <w:tcPr>
            <w:tcW w:w="820" w:type="dxa"/>
            <w:tcBorders>
              <w:top w:val="nil"/>
              <w:left w:val="nil"/>
              <w:bottom w:val="single" w:sz="4" w:space="0" w:color="auto"/>
              <w:right w:val="nil"/>
            </w:tcBorders>
            <w:shd w:val="clear" w:color="auto" w:fill="auto"/>
            <w:noWrap/>
            <w:vAlign w:val="center"/>
            <w:hideMark/>
          </w:tcPr>
          <w:p w:rsidR="00C26558" w:rsidRPr="00EB2612" w:rsidRDefault="00AC1B69" w:rsidP="00AD076E">
            <w:pPr>
              <w:spacing w:after="0" w:line="240" w:lineRule="auto"/>
              <w:jc w:val="left"/>
              <w:rPr>
                <w:rFonts w:ascii="Calibri" w:hAnsi="Calibri"/>
                <w:b/>
                <w:color w:val="000000"/>
                <w:sz w:val="22"/>
                <w:szCs w:val="22"/>
              </w:rPr>
            </w:pPr>
            <w:r w:rsidRPr="00EB2612">
              <w:rPr>
                <w:rFonts w:ascii="Calibri" w:hAnsi="Calibri"/>
                <w:b/>
                <w:color w:val="000000"/>
                <w:sz w:val="22"/>
                <w:szCs w:val="22"/>
              </w:rPr>
              <w:t>56</w:t>
            </w:r>
            <w:r w:rsidR="00C26558" w:rsidRPr="00EB2612">
              <w:rPr>
                <w:rFonts w:ascii="Calibri" w:hAnsi="Calibri"/>
                <w:b/>
                <w:color w:val="000000"/>
                <w:sz w:val="22"/>
                <w:szCs w:val="22"/>
              </w:rPr>
              <w:t>,</w:t>
            </w:r>
            <w:r w:rsidRPr="00EB2612">
              <w:rPr>
                <w:rFonts w:ascii="Calibri" w:hAnsi="Calibri"/>
                <w:b/>
                <w:color w:val="000000"/>
                <w:sz w:val="22"/>
                <w:szCs w:val="22"/>
              </w:rPr>
              <w:t>7</w:t>
            </w:r>
          </w:p>
        </w:tc>
      </w:tr>
      <w:tr w:rsidR="00C26558" w:rsidRPr="00EB2612" w:rsidTr="00C26558">
        <w:trPr>
          <w:trHeight w:val="600"/>
        </w:trPr>
        <w:tc>
          <w:tcPr>
            <w:tcW w:w="3460" w:type="dxa"/>
            <w:tcBorders>
              <w:top w:val="single" w:sz="4" w:space="0" w:color="auto"/>
              <w:left w:val="nil"/>
              <w:bottom w:val="single" w:sz="4" w:space="0" w:color="auto"/>
              <w:right w:val="nil"/>
            </w:tcBorders>
            <w:shd w:val="clear" w:color="auto" w:fill="auto"/>
            <w:vAlign w:val="bottom"/>
            <w:hideMark/>
          </w:tcPr>
          <w:p w:rsidR="00C26558" w:rsidRPr="00EB2612" w:rsidRDefault="00C26558" w:rsidP="00C26558">
            <w:pPr>
              <w:spacing w:after="0" w:line="240" w:lineRule="auto"/>
              <w:jc w:val="left"/>
              <w:rPr>
                <w:rFonts w:ascii="Calibri" w:hAnsi="Calibri"/>
                <w:color w:val="000000"/>
                <w:sz w:val="22"/>
                <w:szCs w:val="22"/>
              </w:rPr>
            </w:pPr>
            <w:r w:rsidRPr="00EB2612">
              <w:rPr>
                <w:rFonts w:ascii="Calibri" w:hAnsi="Calibri"/>
                <w:color w:val="000000"/>
                <w:sz w:val="22"/>
                <w:szCs w:val="22"/>
              </w:rPr>
              <w:t>ORGANIZACE S JINÝM NEŽ KULTURNÍM ZAMĚŘENÍM</w:t>
            </w:r>
          </w:p>
        </w:tc>
        <w:tc>
          <w:tcPr>
            <w:tcW w:w="2500" w:type="dxa"/>
            <w:tcBorders>
              <w:top w:val="single" w:sz="4" w:space="0" w:color="auto"/>
              <w:left w:val="nil"/>
              <w:bottom w:val="single" w:sz="4"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color w:val="000000"/>
                <w:sz w:val="22"/>
                <w:szCs w:val="22"/>
              </w:rPr>
            </w:pPr>
            <w:r w:rsidRPr="00EB2612">
              <w:rPr>
                <w:rFonts w:ascii="Calibri" w:hAnsi="Calibri"/>
                <w:color w:val="000000"/>
                <w:sz w:val="22"/>
                <w:szCs w:val="22"/>
              </w:rPr>
              <w:t>38</w:t>
            </w:r>
            <w:r w:rsidR="00C26558" w:rsidRPr="00EB2612">
              <w:rPr>
                <w:rFonts w:ascii="Calibri" w:hAnsi="Calibri"/>
                <w:color w:val="000000"/>
                <w:sz w:val="22"/>
                <w:szCs w:val="22"/>
              </w:rPr>
              <w:t>,</w:t>
            </w:r>
            <w:r w:rsidRPr="00EB2612">
              <w:rPr>
                <w:rFonts w:ascii="Calibri" w:hAnsi="Calibri"/>
                <w:color w:val="000000"/>
                <w:sz w:val="22"/>
                <w:szCs w:val="22"/>
              </w:rPr>
              <w:t>6</w:t>
            </w:r>
          </w:p>
        </w:tc>
        <w:tc>
          <w:tcPr>
            <w:tcW w:w="2780" w:type="dxa"/>
            <w:tcBorders>
              <w:top w:val="single" w:sz="4" w:space="0" w:color="auto"/>
              <w:left w:val="nil"/>
              <w:bottom w:val="single" w:sz="4" w:space="0" w:color="auto"/>
              <w:right w:val="nil"/>
            </w:tcBorders>
            <w:shd w:val="clear" w:color="auto" w:fill="auto"/>
            <w:noWrap/>
            <w:vAlign w:val="center"/>
            <w:hideMark/>
          </w:tcPr>
          <w:p w:rsidR="00C26558" w:rsidRPr="00EB2612" w:rsidRDefault="00792A45" w:rsidP="00C26558">
            <w:pPr>
              <w:spacing w:after="0" w:line="240" w:lineRule="auto"/>
              <w:jc w:val="left"/>
              <w:rPr>
                <w:rFonts w:ascii="Calibri" w:hAnsi="Calibri"/>
                <w:color w:val="000000"/>
                <w:sz w:val="22"/>
                <w:szCs w:val="22"/>
              </w:rPr>
            </w:pPr>
            <w:r w:rsidRPr="00EB2612">
              <w:rPr>
                <w:rFonts w:ascii="Calibri" w:hAnsi="Calibri"/>
                <w:color w:val="000000"/>
                <w:sz w:val="22"/>
                <w:szCs w:val="22"/>
              </w:rPr>
              <w:t>X</w:t>
            </w:r>
          </w:p>
        </w:tc>
        <w:tc>
          <w:tcPr>
            <w:tcW w:w="820" w:type="dxa"/>
            <w:tcBorders>
              <w:top w:val="single" w:sz="4" w:space="0" w:color="auto"/>
              <w:left w:val="nil"/>
              <w:bottom w:val="single" w:sz="4"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color w:val="000000"/>
                <w:sz w:val="22"/>
                <w:szCs w:val="22"/>
              </w:rPr>
            </w:pPr>
            <w:r w:rsidRPr="00EB2612">
              <w:rPr>
                <w:rFonts w:ascii="Calibri" w:hAnsi="Calibri"/>
                <w:color w:val="000000"/>
                <w:sz w:val="22"/>
                <w:szCs w:val="22"/>
              </w:rPr>
              <w:t>38</w:t>
            </w:r>
            <w:r w:rsidR="00C26558" w:rsidRPr="00EB2612">
              <w:rPr>
                <w:rFonts w:ascii="Calibri" w:hAnsi="Calibri"/>
                <w:color w:val="000000"/>
                <w:sz w:val="22"/>
                <w:szCs w:val="22"/>
              </w:rPr>
              <w:t>,</w:t>
            </w:r>
            <w:r w:rsidRPr="00EB2612">
              <w:rPr>
                <w:rFonts w:ascii="Calibri" w:hAnsi="Calibri"/>
                <w:color w:val="000000"/>
                <w:sz w:val="22"/>
                <w:szCs w:val="22"/>
              </w:rPr>
              <w:t>6</w:t>
            </w:r>
          </w:p>
        </w:tc>
      </w:tr>
      <w:tr w:rsidR="00C26558" w:rsidRPr="00EB2612" w:rsidTr="00E1134C">
        <w:trPr>
          <w:trHeight w:val="300"/>
        </w:trPr>
        <w:tc>
          <w:tcPr>
            <w:tcW w:w="3460" w:type="dxa"/>
            <w:tcBorders>
              <w:top w:val="single" w:sz="4" w:space="0" w:color="auto"/>
              <w:left w:val="nil"/>
              <w:bottom w:val="single" w:sz="12" w:space="0" w:color="auto"/>
              <w:right w:val="nil"/>
            </w:tcBorders>
            <w:shd w:val="clear" w:color="auto" w:fill="auto"/>
            <w:noWrap/>
            <w:vAlign w:val="bottom"/>
            <w:hideMark/>
          </w:tcPr>
          <w:p w:rsidR="00C26558" w:rsidRPr="00EB2612" w:rsidRDefault="00C26558" w:rsidP="00C26558">
            <w:pPr>
              <w:spacing w:after="0" w:line="240" w:lineRule="auto"/>
              <w:jc w:val="left"/>
              <w:rPr>
                <w:rFonts w:ascii="Calibri" w:hAnsi="Calibri"/>
                <w:b/>
                <w:color w:val="000000"/>
                <w:sz w:val="22"/>
                <w:szCs w:val="22"/>
              </w:rPr>
            </w:pPr>
            <w:r w:rsidRPr="00EB2612">
              <w:rPr>
                <w:rFonts w:ascii="Calibri" w:hAnsi="Calibri"/>
                <w:b/>
                <w:color w:val="000000"/>
                <w:sz w:val="22"/>
                <w:szCs w:val="22"/>
              </w:rPr>
              <w:t>KULTURA CELKEM</w:t>
            </w:r>
          </w:p>
        </w:tc>
        <w:tc>
          <w:tcPr>
            <w:tcW w:w="2500" w:type="dxa"/>
            <w:tcBorders>
              <w:top w:val="single" w:sz="4" w:space="0" w:color="auto"/>
              <w:left w:val="nil"/>
              <w:bottom w:val="single" w:sz="12"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b/>
                <w:color w:val="000000"/>
                <w:sz w:val="22"/>
                <w:szCs w:val="22"/>
              </w:rPr>
            </w:pPr>
            <w:r w:rsidRPr="00EB2612">
              <w:rPr>
                <w:rFonts w:ascii="Calibri" w:hAnsi="Calibri"/>
                <w:b/>
                <w:color w:val="000000"/>
                <w:sz w:val="22"/>
                <w:szCs w:val="22"/>
              </w:rPr>
              <w:t>128</w:t>
            </w:r>
            <w:r w:rsidR="00C26558" w:rsidRPr="00EB2612">
              <w:rPr>
                <w:rFonts w:ascii="Calibri" w:hAnsi="Calibri"/>
                <w:b/>
                <w:color w:val="000000"/>
                <w:sz w:val="22"/>
                <w:szCs w:val="22"/>
              </w:rPr>
              <w:t>,</w:t>
            </w:r>
            <w:r w:rsidRPr="00EB2612">
              <w:rPr>
                <w:rFonts w:ascii="Calibri" w:hAnsi="Calibri"/>
                <w:b/>
                <w:color w:val="000000"/>
                <w:sz w:val="22"/>
                <w:szCs w:val="22"/>
              </w:rPr>
              <w:t>8</w:t>
            </w:r>
          </w:p>
        </w:tc>
        <w:tc>
          <w:tcPr>
            <w:tcW w:w="2780" w:type="dxa"/>
            <w:tcBorders>
              <w:top w:val="single" w:sz="4" w:space="0" w:color="auto"/>
              <w:left w:val="nil"/>
              <w:bottom w:val="single" w:sz="12"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b/>
                <w:color w:val="000000"/>
                <w:sz w:val="22"/>
                <w:szCs w:val="22"/>
              </w:rPr>
            </w:pPr>
            <w:r w:rsidRPr="00EB2612">
              <w:rPr>
                <w:rFonts w:ascii="Calibri" w:hAnsi="Calibri"/>
                <w:b/>
                <w:color w:val="000000"/>
                <w:sz w:val="22"/>
                <w:szCs w:val="22"/>
              </w:rPr>
              <w:t>80</w:t>
            </w:r>
            <w:r w:rsidR="00C26558" w:rsidRPr="00EB2612">
              <w:rPr>
                <w:rFonts w:ascii="Calibri" w:hAnsi="Calibri"/>
                <w:b/>
                <w:color w:val="000000"/>
                <w:sz w:val="22"/>
                <w:szCs w:val="22"/>
              </w:rPr>
              <w:t>,</w:t>
            </w:r>
            <w:r w:rsidRPr="00EB2612">
              <w:rPr>
                <w:rFonts w:ascii="Calibri" w:hAnsi="Calibri"/>
                <w:b/>
                <w:color w:val="000000"/>
                <w:sz w:val="22"/>
                <w:szCs w:val="22"/>
              </w:rPr>
              <w:t>1</w:t>
            </w:r>
          </w:p>
        </w:tc>
        <w:tc>
          <w:tcPr>
            <w:tcW w:w="820" w:type="dxa"/>
            <w:tcBorders>
              <w:top w:val="single" w:sz="4" w:space="0" w:color="auto"/>
              <w:left w:val="nil"/>
              <w:bottom w:val="single" w:sz="12" w:space="0" w:color="auto"/>
              <w:right w:val="nil"/>
            </w:tcBorders>
            <w:shd w:val="clear" w:color="auto" w:fill="auto"/>
            <w:noWrap/>
            <w:vAlign w:val="center"/>
            <w:hideMark/>
          </w:tcPr>
          <w:p w:rsidR="00C26558" w:rsidRPr="00EB2612" w:rsidRDefault="00AC1B69" w:rsidP="00C26558">
            <w:pPr>
              <w:spacing w:after="0" w:line="240" w:lineRule="auto"/>
              <w:jc w:val="left"/>
              <w:rPr>
                <w:rFonts w:ascii="Calibri" w:hAnsi="Calibri"/>
                <w:b/>
                <w:color w:val="000000"/>
                <w:sz w:val="22"/>
                <w:szCs w:val="22"/>
              </w:rPr>
            </w:pPr>
            <w:r w:rsidRPr="00EB2612">
              <w:rPr>
                <w:rFonts w:ascii="Calibri" w:hAnsi="Calibri"/>
                <w:b/>
                <w:color w:val="000000"/>
                <w:sz w:val="22"/>
                <w:szCs w:val="22"/>
              </w:rPr>
              <w:t>208</w:t>
            </w:r>
            <w:r w:rsidR="00C26558" w:rsidRPr="00EB2612">
              <w:rPr>
                <w:rFonts w:ascii="Calibri" w:hAnsi="Calibri"/>
                <w:b/>
                <w:color w:val="000000"/>
                <w:sz w:val="22"/>
                <w:szCs w:val="22"/>
              </w:rPr>
              <w:t>,</w:t>
            </w:r>
            <w:r w:rsidRPr="00EB2612">
              <w:rPr>
                <w:rFonts w:ascii="Calibri" w:hAnsi="Calibri"/>
                <w:b/>
                <w:color w:val="000000"/>
                <w:sz w:val="22"/>
                <w:szCs w:val="22"/>
              </w:rPr>
              <w:t>9</w:t>
            </w:r>
          </w:p>
        </w:tc>
      </w:tr>
    </w:tbl>
    <w:p w:rsidR="00522C16" w:rsidRPr="00EB2612" w:rsidRDefault="00812056" w:rsidP="00812056">
      <w:pPr>
        <w:spacing w:before="120"/>
        <w:rPr>
          <w:rFonts w:asciiTheme="minorHAnsi" w:hAnsiTheme="minorHAnsi"/>
          <w:sz w:val="22"/>
          <w:szCs w:val="22"/>
          <w:lang w:eastAsia="en-US"/>
        </w:rPr>
      </w:pPr>
      <w:r w:rsidRPr="00EB2612">
        <w:rPr>
          <w:rFonts w:asciiTheme="minorHAnsi" w:hAnsiTheme="minorHAnsi"/>
          <w:sz w:val="22"/>
          <w:szCs w:val="22"/>
          <w:lang w:eastAsia="en-US"/>
        </w:rPr>
        <w:t xml:space="preserve">Zdroj: </w:t>
      </w:r>
      <w:r w:rsidR="001E3995" w:rsidRPr="00EB2612">
        <w:rPr>
          <w:rFonts w:asciiTheme="minorHAnsi" w:hAnsiTheme="minorHAnsi"/>
          <w:sz w:val="22"/>
          <w:szCs w:val="22"/>
          <w:lang w:eastAsia="en-US"/>
        </w:rPr>
        <w:t>V</w:t>
      </w:r>
      <w:r w:rsidR="00F33F97" w:rsidRPr="00EB2612">
        <w:rPr>
          <w:rFonts w:asciiTheme="minorHAnsi" w:hAnsiTheme="minorHAnsi"/>
          <w:sz w:val="22"/>
          <w:szCs w:val="22"/>
          <w:lang w:eastAsia="en-US"/>
        </w:rPr>
        <w:t>ýběrové šetření pracovních sil, ČSÚ</w:t>
      </w:r>
    </w:p>
    <w:p w:rsidR="006A0EA1" w:rsidRPr="00EB2612" w:rsidRDefault="00D06570" w:rsidP="00D06570">
      <w:pPr>
        <w:pStyle w:val="Nadpis2"/>
        <w:numPr>
          <w:ilvl w:val="1"/>
          <w:numId w:val="17"/>
        </w:numPr>
        <w:rPr>
          <w:sz w:val="32"/>
          <w:szCs w:val="28"/>
        </w:rPr>
      </w:pPr>
      <w:bookmarkStart w:id="19" w:name="_Toc463969175"/>
      <w:bookmarkStart w:id="20" w:name="_Toc465253885"/>
      <w:bookmarkStart w:id="21" w:name="_Toc55384423"/>
      <w:r w:rsidRPr="00EB2612">
        <w:rPr>
          <w:sz w:val="32"/>
          <w:szCs w:val="28"/>
        </w:rPr>
        <w:lastRenderedPageBreak/>
        <w:t>SPOTŘEBITELSKÉ CHOVÁNÍ</w:t>
      </w:r>
      <w:bookmarkEnd w:id="19"/>
      <w:bookmarkEnd w:id="20"/>
      <w:bookmarkEnd w:id="21"/>
    </w:p>
    <w:p w:rsidR="00BB64DB" w:rsidRPr="00EB2612" w:rsidRDefault="00D06570" w:rsidP="00B414F8">
      <w:r w:rsidRPr="00EB2612">
        <w:t xml:space="preserve">Specifika chování spotřebitelů lze zachytit z několika pohledů. </w:t>
      </w:r>
      <w:r w:rsidR="009C3B45" w:rsidRPr="00EB2612">
        <w:t>Národní účty</w:t>
      </w:r>
      <w:r w:rsidR="0088598B" w:rsidRPr="00EB2612">
        <w:t xml:space="preserve"> ČSÚ přináší, mimo jiné, </w:t>
      </w:r>
      <w:r w:rsidRPr="00EB2612">
        <w:t>údaje o</w:t>
      </w:r>
      <w:r w:rsidR="00F95D6D" w:rsidRPr="00EB2612">
        <w:t> </w:t>
      </w:r>
      <w:r w:rsidRPr="00EB2612">
        <w:t xml:space="preserve">tom, kolik spotřebitelé ročně vydají za určité zboží a služby. V rámci použité klasifikace </w:t>
      </w:r>
      <w:r w:rsidR="004A30B2">
        <w:t>CZ-</w:t>
      </w:r>
      <w:r w:rsidRPr="00EB2612">
        <w:t xml:space="preserve">COICOP </w:t>
      </w:r>
      <w:r w:rsidR="005D1B6C" w:rsidRPr="00EB2612">
        <w:t>je možné</w:t>
      </w:r>
      <w:r w:rsidRPr="00EB2612">
        <w:t xml:space="preserve"> </w:t>
      </w:r>
      <w:r w:rsidR="005D1B6C" w:rsidRPr="00EB2612">
        <w:t>vyčlenit jen několik druhů</w:t>
      </w:r>
      <w:r w:rsidRPr="00EB2612">
        <w:t xml:space="preserve"> zboží a služeb, které by </w:t>
      </w:r>
      <w:r w:rsidR="005D1B6C" w:rsidRPr="00EB2612">
        <w:t>svou povahou spadaly do</w:t>
      </w:r>
      <w:r w:rsidRPr="00EB2612">
        <w:t xml:space="preserve"> odvětví kulturních průmyslů.</w:t>
      </w:r>
      <w:r w:rsidR="00BB64DB" w:rsidRPr="00EB2612">
        <w:t xml:space="preserve"> </w:t>
      </w:r>
      <w:r w:rsidR="00E86BBC" w:rsidRPr="00EB2612">
        <w:t>Přehled výdajů spotřebitelů na vybrané produkty zachycuje</w:t>
      </w:r>
      <w:r w:rsidR="00B414F8" w:rsidRPr="00EB2612">
        <w:t xml:space="preserve"> </w:t>
      </w:r>
      <w:r w:rsidR="00E86BBC" w:rsidRPr="00EB2612">
        <w:t xml:space="preserve">Graf </w:t>
      </w:r>
      <w:r w:rsidR="002F7B33" w:rsidRPr="00EB2612">
        <w:t>3</w:t>
      </w:r>
      <w:r w:rsidR="00E86BBC" w:rsidRPr="00EB2612">
        <w:t>. V</w:t>
      </w:r>
      <w:r w:rsidR="00BB64DB" w:rsidRPr="00EB2612">
        <w:t> rá</w:t>
      </w:r>
      <w:r w:rsidR="00F72FAA" w:rsidRPr="00EB2612">
        <w:t>mci sledovaných kategorií vydaly</w:t>
      </w:r>
      <w:r w:rsidR="00BB64DB" w:rsidRPr="00EB2612">
        <w:t xml:space="preserve"> </w:t>
      </w:r>
      <w:r w:rsidR="00F72FAA" w:rsidRPr="00EB2612">
        <w:t>domácnosti</w:t>
      </w:r>
      <w:r w:rsidR="00BB64DB" w:rsidRPr="00EB2612">
        <w:t xml:space="preserve"> </w:t>
      </w:r>
      <w:r w:rsidR="003031D5" w:rsidRPr="00EB2612">
        <w:t>v roce 2019</w:t>
      </w:r>
      <w:r w:rsidR="00F72FAA" w:rsidRPr="00EB2612">
        <w:t xml:space="preserve"> </w:t>
      </w:r>
      <w:r w:rsidR="00BB64DB" w:rsidRPr="00EB2612">
        <w:t xml:space="preserve">nejvíce prostředků na služby </w:t>
      </w:r>
      <w:r w:rsidR="00F72FAA" w:rsidRPr="00EB2612">
        <w:t>rozhla</w:t>
      </w:r>
      <w:r w:rsidR="00CB5E1F" w:rsidRPr="00EB2612">
        <w:t>su a televize</w:t>
      </w:r>
      <w:r w:rsidR="00E86BBC" w:rsidRPr="00EB2612">
        <w:t>, nejméně pak za fyzické hudební či</w:t>
      </w:r>
      <w:r w:rsidR="000E0D24" w:rsidRPr="00EB2612">
        <w:t> </w:t>
      </w:r>
      <w:r w:rsidR="00E86BBC" w:rsidRPr="00EB2612">
        <w:t>filmové nosiče</w:t>
      </w:r>
      <w:r w:rsidR="00CB5E1F" w:rsidRPr="00EB2612">
        <w:t>.</w:t>
      </w:r>
      <w:r w:rsidR="00E86BBC" w:rsidRPr="00EB2612">
        <w:t xml:space="preserve"> Údaje o výdajích za rozhlas a televizi jsou </w:t>
      </w:r>
      <w:r w:rsidR="00953DCA" w:rsidRPr="00EB2612">
        <w:t>očištěny o koncesionářské poplatky</w:t>
      </w:r>
      <w:r w:rsidR="00906251" w:rsidRPr="00EB2612">
        <w:t xml:space="preserve"> (spadají sem zejména poplatky za služby</w:t>
      </w:r>
      <w:r w:rsidR="00126988" w:rsidRPr="00EB2612">
        <w:t xml:space="preserve"> </w:t>
      </w:r>
      <w:r w:rsidR="00AD076E" w:rsidRPr="00EB2612">
        <w:t>zprostředkovatelům</w:t>
      </w:r>
      <w:r w:rsidR="00126988" w:rsidRPr="00EB2612">
        <w:t xml:space="preserve"> soukromého televizního vysílání</w:t>
      </w:r>
      <w:r w:rsidR="004D3F3A">
        <w:t xml:space="preserve"> a poplatky za audiovizuální služby typu Netflix či HBO GO</w:t>
      </w:r>
      <w:r w:rsidR="00126988" w:rsidRPr="00EB2612">
        <w:t>)</w:t>
      </w:r>
      <w:r w:rsidR="003031D5" w:rsidRPr="00EB2612">
        <w:t xml:space="preserve"> a v roce 2019 se oproti předchozímu roku navýšily o více než 3</w:t>
      </w:r>
      <w:r w:rsidR="00362010">
        <w:t> </w:t>
      </w:r>
      <w:r w:rsidR="003031D5" w:rsidRPr="00EB2612">
        <w:t>mld. Kč</w:t>
      </w:r>
      <w:r w:rsidR="00953DCA" w:rsidRPr="00EB2612">
        <w:t>.</w:t>
      </w:r>
      <w:r w:rsidR="003031D5" w:rsidRPr="00EB2612">
        <w:t xml:space="preserve"> Oproti předchozímu </w:t>
      </w:r>
      <w:r w:rsidR="00FA57C0">
        <w:t>roku utratili lidé také znatelně</w:t>
      </w:r>
      <w:r w:rsidR="003031D5" w:rsidRPr="00EB2612">
        <w:t xml:space="preserve"> více za knihy, zatímco výd</w:t>
      </w:r>
      <w:r w:rsidR="00FA57C0">
        <w:t>aje za noviny a</w:t>
      </w:r>
      <w:r w:rsidR="00362010">
        <w:t> </w:t>
      </w:r>
      <w:r w:rsidR="00FA57C0">
        <w:t>časopisy zůstaly</w:t>
      </w:r>
      <w:r w:rsidR="003031D5" w:rsidRPr="00EB2612">
        <w:t xml:space="preserve"> ve srovnání s předchozím rokem na stejné úrovni.</w:t>
      </w:r>
      <w:r w:rsidR="00CB5E1F" w:rsidRPr="00EB2612">
        <w:t xml:space="preserve"> </w:t>
      </w:r>
    </w:p>
    <w:p w:rsidR="00BB64DB" w:rsidRPr="00EB2612" w:rsidRDefault="00BB64DB" w:rsidP="00BB64DB">
      <w:pPr>
        <w:pStyle w:val="Titulek"/>
        <w:keepNext/>
        <w:rPr>
          <w:b w:val="0"/>
          <w:color w:val="000000" w:themeColor="text1"/>
          <w:sz w:val="22"/>
          <w:szCs w:val="22"/>
        </w:rPr>
      </w:pPr>
      <w:r w:rsidRPr="00EB2612">
        <w:rPr>
          <w:color w:val="000000" w:themeColor="text1"/>
          <w:sz w:val="22"/>
          <w:szCs w:val="22"/>
        </w:rPr>
        <w:t xml:space="preserve">Graf </w:t>
      </w:r>
      <w:r w:rsidR="001A4BAA" w:rsidRPr="00EB2612">
        <w:rPr>
          <w:color w:val="000000" w:themeColor="text1"/>
          <w:sz w:val="22"/>
          <w:szCs w:val="22"/>
        </w:rPr>
        <w:t>3</w:t>
      </w:r>
      <w:r w:rsidR="002F7B33" w:rsidRPr="00EB2612">
        <w:rPr>
          <w:color w:val="000000" w:themeColor="text1"/>
          <w:sz w:val="22"/>
          <w:szCs w:val="22"/>
        </w:rPr>
        <w:t xml:space="preserve"> </w:t>
      </w:r>
      <w:r w:rsidRPr="00EB2612">
        <w:rPr>
          <w:b w:val="0"/>
          <w:color w:val="000000" w:themeColor="text1"/>
          <w:sz w:val="22"/>
          <w:szCs w:val="22"/>
        </w:rPr>
        <w:t xml:space="preserve">Výdaje domácností na zboží </w:t>
      </w:r>
      <w:r w:rsidR="00F72FAA" w:rsidRPr="00EB2612">
        <w:rPr>
          <w:b w:val="0"/>
          <w:color w:val="000000" w:themeColor="text1"/>
          <w:sz w:val="22"/>
          <w:szCs w:val="22"/>
        </w:rPr>
        <w:t xml:space="preserve">a služby </w:t>
      </w:r>
      <w:r w:rsidRPr="00EB2612">
        <w:rPr>
          <w:b w:val="0"/>
          <w:color w:val="000000" w:themeColor="text1"/>
          <w:sz w:val="22"/>
          <w:szCs w:val="22"/>
        </w:rPr>
        <w:t>k</w:t>
      </w:r>
      <w:r w:rsidR="00954561" w:rsidRPr="00EB2612">
        <w:rPr>
          <w:b w:val="0"/>
          <w:color w:val="000000" w:themeColor="text1"/>
          <w:sz w:val="22"/>
          <w:szCs w:val="22"/>
        </w:rPr>
        <w:t xml:space="preserve">ulturního charakteru </w:t>
      </w:r>
      <w:r w:rsidR="00194011" w:rsidRPr="00EB2612">
        <w:rPr>
          <w:b w:val="0"/>
          <w:color w:val="000000" w:themeColor="text1"/>
          <w:sz w:val="22"/>
          <w:szCs w:val="22"/>
        </w:rPr>
        <w:t>v letech</w:t>
      </w:r>
      <w:r w:rsidR="004A30B2">
        <w:rPr>
          <w:b w:val="0"/>
          <w:color w:val="000000" w:themeColor="text1"/>
          <w:sz w:val="22"/>
          <w:szCs w:val="22"/>
        </w:rPr>
        <w:t xml:space="preserve"> 2018 a 2019</w:t>
      </w:r>
      <w:r w:rsidRPr="00EB2612">
        <w:rPr>
          <w:b w:val="0"/>
          <w:color w:val="000000" w:themeColor="text1"/>
          <w:sz w:val="22"/>
          <w:szCs w:val="22"/>
        </w:rPr>
        <w:t xml:space="preserve"> </w:t>
      </w:r>
      <w:r w:rsidR="00BA5682" w:rsidRPr="00EB2612">
        <w:rPr>
          <w:b w:val="0"/>
          <w:color w:val="000000" w:themeColor="text1"/>
          <w:sz w:val="22"/>
          <w:szCs w:val="22"/>
        </w:rPr>
        <w:t>(v mld</w:t>
      </w:r>
      <w:r w:rsidRPr="00EB2612">
        <w:rPr>
          <w:b w:val="0"/>
          <w:color w:val="000000" w:themeColor="text1"/>
          <w:sz w:val="22"/>
          <w:szCs w:val="22"/>
        </w:rPr>
        <w:t>. Kč)</w:t>
      </w:r>
    </w:p>
    <w:p w:rsidR="003031D5" w:rsidRPr="00EB2612" w:rsidRDefault="003031D5" w:rsidP="003031D5">
      <w:pPr>
        <w:jc w:val="center"/>
        <w:rPr>
          <w:lang w:eastAsia="en-US"/>
        </w:rPr>
      </w:pPr>
      <w:r w:rsidRPr="00EB2612">
        <w:rPr>
          <w:noProof/>
        </w:rPr>
        <w:drawing>
          <wp:inline distT="0" distB="0" distL="0" distR="0">
            <wp:extent cx="4572000" cy="2257425"/>
            <wp:effectExtent l="0" t="0" r="0" b="0"/>
            <wp:docPr id="2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64DB" w:rsidRPr="00EB2612" w:rsidRDefault="00BB64DB" w:rsidP="00BB64DB">
      <w:pPr>
        <w:keepNext/>
        <w:jc w:val="center"/>
      </w:pPr>
    </w:p>
    <w:p w:rsidR="00BB64DB" w:rsidRPr="00EB2612" w:rsidRDefault="005719E1" w:rsidP="00BB64DB">
      <w:pPr>
        <w:pStyle w:val="Titulek"/>
        <w:rPr>
          <w:b w:val="0"/>
          <w:color w:val="000000" w:themeColor="text1"/>
          <w:sz w:val="22"/>
          <w:szCs w:val="22"/>
        </w:rPr>
      </w:pPr>
      <w:r w:rsidRPr="00EB2612">
        <w:rPr>
          <w:b w:val="0"/>
          <w:color w:val="000000" w:themeColor="text1"/>
          <w:sz w:val="22"/>
          <w:szCs w:val="22"/>
        </w:rPr>
        <w:t>Zdroj: Národní účty</w:t>
      </w:r>
      <w:r w:rsidR="00BB64DB" w:rsidRPr="00EB2612">
        <w:rPr>
          <w:b w:val="0"/>
          <w:color w:val="000000" w:themeColor="text1"/>
          <w:sz w:val="22"/>
          <w:szCs w:val="22"/>
        </w:rPr>
        <w:t>, ČSÚ</w:t>
      </w:r>
    </w:p>
    <w:p w:rsidR="00BB64DB" w:rsidRPr="00EB2612" w:rsidRDefault="00BB64DB" w:rsidP="00BB64DB">
      <w:r w:rsidRPr="00EB2612">
        <w:t xml:space="preserve">Dalším </w:t>
      </w:r>
      <w:r w:rsidR="00231FC7" w:rsidRPr="00EB2612">
        <w:t xml:space="preserve">zkoumaným </w:t>
      </w:r>
      <w:r w:rsidRPr="00EB2612">
        <w:t>ukazatelem zachycujícím spotřebitelské chování je participace na kulturních aktivitách. Vzhledem ke změnám spotřebit</w:t>
      </w:r>
      <w:r w:rsidR="00CB5E1F" w:rsidRPr="00EB2612">
        <w:t>elského chování, které proběhly</w:t>
      </w:r>
      <w:r w:rsidRPr="00EB2612">
        <w:t xml:space="preserve"> ve všech sledovaných oblastech v </w:t>
      </w:r>
      <w:r w:rsidR="00CB5E1F" w:rsidRPr="00EB2612">
        <w:t>posledních dekádách a které byly</w:t>
      </w:r>
      <w:r w:rsidRPr="00EB2612">
        <w:t xml:space="preserve"> jednoznačně ovlivněné digitalizací a masovým roz</w:t>
      </w:r>
      <w:r w:rsidR="00CB5E1F" w:rsidRPr="00EB2612">
        <w:t>šířením internetu, bude tato analýza v rámci kulturní participace</w:t>
      </w:r>
      <w:r w:rsidRPr="00EB2612">
        <w:t xml:space="preserve"> </w:t>
      </w:r>
      <w:r w:rsidR="00CB5E1F" w:rsidRPr="00EB2612">
        <w:t>sledovat zejména</w:t>
      </w:r>
      <w:r w:rsidRPr="00EB2612">
        <w:t xml:space="preserve"> využití internetu pro kulturní aktivity.</w:t>
      </w:r>
      <w:r w:rsidR="00F72FAA" w:rsidRPr="00EB2612">
        <w:t xml:space="preserve"> Jako</w:t>
      </w:r>
      <w:r w:rsidR="00F95D6D" w:rsidRPr="00EB2612">
        <w:t> </w:t>
      </w:r>
      <w:r w:rsidR="00F72FAA" w:rsidRPr="00EB2612">
        <w:t>hlavní zdroj</w:t>
      </w:r>
      <w:r w:rsidRPr="00EB2612">
        <w:t xml:space="preserve"> dat zachycující měnící se spotřebitelské návyky je použito šetření ČSÚ s názvem Využívání informačních a</w:t>
      </w:r>
      <w:r w:rsidR="00260C15" w:rsidRPr="00EB2612">
        <w:t> </w:t>
      </w:r>
      <w:r w:rsidRPr="00EB2612">
        <w:t>komunikačních technologií v domácnostech a mezi jednotlivci</w:t>
      </w:r>
      <w:r w:rsidRPr="00EB2612">
        <w:rPr>
          <w:i/>
        </w:rPr>
        <w:t xml:space="preserve"> </w:t>
      </w:r>
      <w:r w:rsidRPr="00EB2612">
        <w:t>(VŠIT). Výstupy</w:t>
      </w:r>
      <w:r w:rsidR="00313494" w:rsidRPr="00EB2612">
        <w:t> </w:t>
      </w:r>
      <w:r w:rsidRPr="00EB2612">
        <w:t>z toho</w:t>
      </w:r>
      <w:r w:rsidR="00DE4E41" w:rsidRPr="00EB2612">
        <w:t>to</w:t>
      </w:r>
      <w:r w:rsidRPr="00EB2612">
        <w:t xml:space="preserve"> šetření</w:t>
      </w:r>
      <w:r w:rsidR="00F72FAA" w:rsidRPr="00EB2612">
        <w:t xml:space="preserve"> jsou pořizovány</w:t>
      </w:r>
      <w:r w:rsidRPr="00EB2612">
        <w:t xml:space="preserve"> dle ucelené mezinárodní metodiky a umožňují mezinárodní srovnání stejně jako vytvoření delší</w:t>
      </w:r>
      <w:r w:rsidR="0088598B" w:rsidRPr="00EB2612">
        <w:t xml:space="preserve"> časové řady. Šetření VŠIT </w:t>
      </w:r>
      <w:r w:rsidRPr="00EB2612">
        <w:t>není</w:t>
      </w:r>
      <w:r w:rsidR="0088598B" w:rsidRPr="00EB2612">
        <w:t xml:space="preserve"> primárně zaměřené na zachycení spotřebitelských trendů</w:t>
      </w:r>
      <w:r w:rsidRPr="00EB2612">
        <w:t xml:space="preserve"> probíhající</w:t>
      </w:r>
      <w:r w:rsidR="0088598B" w:rsidRPr="00EB2612">
        <w:t xml:space="preserve">ch </w:t>
      </w:r>
      <w:r w:rsidRPr="00EB2612">
        <w:t>v audiovizuálním a mediálním sektoru, přesto poskytuje zajímavou reflexi změn spotřebitelského chování ve vybraných oblastech.</w:t>
      </w:r>
      <w:r w:rsidR="008018B7" w:rsidRPr="00EB2612">
        <w:t xml:space="preserve"> Údaje z tohoto šetření vypovídají o aktivitách jednotlivců</w:t>
      </w:r>
      <w:r w:rsidR="00856B6A" w:rsidRPr="00EB2612">
        <w:t xml:space="preserve"> starších 16 let</w:t>
      </w:r>
      <w:r w:rsidR="008018B7" w:rsidRPr="00EB2612">
        <w:t xml:space="preserve"> v posledních </w:t>
      </w:r>
      <w:r w:rsidR="00705045">
        <w:t>třech měsících předcházejících datu šetření</w:t>
      </w:r>
      <w:r w:rsidR="008018B7" w:rsidRPr="00EB2612">
        <w:t>.</w:t>
      </w:r>
      <w:r w:rsidRPr="00EB2612">
        <w:t xml:space="preserve"> Závěry </w:t>
      </w:r>
      <w:r w:rsidR="00DE4E41" w:rsidRPr="00EB2612">
        <w:t>z </w:t>
      </w:r>
      <w:r w:rsidRPr="00EB2612">
        <w:t>šetření</w:t>
      </w:r>
      <w:r w:rsidR="00DE4E41" w:rsidRPr="00EB2612">
        <w:t xml:space="preserve"> VŠIT</w:t>
      </w:r>
      <w:r w:rsidRPr="00EB2612">
        <w:t xml:space="preserve"> pak budou doplněny o</w:t>
      </w:r>
      <w:r w:rsidR="00F95D6D" w:rsidRPr="00EB2612">
        <w:t> </w:t>
      </w:r>
      <w:r w:rsidRPr="00EB2612">
        <w:t>poznatky z výzkumů zaměřujících se přímo na audiovizuální a mediální sektor prováděných zavedenými soukromými a</w:t>
      </w:r>
      <w:r w:rsidR="00260C15" w:rsidRPr="00EB2612">
        <w:t> </w:t>
      </w:r>
      <w:r w:rsidRPr="00EB2612">
        <w:t>výzkumnými organizacemi</w:t>
      </w:r>
      <w:r w:rsidR="00DB2C93" w:rsidRPr="00EB2612">
        <w:t>.</w:t>
      </w:r>
    </w:p>
    <w:p w:rsidR="00F05C31" w:rsidRPr="00EB2612" w:rsidRDefault="00DB2C93" w:rsidP="00BB64DB">
      <w:pPr>
        <w:ind w:firstLine="708"/>
      </w:pPr>
      <w:r w:rsidRPr="00EB2612">
        <w:lastRenderedPageBreak/>
        <w:t xml:space="preserve">Jak je patrné z Grafu </w:t>
      </w:r>
      <w:r w:rsidR="002F7B33" w:rsidRPr="00EB2612">
        <w:t>4</w:t>
      </w:r>
      <w:r w:rsidRPr="00EB2612">
        <w:t xml:space="preserve">, </w:t>
      </w:r>
      <w:r w:rsidR="005B63CE" w:rsidRPr="00EB2612">
        <w:t>v roc</w:t>
      </w:r>
      <w:r w:rsidR="004D3F3A">
        <w:t>e 2019</w:t>
      </w:r>
      <w:r w:rsidR="005345E7" w:rsidRPr="00EB2612">
        <w:t xml:space="preserve"> </w:t>
      </w:r>
      <w:r w:rsidR="00FA57C0">
        <w:t xml:space="preserve">se v rámci </w:t>
      </w:r>
      <w:r w:rsidR="005345E7" w:rsidRPr="00EB2612">
        <w:t>sledovan</w:t>
      </w:r>
      <w:r w:rsidR="00F766F2" w:rsidRPr="00EB2612">
        <w:t>ých akti</w:t>
      </w:r>
      <w:r w:rsidR="00FA57C0">
        <w:t xml:space="preserve">vit </w:t>
      </w:r>
      <w:r w:rsidR="00F766F2" w:rsidRPr="00EB2612">
        <w:t>největší část populace věnovala</w:t>
      </w:r>
      <w:r w:rsidR="004D3F3A">
        <w:t xml:space="preserve"> čtení zpr</w:t>
      </w:r>
      <w:r w:rsidR="00270304">
        <w:t xml:space="preserve">áv na internetu. Alespoň jednou si zprávy na internetu přečetly takřka tři čtvrtiny populace. </w:t>
      </w:r>
      <w:r w:rsidR="00EB073A">
        <w:t>Z</w:t>
      </w:r>
      <w:r w:rsidR="00F766F2" w:rsidRPr="00EB2612">
        <w:t> placených či volně d</w:t>
      </w:r>
      <w:r w:rsidR="003F593B">
        <w:t>ostupných stránek nabízejících z</w:t>
      </w:r>
      <w:r w:rsidR="00F766F2" w:rsidRPr="00EB2612">
        <w:t xml:space="preserve">hlédnutí videa si přehrála </w:t>
      </w:r>
      <w:r w:rsidR="00EB073A">
        <w:t xml:space="preserve">nějaká videa </w:t>
      </w:r>
      <w:r w:rsidR="00F766F2" w:rsidRPr="00EB2612">
        <w:t>polovina populace</w:t>
      </w:r>
      <w:r w:rsidR="00F05C31" w:rsidRPr="00EB2612">
        <w:t xml:space="preserve">. </w:t>
      </w:r>
      <w:r w:rsidR="00270304">
        <w:t xml:space="preserve">Třetí </w:t>
      </w:r>
      <w:r w:rsidR="00F05C31" w:rsidRPr="00EB2612">
        <w:t>nejčastější kulturní aktivitou prováděnou na internetu byl po</w:t>
      </w:r>
      <w:r w:rsidR="00154890">
        <w:t>slech rádia či přehrávání hudby – té se</w:t>
      </w:r>
      <w:r w:rsidR="00F05C31" w:rsidRPr="00EB2612">
        <w:t xml:space="preserve"> </w:t>
      </w:r>
      <w:r w:rsidR="00270304">
        <w:t>v roce 2019</w:t>
      </w:r>
      <w:r w:rsidR="00F05C31" w:rsidRPr="00EB2612">
        <w:t xml:space="preserve"> </w:t>
      </w:r>
      <w:r w:rsidR="00154890">
        <w:t xml:space="preserve">věnovalo </w:t>
      </w:r>
      <w:r w:rsidR="00F05C31" w:rsidRPr="00EB2612">
        <w:t>přes</w:t>
      </w:r>
      <w:r w:rsidR="00270304">
        <w:t xml:space="preserve"> 46</w:t>
      </w:r>
      <w:r w:rsidR="00F05C31" w:rsidRPr="00EB2612">
        <w:t xml:space="preserve"> % </w:t>
      </w:r>
      <w:r w:rsidR="00270304">
        <w:t>osob</w:t>
      </w:r>
      <w:r w:rsidR="00F05C31" w:rsidRPr="00EB2612">
        <w:t xml:space="preserve">. </w:t>
      </w:r>
      <w:r w:rsidR="00154890">
        <w:t>Poslední sledovanou aktivitu</w:t>
      </w:r>
      <w:r w:rsidR="0040387F" w:rsidRPr="00EB2612">
        <w:t xml:space="preserve"> –</w:t>
      </w:r>
      <w:r w:rsidR="00270304">
        <w:t xml:space="preserve"> nahrávání fotek, videí nebo hudby na internet </w:t>
      </w:r>
      <w:r w:rsidR="0040387F" w:rsidRPr="00EB2612">
        <w:t xml:space="preserve">– </w:t>
      </w:r>
      <w:r w:rsidR="00154890">
        <w:t>provozovalo</w:t>
      </w:r>
      <w:r w:rsidR="00270304">
        <w:t xml:space="preserve"> přibližně 38 </w:t>
      </w:r>
      <w:r w:rsidR="00270304" w:rsidRPr="00EB2612">
        <w:t>%</w:t>
      </w:r>
      <w:r w:rsidR="00270304">
        <w:t xml:space="preserve"> osob</w:t>
      </w:r>
      <w:r w:rsidR="0040387F" w:rsidRPr="00EB2612">
        <w:t>.</w:t>
      </w:r>
    </w:p>
    <w:p w:rsidR="00BB64DB" w:rsidRPr="00EB2612" w:rsidRDefault="00BB64DB" w:rsidP="00BB64DB">
      <w:pPr>
        <w:pStyle w:val="Titulek"/>
        <w:keepNext/>
        <w:rPr>
          <w:b w:val="0"/>
          <w:color w:val="000000" w:themeColor="text1"/>
          <w:sz w:val="22"/>
          <w:szCs w:val="22"/>
        </w:rPr>
      </w:pPr>
      <w:r w:rsidRPr="00EB2612">
        <w:rPr>
          <w:color w:val="000000" w:themeColor="text1"/>
          <w:sz w:val="22"/>
          <w:szCs w:val="22"/>
        </w:rPr>
        <w:t xml:space="preserve">Graf </w:t>
      </w:r>
      <w:r w:rsidR="001A4BAA" w:rsidRPr="00EB2612">
        <w:rPr>
          <w:color w:val="000000" w:themeColor="text1"/>
          <w:sz w:val="22"/>
          <w:szCs w:val="22"/>
        </w:rPr>
        <w:t>4</w:t>
      </w:r>
      <w:r w:rsidRPr="00EB2612">
        <w:rPr>
          <w:color w:val="000000" w:themeColor="text1"/>
          <w:sz w:val="22"/>
          <w:szCs w:val="22"/>
        </w:rPr>
        <w:t xml:space="preserve"> </w:t>
      </w:r>
      <w:r w:rsidR="00423511" w:rsidRPr="00423511">
        <w:rPr>
          <w:b w:val="0"/>
          <w:color w:val="000000" w:themeColor="text1"/>
          <w:sz w:val="22"/>
          <w:szCs w:val="22"/>
        </w:rPr>
        <w:t>Podíl osob starších 16 let využívajících</w:t>
      </w:r>
      <w:r w:rsidR="00423511">
        <w:rPr>
          <w:color w:val="000000" w:themeColor="text1"/>
          <w:sz w:val="22"/>
          <w:szCs w:val="22"/>
        </w:rPr>
        <w:t xml:space="preserve"> </w:t>
      </w:r>
      <w:r w:rsidR="00423511">
        <w:rPr>
          <w:b w:val="0"/>
          <w:color w:val="000000" w:themeColor="text1"/>
          <w:sz w:val="22"/>
          <w:szCs w:val="22"/>
        </w:rPr>
        <w:t>internet k vybraným</w:t>
      </w:r>
      <w:r w:rsidR="006405DE" w:rsidRPr="00EB2612">
        <w:rPr>
          <w:b w:val="0"/>
          <w:color w:val="000000" w:themeColor="text1"/>
          <w:sz w:val="22"/>
          <w:szCs w:val="22"/>
        </w:rPr>
        <w:t xml:space="preserve"> kulturním aktivitám</w:t>
      </w:r>
      <w:r w:rsidR="004D7B88" w:rsidRPr="00EB2612">
        <w:rPr>
          <w:b w:val="0"/>
          <w:color w:val="000000" w:themeColor="text1"/>
          <w:sz w:val="22"/>
          <w:szCs w:val="22"/>
        </w:rPr>
        <w:t xml:space="preserve"> </w:t>
      </w:r>
      <w:r w:rsidRPr="00EB2612">
        <w:rPr>
          <w:b w:val="0"/>
          <w:color w:val="000000" w:themeColor="text1"/>
          <w:sz w:val="22"/>
          <w:szCs w:val="22"/>
        </w:rPr>
        <w:t>v</w:t>
      </w:r>
      <w:r w:rsidR="00260C15" w:rsidRPr="00EB2612">
        <w:rPr>
          <w:b w:val="0"/>
          <w:color w:val="000000" w:themeColor="text1"/>
          <w:sz w:val="22"/>
          <w:szCs w:val="22"/>
        </w:rPr>
        <w:t> </w:t>
      </w:r>
      <w:r w:rsidR="00A076EF" w:rsidRPr="00EB2612">
        <w:rPr>
          <w:b w:val="0"/>
          <w:color w:val="000000" w:themeColor="text1"/>
          <w:sz w:val="22"/>
          <w:szCs w:val="22"/>
        </w:rPr>
        <w:t>roce 2019</w:t>
      </w:r>
    </w:p>
    <w:p w:rsidR="00BB64DB" w:rsidRPr="00EB2612" w:rsidRDefault="00A076EF" w:rsidP="00BB64DB">
      <w:pPr>
        <w:keepNext/>
        <w:jc w:val="center"/>
      </w:pPr>
      <w:r w:rsidRPr="00EB2612">
        <w:rPr>
          <w:noProof/>
        </w:rPr>
        <w:drawing>
          <wp:inline distT="0" distB="0" distL="0" distR="0">
            <wp:extent cx="4514850" cy="1838325"/>
            <wp:effectExtent l="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64DB" w:rsidRPr="00FA57C0" w:rsidRDefault="00A96EFF" w:rsidP="00BB64DB">
      <w:pPr>
        <w:pStyle w:val="Titulek"/>
        <w:rPr>
          <w:b w:val="0"/>
          <w:color w:val="auto"/>
          <w:sz w:val="22"/>
          <w:szCs w:val="22"/>
        </w:rPr>
      </w:pPr>
      <w:r w:rsidRPr="00EB2612">
        <w:rPr>
          <w:b w:val="0"/>
          <w:color w:val="000000" w:themeColor="text1"/>
          <w:sz w:val="22"/>
          <w:szCs w:val="22"/>
        </w:rPr>
        <w:t xml:space="preserve">Zdroj: </w:t>
      </w:r>
      <w:r w:rsidR="00FA57C0" w:rsidRPr="00EB2612">
        <w:rPr>
          <w:b w:val="0"/>
          <w:color w:val="auto"/>
          <w:sz w:val="22"/>
          <w:szCs w:val="22"/>
        </w:rPr>
        <w:t>Výběrové šetření o informačních a komunikačních technologiích, ČSÚ</w:t>
      </w:r>
    </w:p>
    <w:p w:rsidR="00BB64DB" w:rsidRPr="00EB2612" w:rsidRDefault="00A076EF" w:rsidP="00B414F8">
      <w:pPr>
        <w:rPr>
          <w:rFonts w:cs="Arial"/>
        </w:rPr>
      </w:pPr>
      <w:r w:rsidRPr="00EB2612">
        <w:rPr>
          <w:rFonts w:cs="Arial"/>
        </w:rPr>
        <w:t>D</w:t>
      </w:r>
      <w:r w:rsidR="00BB64DB" w:rsidRPr="00EB2612">
        <w:rPr>
          <w:rFonts w:cs="Arial"/>
        </w:rPr>
        <w:t xml:space="preserve">oplňujícím šetřením, které bylo vybráno pro kapitolu o obecné charakteristice </w:t>
      </w:r>
      <w:r w:rsidR="00BA414E" w:rsidRPr="00EB2612">
        <w:rPr>
          <w:rFonts w:cs="Arial"/>
        </w:rPr>
        <w:t>a</w:t>
      </w:r>
      <w:r w:rsidR="00BB64DB" w:rsidRPr="00EB2612">
        <w:rPr>
          <w:rFonts w:cs="Arial"/>
        </w:rPr>
        <w:t>udiovizuálního</w:t>
      </w:r>
      <w:r w:rsidR="00282CCA" w:rsidRPr="00EB2612">
        <w:rPr>
          <w:rFonts w:cs="Arial"/>
        </w:rPr>
        <w:t> </w:t>
      </w:r>
      <w:r w:rsidR="00BB64DB" w:rsidRPr="00EB2612">
        <w:rPr>
          <w:rFonts w:cs="Arial"/>
        </w:rPr>
        <w:t>a</w:t>
      </w:r>
      <w:r w:rsidR="00282CCA" w:rsidRPr="00EB2612">
        <w:rPr>
          <w:rFonts w:cs="Arial"/>
        </w:rPr>
        <w:t> </w:t>
      </w:r>
      <w:r w:rsidR="00BB64DB" w:rsidRPr="00EB2612">
        <w:rPr>
          <w:rFonts w:cs="Arial"/>
        </w:rPr>
        <w:t>mediálního sektoru, je výstup v rámci mezinárodního </w:t>
      </w:r>
      <w:r w:rsidR="009E7516" w:rsidRPr="00EB2612">
        <w:rPr>
          <w:rFonts w:cs="Arial"/>
        </w:rPr>
        <w:t>studie</w:t>
      </w:r>
      <w:r w:rsidR="00BB64DB" w:rsidRPr="00EB2612">
        <w:rPr>
          <w:rFonts w:cs="Arial"/>
        </w:rPr>
        <w:t xml:space="preserve"> </w:t>
      </w:r>
      <w:r w:rsidR="009E7516" w:rsidRPr="00EB2612">
        <w:rPr>
          <w:rFonts w:cs="Arial"/>
          <w:i/>
        </w:rPr>
        <w:t>Digital News Report</w:t>
      </w:r>
      <w:r w:rsidR="00B508F7" w:rsidRPr="00EB2612">
        <w:rPr>
          <w:rFonts w:cs="Arial"/>
        </w:rPr>
        <w:t xml:space="preserve"> </w:t>
      </w:r>
      <w:r w:rsidR="009E7516" w:rsidRPr="00EB2612">
        <w:rPr>
          <w:rFonts w:cs="Arial"/>
        </w:rPr>
        <w:t>prováděné organizací Reuters Institute</w:t>
      </w:r>
      <w:r w:rsidR="00B508F7" w:rsidRPr="00EB2612">
        <w:rPr>
          <w:rFonts w:cs="Arial"/>
        </w:rPr>
        <w:t xml:space="preserve">. </w:t>
      </w:r>
      <w:r w:rsidR="00C5141B" w:rsidRPr="00EB2612">
        <w:rPr>
          <w:rFonts w:cs="Arial"/>
        </w:rPr>
        <w:t>Výzkum je prováděn ve více než 30 zemích světa včetně České republiky a</w:t>
      </w:r>
      <w:r w:rsidR="00260C15" w:rsidRPr="00EB2612">
        <w:rPr>
          <w:rFonts w:cs="Arial"/>
        </w:rPr>
        <w:t> </w:t>
      </w:r>
      <w:r w:rsidR="00C5141B" w:rsidRPr="00EB2612">
        <w:rPr>
          <w:rFonts w:cs="Arial"/>
        </w:rPr>
        <w:t>zkoumá populaci s přístupem k</w:t>
      </w:r>
      <w:r w:rsidR="00362010">
        <w:rPr>
          <w:rFonts w:cs="Arial"/>
        </w:rPr>
        <w:t> </w:t>
      </w:r>
      <w:r w:rsidR="00C5141B" w:rsidRPr="00EB2612">
        <w:rPr>
          <w:rFonts w:cs="Arial"/>
        </w:rPr>
        <w:t>internetu</w:t>
      </w:r>
      <w:r w:rsidR="009A04D6" w:rsidRPr="00EB2612">
        <w:rPr>
          <w:rFonts w:cs="Arial"/>
        </w:rPr>
        <w:t>.</w:t>
      </w:r>
      <w:r w:rsidR="00C5141B" w:rsidRPr="00EB2612">
        <w:rPr>
          <w:rFonts w:cs="Arial"/>
        </w:rPr>
        <w:t xml:space="preserve"> V České republice bylo prostřednictvím online dotazníku osloveno </w:t>
      </w:r>
      <w:r w:rsidR="00535656" w:rsidRPr="00EB2612">
        <w:rPr>
          <w:rFonts w:cs="Arial"/>
        </w:rPr>
        <w:t>přes</w:t>
      </w:r>
      <w:r w:rsidR="00C5141B" w:rsidRPr="00EB2612">
        <w:rPr>
          <w:rFonts w:cs="Arial"/>
        </w:rPr>
        <w:t xml:space="preserve"> 2000 respondentů, přičemž přístup k internetu má podle údajů v této studii 88 % populace. Digital News Report se zaměřuje zejména na měnící se spotřebitelské návyky v souvislosti s</w:t>
      </w:r>
      <w:r w:rsidR="00056176" w:rsidRPr="00EB2612">
        <w:rPr>
          <w:rFonts w:cs="Arial"/>
        </w:rPr>
        <w:t>e</w:t>
      </w:r>
      <w:r w:rsidR="00C5141B" w:rsidRPr="00EB2612">
        <w:rPr>
          <w:rFonts w:cs="Arial"/>
        </w:rPr>
        <w:t> čtením</w:t>
      </w:r>
      <w:r w:rsidRPr="00EB2612">
        <w:rPr>
          <w:rFonts w:cs="Arial"/>
        </w:rPr>
        <w:t xml:space="preserve"> zpráv. Graf 5</w:t>
      </w:r>
      <w:r w:rsidR="00C5141B" w:rsidRPr="00EB2612">
        <w:rPr>
          <w:rFonts w:cs="Arial"/>
        </w:rPr>
        <w:t xml:space="preserve"> </w:t>
      </w:r>
      <w:r w:rsidR="00063FC1" w:rsidRPr="00EB2612">
        <w:rPr>
          <w:rFonts w:cs="Arial"/>
        </w:rPr>
        <w:t xml:space="preserve">ukazuje </w:t>
      </w:r>
      <w:r w:rsidR="00056176" w:rsidRPr="00EB2612">
        <w:rPr>
          <w:rFonts w:cs="Arial"/>
        </w:rPr>
        <w:t>využití</w:t>
      </w:r>
      <w:r w:rsidR="00063FC1" w:rsidRPr="00EB2612">
        <w:rPr>
          <w:rFonts w:cs="Arial"/>
        </w:rPr>
        <w:t xml:space="preserve"> vybraných médií jako </w:t>
      </w:r>
      <w:r w:rsidR="00056176" w:rsidRPr="00EB2612">
        <w:rPr>
          <w:rFonts w:cs="Arial"/>
        </w:rPr>
        <w:t xml:space="preserve">hlavního </w:t>
      </w:r>
      <w:r w:rsidR="00063FC1" w:rsidRPr="00EB2612">
        <w:rPr>
          <w:rFonts w:cs="Arial"/>
        </w:rPr>
        <w:t>zdroje informací v rámci různých věkových kategorií</w:t>
      </w:r>
      <w:r w:rsidR="00535656" w:rsidRPr="00EB2612">
        <w:rPr>
          <w:rFonts w:cs="Arial"/>
        </w:rPr>
        <w:t xml:space="preserve"> ve světové populaci</w:t>
      </w:r>
      <w:r w:rsidR="002A5595" w:rsidRPr="00EB2612">
        <w:rPr>
          <w:rFonts w:cs="Arial"/>
        </w:rPr>
        <w:t xml:space="preserve"> (respektive přibližně </w:t>
      </w:r>
      <w:r w:rsidR="003302D5" w:rsidRPr="00EB2612">
        <w:rPr>
          <w:rFonts w:cs="Arial"/>
        </w:rPr>
        <w:t xml:space="preserve">ve </w:t>
      </w:r>
      <w:r w:rsidR="002A5595" w:rsidRPr="00EB2612">
        <w:rPr>
          <w:rFonts w:cs="Arial"/>
        </w:rPr>
        <w:t>30 vybraných zemí</w:t>
      </w:r>
      <w:r w:rsidR="00EB073A">
        <w:rPr>
          <w:rFonts w:cs="Arial"/>
        </w:rPr>
        <w:t>ch</w:t>
      </w:r>
      <w:r w:rsidR="002A5595" w:rsidRPr="00EB2612">
        <w:rPr>
          <w:rFonts w:cs="Arial"/>
        </w:rPr>
        <w:t>)</w:t>
      </w:r>
      <w:r w:rsidR="00063FC1" w:rsidRPr="00EB2612">
        <w:rPr>
          <w:rFonts w:cs="Arial"/>
        </w:rPr>
        <w:t>.</w:t>
      </w:r>
      <w:r w:rsidR="00535656" w:rsidRPr="00EB2612">
        <w:rPr>
          <w:rFonts w:cs="Arial"/>
        </w:rPr>
        <w:t xml:space="preserve"> Jak je vidět z</w:t>
      </w:r>
      <w:r w:rsidR="00606EDA" w:rsidRPr="00EB2612">
        <w:rPr>
          <w:rFonts w:cs="Arial"/>
        </w:rPr>
        <w:t> </w:t>
      </w:r>
      <w:r w:rsidR="00535656" w:rsidRPr="00EB2612">
        <w:rPr>
          <w:rFonts w:cs="Arial"/>
        </w:rPr>
        <w:t>grafu</w:t>
      </w:r>
      <w:r w:rsidR="00606EDA" w:rsidRPr="00EB2612">
        <w:rPr>
          <w:rFonts w:cs="Arial"/>
        </w:rPr>
        <w:t>,</w:t>
      </w:r>
      <w:r w:rsidR="00535656" w:rsidRPr="00EB2612">
        <w:rPr>
          <w:rFonts w:cs="Arial"/>
        </w:rPr>
        <w:t xml:space="preserve"> mladí lidé nejčastěji vyhledávají informace v online médiích a na sociálních sítích, zatímco starší generace spíše v tradičních médiích jako tisk a</w:t>
      </w:r>
      <w:r w:rsidR="009D09CB" w:rsidRPr="00EB2612">
        <w:rPr>
          <w:rFonts w:cs="Arial"/>
        </w:rPr>
        <w:t> </w:t>
      </w:r>
      <w:r w:rsidR="00535656" w:rsidRPr="00EB2612">
        <w:rPr>
          <w:rFonts w:cs="Arial"/>
        </w:rPr>
        <w:t xml:space="preserve">televize. Sociální sítě se </w:t>
      </w:r>
      <w:r w:rsidR="00056176" w:rsidRPr="00EB2612">
        <w:rPr>
          <w:rFonts w:cs="Arial"/>
        </w:rPr>
        <w:t xml:space="preserve">tak </w:t>
      </w:r>
      <w:r w:rsidR="00535656" w:rsidRPr="00EB2612">
        <w:rPr>
          <w:rFonts w:cs="Arial"/>
        </w:rPr>
        <w:t>staly velkým konkurentem tradičním médiím a zejména u mladých lidí ve věku 18</w:t>
      </w:r>
      <w:r w:rsidR="009D09CB" w:rsidRPr="00EB2612">
        <w:rPr>
          <w:rFonts w:cs="Arial"/>
        </w:rPr>
        <w:t>–</w:t>
      </w:r>
      <w:r w:rsidR="00535656" w:rsidRPr="00EB2612">
        <w:rPr>
          <w:rFonts w:cs="Arial"/>
        </w:rPr>
        <w:t>24 platí dokonce za nej</w:t>
      </w:r>
      <w:r w:rsidR="00735F55" w:rsidRPr="00EB2612">
        <w:rPr>
          <w:rFonts w:cs="Arial"/>
        </w:rPr>
        <w:t>důležitější</w:t>
      </w:r>
      <w:r w:rsidR="00535656" w:rsidRPr="00EB2612">
        <w:rPr>
          <w:rFonts w:cs="Arial"/>
        </w:rPr>
        <w:t xml:space="preserve"> zdroj </w:t>
      </w:r>
      <w:r w:rsidR="00735F55" w:rsidRPr="00EB2612">
        <w:rPr>
          <w:rFonts w:cs="Arial"/>
        </w:rPr>
        <w:t xml:space="preserve">vyhledávání </w:t>
      </w:r>
      <w:r w:rsidR="00535656" w:rsidRPr="00EB2612">
        <w:rPr>
          <w:rFonts w:cs="Arial"/>
        </w:rPr>
        <w:t>informací.</w:t>
      </w:r>
    </w:p>
    <w:p w:rsidR="00BB64DB" w:rsidRPr="00EB2612" w:rsidRDefault="00BB64DB" w:rsidP="00BB64DB">
      <w:pPr>
        <w:pStyle w:val="Titulek"/>
        <w:keepNext/>
        <w:rPr>
          <w:color w:val="000000" w:themeColor="text1"/>
          <w:sz w:val="22"/>
          <w:szCs w:val="22"/>
        </w:rPr>
      </w:pPr>
      <w:r w:rsidRPr="00EB2612">
        <w:rPr>
          <w:color w:val="000000" w:themeColor="text1"/>
          <w:sz w:val="22"/>
          <w:szCs w:val="22"/>
        </w:rPr>
        <w:t xml:space="preserve">Graf </w:t>
      </w:r>
      <w:r w:rsidR="00A076EF" w:rsidRPr="00EB2612">
        <w:rPr>
          <w:color w:val="000000" w:themeColor="text1"/>
          <w:sz w:val="22"/>
          <w:szCs w:val="22"/>
        </w:rPr>
        <w:t>5</w:t>
      </w:r>
      <w:r w:rsidR="002F7B33" w:rsidRPr="00EB2612">
        <w:rPr>
          <w:color w:val="000000" w:themeColor="text1"/>
          <w:sz w:val="22"/>
          <w:szCs w:val="22"/>
        </w:rPr>
        <w:t xml:space="preserve"> </w:t>
      </w:r>
      <w:r w:rsidRPr="00EB2612">
        <w:rPr>
          <w:b w:val="0"/>
          <w:color w:val="000000" w:themeColor="text1"/>
          <w:sz w:val="22"/>
          <w:szCs w:val="22"/>
        </w:rPr>
        <w:t>V</w:t>
      </w:r>
      <w:r w:rsidR="00735F55" w:rsidRPr="00EB2612">
        <w:rPr>
          <w:b w:val="0"/>
          <w:color w:val="000000" w:themeColor="text1"/>
          <w:sz w:val="22"/>
          <w:szCs w:val="22"/>
        </w:rPr>
        <w:t>yužití</w:t>
      </w:r>
      <w:r w:rsidRPr="00EB2612">
        <w:rPr>
          <w:b w:val="0"/>
          <w:color w:val="000000" w:themeColor="text1"/>
          <w:sz w:val="22"/>
          <w:szCs w:val="22"/>
        </w:rPr>
        <w:t xml:space="preserve"> vybraných médií jako</w:t>
      </w:r>
      <w:r w:rsidR="00735F55" w:rsidRPr="00EB2612">
        <w:rPr>
          <w:b w:val="0"/>
          <w:color w:val="000000" w:themeColor="text1"/>
          <w:sz w:val="22"/>
          <w:szCs w:val="22"/>
        </w:rPr>
        <w:t xml:space="preserve"> hlavního</w:t>
      </w:r>
      <w:r w:rsidRPr="00EB2612">
        <w:rPr>
          <w:b w:val="0"/>
          <w:color w:val="000000" w:themeColor="text1"/>
          <w:sz w:val="22"/>
          <w:szCs w:val="22"/>
        </w:rPr>
        <w:t xml:space="preserve"> zdroj</w:t>
      </w:r>
      <w:r w:rsidR="00DD5273" w:rsidRPr="00EB2612">
        <w:rPr>
          <w:b w:val="0"/>
          <w:color w:val="000000" w:themeColor="text1"/>
          <w:sz w:val="22"/>
          <w:szCs w:val="22"/>
        </w:rPr>
        <w:t>e</w:t>
      </w:r>
      <w:r w:rsidRPr="00EB2612">
        <w:rPr>
          <w:b w:val="0"/>
          <w:color w:val="000000" w:themeColor="text1"/>
          <w:sz w:val="22"/>
          <w:szCs w:val="22"/>
        </w:rPr>
        <w:t xml:space="preserve"> informací</w:t>
      </w:r>
      <w:r w:rsidR="00D123E4" w:rsidRPr="00EB2612">
        <w:rPr>
          <w:b w:val="0"/>
          <w:color w:val="000000" w:themeColor="text1"/>
          <w:sz w:val="22"/>
          <w:szCs w:val="22"/>
        </w:rPr>
        <w:t xml:space="preserve"> v roce 2017</w:t>
      </w:r>
      <w:r w:rsidR="002A5595" w:rsidRPr="00EB2612">
        <w:rPr>
          <w:b w:val="0"/>
          <w:color w:val="000000" w:themeColor="text1"/>
          <w:sz w:val="22"/>
          <w:szCs w:val="22"/>
        </w:rPr>
        <w:t xml:space="preserve"> (světová populace)</w:t>
      </w:r>
    </w:p>
    <w:p w:rsidR="00BB64DB" w:rsidRPr="00EB2612" w:rsidRDefault="00D123E4" w:rsidP="00BB64DB">
      <w:pPr>
        <w:keepNext/>
        <w:jc w:val="center"/>
      </w:pPr>
      <w:r w:rsidRPr="00EB2612">
        <w:rPr>
          <w:noProof/>
        </w:rPr>
        <w:drawing>
          <wp:inline distT="0" distB="0" distL="0" distR="0">
            <wp:extent cx="6210300" cy="1562100"/>
            <wp:effectExtent l="0" t="0" r="0" b="0"/>
            <wp:docPr id="1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25EE" w:rsidRDefault="001C5D40" w:rsidP="008025EE">
      <w:pPr>
        <w:pStyle w:val="Titulek"/>
        <w:rPr>
          <w:b w:val="0"/>
          <w:color w:val="000000" w:themeColor="text1"/>
          <w:sz w:val="22"/>
          <w:szCs w:val="22"/>
        </w:rPr>
      </w:pPr>
      <w:r w:rsidRPr="00EB2612">
        <w:rPr>
          <w:b w:val="0"/>
          <w:color w:val="000000" w:themeColor="text1"/>
          <w:sz w:val="22"/>
          <w:szCs w:val="22"/>
        </w:rPr>
        <w:t xml:space="preserve">Zdroj: </w:t>
      </w:r>
      <w:r w:rsidR="00D123E4" w:rsidRPr="00EB2612">
        <w:rPr>
          <w:b w:val="0"/>
          <w:color w:val="000000" w:themeColor="text1"/>
          <w:sz w:val="22"/>
          <w:szCs w:val="22"/>
        </w:rPr>
        <w:t>Digital News Report, Reuters Institute</w:t>
      </w:r>
    </w:p>
    <w:p w:rsidR="008025EE" w:rsidRDefault="008025EE" w:rsidP="008025EE">
      <w:r w:rsidRPr="008025EE">
        <w:lastRenderedPageBreak/>
        <w:t>V</w:t>
      </w:r>
      <w:r>
        <w:t xml:space="preserve"> </w:t>
      </w:r>
      <w:r w:rsidRPr="008025EE">
        <w:t xml:space="preserve">době </w:t>
      </w:r>
      <w:r w:rsidR="00EB073A">
        <w:t>zpracování</w:t>
      </w:r>
      <w:r w:rsidR="00EB073A" w:rsidRPr="008025EE">
        <w:t xml:space="preserve"> </w:t>
      </w:r>
      <w:r w:rsidRPr="008025EE">
        <w:t xml:space="preserve">této publikace se celý audiovizuální a mediální sektor v ČR potýká s následky první vlny pandemie COVID-19, která tento sektor postihla velmi komplexně. Na </w:t>
      </w:r>
      <w:r w:rsidR="00154890">
        <w:t xml:space="preserve">důkladnou </w:t>
      </w:r>
      <w:r w:rsidRPr="008025EE">
        <w:t>analýzu dopadů stále probíhají</w:t>
      </w:r>
      <w:r w:rsidR="00EB073A">
        <w:t>cí</w:t>
      </w:r>
      <w:r w:rsidRPr="008025EE">
        <w:t xml:space="preserve"> krize je ještě brzy. Každá oblast čelí specifickým problémům, které budou nastíněny v</w:t>
      </w:r>
      <w:r w:rsidR="00362010">
        <w:t> </w:t>
      </w:r>
      <w:r w:rsidRPr="008025EE">
        <w:t>jednotlivých kapitolách. Celkově se dá v rámci první vlny pandemie hovořit o úbytku příjmů z inzerce v</w:t>
      </w:r>
      <w:r w:rsidR="00362010">
        <w:t> </w:t>
      </w:r>
      <w:r w:rsidRPr="008025EE">
        <w:t xml:space="preserve">souvislosti se zhoršenou ekonomickou situací v podnicích. Omezení volného pohybu osob </w:t>
      </w:r>
      <w:r w:rsidR="00183E00">
        <w:t xml:space="preserve">a uzavření mnoha podniků </w:t>
      </w:r>
      <w:r w:rsidRPr="008025EE">
        <w:t>spojená s pandemií dopadla zejména na provozovatele kinosálů, knihkupce, filmovou produkci a nepř</w:t>
      </w:r>
      <w:r>
        <w:t>ímo také na hudební vydavatele či</w:t>
      </w:r>
      <w:r w:rsidRPr="008025EE">
        <w:t xml:space="preserve"> autory a jejich příjmy z veřejných produkcí. V celé české populaci se </w:t>
      </w:r>
      <w:r w:rsidR="00154890">
        <w:t xml:space="preserve">v rámci první </w:t>
      </w:r>
      <w:proofErr w:type="spellStart"/>
      <w:r w:rsidR="00154890">
        <w:t>koronavirové</w:t>
      </w:r>
      <w:proofErr w:type="spellEnd"/>
      <w:r w:rsidR="00154890">
        <w:t xml:space="preserve"> vlny </w:t>
      </w:r>
      <w:r w:rsidRPr="008025EE">
        <w:t xml:space="preserve">navýšila doba trávená s různými typy </w:t>
      </w:r>
      <w:r w:rsidR="00EB073A" w:rsidRPr="008025EE">
        <w:t>médi</w:t>
      </w:r>
      <w:r w:rsidR="00EB073A">
        <w:t>í</w:t>
      </w:r>
      <w:r w:rsidR="00EB073A" w:rsidRPr="008025EE">
        <w:t xml:space="preserve"> </w:t>
      </w:r>
      <w:r w:rsidRPr="008025EE">
        <w:t>a také sledování, poslech a četba zpravodajství. Změny ve spotřebitelském chování spojené s aktuální situací budou rovněž rozebrány v jednotlivých kapitolách</w:t>
      </w:r>
      <w:r>
        <w:t>.</w:t>
      </w:r>
    </w:p>
    <w:p w:rsidR="008025EE" w:rsidRDefault="008025EE">
      <w:pPr>
        <w:spacing w:after="0" w:line="240" w:lineRule="auto"/>
        <w:jc w:val="left"/>
      </w:pPr>
      <w:r>
        <w:br w:type="page"/>
      </w:r>
    </w:p>
    <w:p w:rsidR="00BB64DB" w:rsidRPr="00EB2612" w:rsidRDefault="00BB64DB" w:rsidP="00694914">
      <w:pPr>
        <w:pStyle w:val="Nadpis1"/>
        <w:numPr>
          <w:ilvl w:val="0"/>
          <w:numId w:val="17"/>
        </w:numPr>
      </w:pPr>
      <w:bookmarkStart w:id="22" w:name="_Toc430189793"/>
      <w:bookmarkStart w:id="23" w:name="_Toc55384424"/>
      <w:r w:rsidRPr="00EB2612">
        <w:lastRenderedPageBreak/>
        <w:t>KNIHY A TISK</w:t>
      </w:r>
      <w:bookmarkEnd w:id="22"/>
      <w:bookmarkEnd w:id="23"/>
    </w:p>
    <w:p w:rsidR="00BB64DB" w:rsidRPr="00EB2612" w:rsidRDefault="00BB64DB" w:rsidP="00BB64DB">
      <w:pPr>
        <w:pStyle w:val="Titulek"/>
        <w:keepNext/>
        <w:jc w:val="right"/>
        <w:rPr>
          <w:color w:val="000000" w:themeColor="text1"/>
          <w:sz w:val="22"/>
          <w:szCs w:val="22"/>
        </w:rPr>
      </w:pPr>
      <w:bookmarkStart w:id="24" w:name="_Toc464832047"/>
      <w:r w:rsidRPr="00EB2612">
        <w:rPr>
          <w:color w:val="000000" w:themeColor="text1"/>
          <w:sz w:val="22"/>
          <w:szCs w:val="22"/>
        </w:rPr>
        <w:t xml:space="preserve">Tabulka </w:t>
      </w:r>
      <w:r w:rsidR="00781DF4" w:rsidRPr="00EB2612">
        <w:rPr>
          <w:color w:val="000000" w:themeColor="text1"/>
          <w:sz w:val="22"/>
          <w:szCs w:val="22"/>
        </w:rPr>
        <w:fldChar w:fldCharType="begin"/>
      </w:r>
      <w:r w:rsidRPr="00EB2612">
        <w:rPr>
          <w:color w:val="000000" w:themeColor="text1"/>
          <w:sz w:val="22"/>
          <w:szCs w:val="22"/>
        </w:rPr>
        <w:instrText xml:space="preserve"> SEQ Tabulka \* ARABIC </w:instrText>
      </w:r>
      <w:r w:rsidR="00781DF4" w:rsidRPr="00EB2612">
        <w:rPr>
          <w:color w:val="000000" w:themeColor="text1"/>
          <w:sz w:val="22"/>
          <w:szCs w:val="22"/>
        </w:rPr>
        <w:fldChar w:fldCharType="separate"/>
      </w:r>
      <w:r w:rsidR="00705045">
        <w:rPr>
          <w:noProof/>
          <w:color w:val="000000" w:themeColor="text1"/>
          <w:sz w:val="22"/>
          <w:szCs w:val="22"/>
        </w:rPr>
        <w:t>4</w:t>
      </w:r>
      <w:r w:rsidR="00781DF4" w:rsidRPr="00EB2612">
        <w:rPr>
          <w:color w:val="000000" w:themeColor="text1"/>
          <w:sz w:val="22"/>
          <w:szCs w:val="22"/>
        </w:rPr>
        <w:fldChar w:fldCharType="end"/>
      </w:r>
      <w:r w:rsidRPr="00EB2612">
        <w:rPr>
          <w:color w:val="000000" w:themeColor="text1"/>
          <w:sz w:val="22"/>
          <w:szCs w:val="22"/>
        </w:rPr>
        <w:t xml:space="preserve"> </w:t>
      </w:r>
      <w:r w:rsidRPr="00EB2612">
        <w:rPr>
          <w:b w:val="0"/>
          <w:color w:val="000000" w:themeColor="text1"/>
          <w:sz w:val="22"/>
          <w:szCs w:val="22"/>
        </w:rPr>
        <w:t xml:space="preserve">Vymezení oblasti knih a tisku podle klasifikace </w:t>
      </w:r>
      <w:r w:rsidR="00705045">
        <w:rPr>
          <w:b w:val="0"/>
          <w:color w:val="000000" w:themeColor="text1"/>
          <w:sz w:val="22"/>
          <w:szCs w:val="22"/>
        </w:rPr>
        <w:t>CZ-</w:t>
      </w:r>
      <w:r w:rsidRPr="00EB2612">
        <w:rPr>
          <w:b w:val="0"/>
          <w:color w:val="000000" w:themeColor="text1"/>
          <w:sz w:val="22"/>
          <w:szCs w:val="22"/>
        </w:rPr>
        <w:t>NACE</w:t>
      </w:r>
      <w:bookmarkEnd w:id="24"/>
    </w:p>
    <w:tbl>
      <w:tblPr>
        <w:tblW w:w="6520" w:type="dxa"/>
        <w:tblInd w:w="3189" w:type="dxa"/>
        <w:tblCellMar>
          <w:left w:w="70" w:type="dxa"/>
          <w:right w:w="70" w:type="dxa"/>
        </w:tblCellMar>
        <w:tblLook w:val="04A0"/>
      </w:tblPr>
      <w:tblGrid>
        <w:gridCol w:w="1843"/>
        <w:gridCol w:w="4677"/>
      </w:tblGrid>
      <w:tr w:rsidR="00BB64DB" w:rsidRPr="00EB2612" w:rsidTr="00B508F7">
        <w:trPr>
          <w:trHeight w:val="255"/>
        </w:trPr>
        <w:tc>
          <w:tcPr>
            <w:tcW w:w="1843" w:type="dxa"/>
            <w:tcBorders>
              <w:top w:val="single" w:sz="12" w:space="0" w:color="auto"/>
              <w:left w:val="nil"/>
              <w:bottom w:val="single" w:sz="12" w:space="0" w:color="auto"/>
              <w:right w:val="nil"/>
            </w:tcBorders>
            <w:shd w:val="clear" w:color="auto" w:fill="F2DBDB" w:themeFill="accent2" w:themeFillTint="33"/>
            <w:vAlign w:val="center"/>
            <w:hideMark/>
          </w:tcPr>
          <w:p w:rsidR="00BB64DB" w:rsidRPr="00EB2612" w:rsidRDefault="00705045" w:rsidP="00B508F7">
            <w:pPr>
              <w:pStyle w:val="Box"/>
              <w:ind w:left="0"/>
              <w:jc w:val="both"/>
              <w:rPr>
                <w:rFonts w:asciiTheme="minorHAnsi" w:hAnsiTheme="minorHAnsi"/>
                <w:sz w:val="20"/>
                <w:szCs w:val="20"/>
              </w:rPr>
            </w:pPr>
            <w:r>
              <w:rPr>
                <w:rFonts w:asciiTheme="minorHAnsi" w:hAnsiTheme="minorHAnsi"/>
                <w:sz w:val="20"/>
                <w:szCs w:val="20"/>
              </w:rPr>
              <w:t>CZ-</w:t>
            </w:r>
            <w:r w:rsidR="00BB64DB" w:rsidRPr="00EB2612">
              <w:rPr>
                <w:rFonts w:asciiTheme="minorHAnsi" w:hAnsiTheme="minorHAnsi"/>
                <w:sz w:val="20"/>
                <w:szCs w:val="20"/>
              </w:rPr>
              <w:t>NACE</w:t>
            </w:r>
          </w:p>
        </w:tc>
        <w:tc>
          <w:tcPr>
            <w:tcW w:w="4677"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B508F7">
            <w:pPr>
              <w:pStyle w:val="Box"/>
              <w:ind w:left="0"/>
              <w:jc w:val="both"/>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B508F7">
        <w:trPr>
          <w:trHeight w:val="255"/>
        </w:trPr>
        <w:tc>
          <w:tcPr>
            <w:tcW w:w="1843" w:type="dxa"/>
            <w:tcBorders>
              <w:top w:val="single" w:sz="12" w:space="0" w:color="auto"/>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58.11</w:t>
            </w:r>
          </w:p>
        </w:tc>
        <w:tc>
          <w:tcPr>
            <w:tcW w:w="4677" w:type="dxa"/>
            <w:tcBorders>
              <w:top w:val="single" w:sz="12" w:space="0" w:color="auto"/>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Vydávání knih</w:t>
            </w:r>
          </w:p>
        </w:tc>
      </w:tr>
      <w:tr w:rsidR="00BB64DB" w:rsidRPr="00EB2612" w:rsidTr="00B508F7">
        <w:trPr>
          <w:trHeight w:val="255"/>
        </w:trPr>
        <w:tc>
          <w:tcPr>
            <w:tcW w:w="1843"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58.13</w:t>
            </w:r>
          </w:p>
        </w:tc>
        <w:tc>
          <w:tcPr>
            <w:tcW w:w="4677"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Vydávání novin</w:t>
            </w:r>
          </w:p>
        </w:tc>
      </w:tr>
      <w:tr w:rsidR="00BB64DB" w:rsidRPr="00EB2612" w:rsidTr="00B508F7">
        <w:trPr>
          <w:trHeight w:val="255"/>
        </w:trPr>
        <w:tc>
          <w:tcPr>
            <w:tcW w:w="1843"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58.14</w:t>
            </w:r>
          </w:p>
        </w:tc>
        <w:tc>
          <w:tcPr>
            <w:tcW w:w="4677"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Vydávání časopisů a ostatních periodických publikací</w:t>
            </w:r>
          </w:p>
        </w:tc>
      </w:tr>
      <w:tr w:rsidR="00BB64DB" w:rsidRPr="00EB2612" w:rsidTr="00B508F7">
        <w:trPr>
          <w:trHeight w:val="255"/>
        </w:trPr>
        <w:tc>
          <w:tcPr>
            <w:tcW w:w="1843"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63.91</w:t>
            </w:r>
          </w:p>
        </w:tc>
        <w:tc>
          <w:tcPr>
            <w:tcW w:w="4677"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Činnosti zpravodajských tiskových kanceláří a agentur</w:t>
            </w:r>
          </w:p>
        </w:tc>
      </w:tr>
      <w:tr w:rsidR="00BB64DB" w:rsidRPr="00EB2612" w:rsidTr="00B508F7">
        <w:trPr>
          <w:trHeight w:val="255"/>
        </w:trPr>
        <w:tc>
          <w:tcPr>
            <w:tcW w:w="1843"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74.30</w:t>
            </w:r>
          </w:p>
        </w:tc>
        <w:tc>
          <w:tcPr>
            <w:tcW w:w="4677"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Překladatelské a tlumočnické činnosti</w:t>
            </w:r>
          </w:p>
        </w:tc>
      </w:tr>
      <w:tr w:rsidR="00BB64DB" w:rsidRPr="00EB2612" w:rsidTr="00B508F7">
        <w:trPr>
          <w:trHeight w:val="255"/>
        </w:trPr>
        <w:tc>
          <w:tcPr>
            <w:tcW w:w="1843"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47.61</w:t>
            </w:r>
          </w:p>
        </w:tc>
        <w:tc>
          <w:tcPr>
            <w:tcW w:w="4677" w:type="dxa"/>
            <w:tcBorders>
              <w:top w:val="nil"/>
              <w:left w:val="nil"/>
              <w:bottom w:val="nil"/>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 xml:space="preserve">Maloobchod s knihami </w:t>
            </w:r>
          </w:p>
        </w:tc>
      </w:tr>
      <w:tr w:rsidR="00BB64DB" w:rsidRPr="00EB2612" w:rsidTr="00B508F7">
        <w:trPr>
          <w:trHeight w:val="255"/>
        </w:trPr>
        <w:tc>
          <w:tcPr>
            <w:tcW w:w="1843" w:type="dxa"/>
            <w:tcBorders>
              <w:top w:val="nil"/>
              <w:left w:val="nil"/>
              <w:bottom w:val="single" w:sz="12" w:space="0" w:color="auto"/>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47.62</w:t>
            </w:r>
          </w:p>
        </w:tc>
        <w:tc>
          <w:tcPr>
            <w:tcW w:w="4677" w:type="dxa"/>
            <w:tcBorders>
              <w:top w:val="nil"/>
              <w:left w:val="nil"/>
              <w:bottom w:val="single" w:sz="12" w:space="0" w:color="auto"/>
              <w:right w:val="nil"/>
            </w:tcBorders>
            <w:shd w:val="clear" w:color="auto" w:fill="auto"/>
            <w:hideMark/>
          </w:tcPr>
          <w:p w:rsidR="00BB64DB" w:rsidRPr="00EB2612" w:rsidRDefault="00BB64DB" w:rsidP="00B508F7">
            <w:pPr>
              <w:spacing w:line="240" w:lineRule="auto"/>
              <w:rPr>
                <w:rFonts w:asciiTheme="minorHAnsi" w:hAnsiTheme="minorHAnsi"/>
              </w:rPr>
            </w:pPr>
            <w:r w:rsidRPr="00EB2612">
              <w:rPr>
                <w:rFonts w:asciiTheme="minorHAnsi" w:hAnsiTheme="minorHAnsi"/>
              </w:rPr>
              <w:t>Maloobchod s novinami, časopisy a papírnickým zbožím</w:t>
            </w:r>
          </w:p>
        </w:tc>
      </w:tr>
    </w:tbl>
    <w:p w:rsidR="00BB64DB" w:rsidRPr="00EB2612" w:rsidRDefault="00BB64DB" w:rsidP="00BB64DB">
      <w:r w:rsidRPr="00EB2612">
        <w:br/>
        <w:t>Vydávání a distribuce tiskovin je jednou z nejstarších ekonomických činností v</w:t>
      </w:r>
      <w:r w:rsidR="005D1937" w:rsidRPr="00EB2612">
        <w:t> audiovizuálním a mediálním sektoru</w:t>
      </w:r>
      <w:r w:rsidRPr="00EB2612">
        <w:t>. Na území dnešní České republiky aktivně působí soukromí vydavatelé již několik staletí,</w:t>
      </w:r>
      <w:r w:rsidR="00B508F7" w:rsidRPr="00EB2612">
        <w:t xml:space="preserve"> pokud pomineme </w:t>
      </w:r>
      <w:r w:rsidRPr="00EB2612">
        <w:t xml:space="preserve">redukci a státní monopolizaci vydavatelství v období komunistického režimu. Po roce 1989 došlo opět k velkému nárůstu soukromých subjektů působících jak v oblasti periodického tisku, tak v oblasti knih. Zejména v oblasti knižního vydavatelství jsou v současnosti </w:t>
      </w:r>
      <w:r w:rsidR="00A96EFF" w:rsidRPr="00EB2612">
        <w:t>vydavatelské</w:t>
      </w:r>
      <w:r w:rsidRPr="00EB2612">
        <w:t xml:space="preserve"> subjekty v ČR mimořádně aktivní</w:t>
      </w:r>
      <w:r w:rsidR="00282CCA" w:rsidRPr="00EB2612">
        <w:t> </w:t>
      </w:r>
      <w:r w:rsidRPr="00EB2612">
        <w:t>a</w:t>
      </w:r>
      <w:r w:rsidR="00282CCA" w:rsidRPr="00EB2612">
        <w:t> </w:t>
      </w:r>
      <w:r w:rsidRPr="00EB2612">
        <w:t xml:space="preserve">v počtu vydaných knih na obyvatele obsazují přední příčky ve světovém žebříčku </w:t>
      </w:r>
      <w:r w:rsidR="00154890">
        <w:t>Mezinárodního sdružení nakladatelů</w:t>
      </w:r>
      <w:r w:rsidR="00042E63" w:rsidRPr="00EB2612">
        <w:t xml:space="preserve"> (</w:t>
      </w:r>
      <w:proofErr w:type="spellStart"/>
      <w:r w:rsidR="00FD3B1F" w:rsidRPr="00EB2612">
        <w:t>Debnár</w:t>
      </w:r>
      <w:proofErr w:type="spellEnd"/>
      <w:r w:rsidR="00FD3B1F" w:rsidRPr="00EB2612">
        <w:t>, 2015</w:t>
      </w:r>
      <w:r w:rsidR="00606EDA" w:rsidRPr="00EB2612">
        <w:t>)</w:t>
      </w:r>
      <w:r w:rsidR="002A5595" w:rsidRPr="00EB2612">
        <w:t>. Na tisíc obyvatel pak připadlo podle ú</w:t>
      </w:r>
      <w:r w:rsidR="003C678D" w:rsidRPr="00EB2612">
        <w:t>dajů z šetření</w:t>
      </w:r>
      <w:r w:rsidR="00F112D6" w:rsidRPr="00EB2612">
        <w:t xml:space="preserve"> NIPOS v roce 2019 přibližně 1,7</w:t>
      </w:r>
      <w:r w:rsidR="00B41BE5" w:rsidRPr="00EB2612">
        <w:t xml:space="preserve"> nově vydaného</w:t>
      </w:r>
      <w:r w:rsidR="002A5595" w:rsidRPr="00EB2612">
        <w:t xml:space="preserve"> titulu, čímž se v mezinárodním srovnání Česká republika řadí mezi země s nejvyšším počtem vydaných knižních titulů v přepočtu na obyvatele</w:t>
      </w:r>
      <w:r w:rsidR="00F112D6" w:rsidRPr="00EB2612">
        <w:t xml:space="preserve"> (WIPO, 2020)</w:t>
      </w:r>
      <w:r w:rsidR="002A5595" w:rsidRPr="00EB2612">
        <w:t>.</w:t>
      </w:r>
    </w:p>
    <w:p w:rsidR="00BB64DB" w:rsidRPr="00EB2612" w:rsidRDefault="00B508F7" w:rsidP="00BB64DB">
      <w:pPr>
        <w:ind w:firstLine="708"/>
      </w:pPr>
      <w:r w:rsidRPr="00EB2612">
        <w:t xml:space="preserve"> </w:t>
      </w:r>
      <w:r w:rsidR="00BB64DB" w:rsidRPr="00EB2612">
        <w:t>V rámci výchozí definice jsou činnosti vydávání</w:t>
      </w:r>
      <w:r w:rsidR="00606EDA" w:rsidRPr="00EB2612">
        <w:t xml:space="preserve"> a maloobchodního prodeje novin</w:t>
      </w:r>
      <w:r w:rsidR="00BB64DB" w:rsidRPr="00EB2612">
        <w:t xml:space="preserve"> a časopisů vnímány jako jedna samostatná oblast</w:t>
      </w:r>
      <w:r w:rsidRPr="00EB2612">
        <w:t xml:space="preserve"> a zahrnují také </w:t>
      </w:r>
      <w:r w:rsidR="00D508CE" w:rsidRPr="00EB2612">
        <w:t>maloobchod s papírenským</w:t>
      </w:r>
      <w:r w:rsidRPr="00EB2612">
        <w:t xml:space="preserve"> zboží</w:t>
      </w:r>
      <w:r w:rsidR="00D508CE" w:rsidRPr="00EB2612">
        <w:t>m</w:t>
      </w:r>
      <w:r w:rsidRPr="00EB2612">
        <w:t>, kte</w:t>
      </w:r>
      <w:r w:rsidR="00D508CE" w:rsidRPr="00EB2612">
        <w:t>rý</w:t>
      </w:r>
      <w:r w:rsidRPr="00EB2612">
        <w:t xml:space="preserve"> bohužel nejde na čtyřmístné úrovni</w:t>
      </w:r>
      <w:r w:rsidR="00D508CE" w:rsidRPr="00EB2612">
        <w:t xml:space="preserve"> klasifikace NACE z příslušné kategorie</w:t>
      </w:r>
      <w:r w:rsidRPr="00EB2612">
        <w:t xml:space="preserve"> vyčlenit</w:t>
      </w:r>
      <w:r w:rsidR="00BB64DB" w:rsidRPr="00EB2612">
        <w:t>. Do oblasti</w:t>
      </w:r>
      <w:r w:rsidRPr="00EB2612">
        <w:t xml:space="preserve"> knih a tisku</w:t>
      </w:r>
      <w:r w:rsidR="00BB64DB" w:rsidRPr="00EB2612">
        <w:t xml:space="preserve"> spadají také činnosti zpravodajských a tiskových agentur, překladatelů a tlumočníků. Po nastínění všeobecné charakteristiky této oblasti budou periodickému tisku (noviny</w:t>
      </w:r>
      <w:r w:rsidR="00282CCA" w:rsidRPr="00EB2612">
        <w:t> </w:t>
      </w:r>
      <w:r w:rsidR="00BB64DB" w:rsidRPr="00EB2612">
        <w:t>a</w:t>
      </w:r>
      <w:r w:rsidR="00282CCA" w:rsidRPr="00EB2612">
        <w:t> </w:t>
      </w:r>
      <w:r w:rsidR="00BB64DB" w:rsidRPr="00EB2612">
        <w:t>časopisy) a neperiodickým publikacím (knihy) věnované samostatné podkapitoly.</w:t>
      </w:r>
    </w:p>
    <w:p w:rsidR="00BB64DB" w:rsidRPr="00EB2612" w:rsidRDefault="00BB64DB" w:rsidP="00BB64DB">
      <w:pPr>
        <w:ind w:firstLine="708"/>
      </w:pPr>
      <w:r w:rsidRPr="00EB2612">
        <w:t xml:space="preserve">Trh knižních vydavatelů a vydavatelů periodik v České republice se liší zejména podílem monopolizace trhu. Zatímco nejčtenější periodika spadají pod několik velkých vydavatelských domů, v oblasti knižního vydavatelství </w:t>
      </w:r>
      <w:r w:rsidR="00235533" w:rsidRPr="00EB2612">
        <w:t>je trh rozdělen mezi více velkých a středně velkých vydavatelství</w:t>
      </w:r>
      <w:r w:rsidR="00FD3B1F" w:rsidRPr="00EB2612">
        <w:t xml:space="preserve"> (S</w:t>
      </w:r>
      <w:r w:rsidR="00F112D6" w:rsidRPr="00EB2612">
        <w:t>ČKN, 2019</w:t>
      </w:r>
      <w:r w:rsidRPr="00EB2612">
        <w:t>). Každoroční objem trhu knih a periodických publikací se dá velmi dobře analyzovat na základě počtu vydaných titulů vzhledem k</w:t>
      </w:r>
      <w:r w:rsidR="00B508F7" w:rsidRPr="00EB2612">
        <w:t xml:space="preserve"> zákonné </w:t>
      </w:r>
      <w:r w:rsidRPr="00EB2612">
        <w:t>povinnosti vydavatelů zasílat aktuální výtisky Národní knihovně České republiky a</w:t>
      </w:r>
      <w:r w:rsidR="00CC15C7" w:rsidRPr="00EB2612">
        <w:t> </w:t>
      </w:r>
      <w:r w:rsidRPr="00EB2612">
        <w:t>jiným institucím.</w:t>
      </w:r>
      <w:r w:rsidR="002B21CF" w:rsidRPr="00EB2612">
        <w:t xml:space="preserve"> Specifika v</w:t>
      </w:r>
      <w:r w:rsidR="003A5CE5" w:rsidRPr="00EB2612">
        <w:t>ydávaných titulů budou rozebrána</w:t>
      </w:r>
      <w:r w:rsidR="002B21CF" w:rsidRPr="00EB2612">
        <w:t xml:space="preserve"> v samostatných podkapitolách.</w:t>
      </w:r>
      <w:r w:rsidRPr="00EB2612">
        <w:t xml:space="preserve"> Údaje o</w:t>
      </w:r>
      <w:r w:rsidR="00CC15C7" w:rsidRPr="00EB2612">
        <w:t> </w:t>
      </w:r>
      <w:r w:rsidRPr="00EB2612">
        <w:t>vydaných periodických</w:t>
      </w:r>
      <w:r w:rsidR="00282CCA" w:rsidRPr="00EB2612">
        <w:t> </w:t>
      </w:r>
      <w:r w:rsidRPr="00EB2612">
        <w:t>a</w:t>
      </w:r>
      <w:r w:rsidR="00282CCA" w:rsidRPr="00EB2612">
        <w:t> </w:t>
      </w:r>
      <w:r w:rsidRPr="00EB2612">
        <w:t>neperiodických</w:t>
      </w:r>
      <w:r w:rsidR="005D1937" w:rsidRPr="00EB2612">
        <w:t xml:space="preserve"> titulech</w:t>
      </w:r>
      <w:r w:rsidRPr="00EB2612">
        <w:t xml:space="preserve"> sbírá od</w:t>
      </w:r>
      <w:r w:rsidR="00313494" w:rsidRPr="00EB2612">
        <w:t> </w:t>
      </w:r>
      <w:r w:rsidRPr="00EB2612">
        <w:t>Národní knihovny České republiky každoročně prostřednictvím ročních výkazů NIPOS.</w:t>
      </w:r>
    </w:p>
    <w:p w:rsidR="00BB64DB" w:rsidRPr="00EB2612" w:rsidRDefault="00BB64DB" w:rsidP="00683DBB">
      <w:pPr>
        <w:ind w:firstLine="708"/>
      </w:pPr>
      <w:r w:rsidRPr="00EB2612">
        <w:t xml:space="preserve">Přehled o příjmech subjektů v oblasti </w:t>
      </w:r>
      <w:r w:rsidR="00BA414E" w:rsidRPr="00EB2612">
        <w:t>k</w:t>
      </w:r>
      <w:r w:rsidRPr="00EB2612">
        <w:t xml:space="preserve">nih a tisku podle výchozí definice ukazuje </w:t>
      </w:r>
      <w:r w:rsidR="00015D27" w:rsidRPr="00EB2612">
        <w:t xml:space="preserve">Graf </w:t>
      </w:r>
      <w:r w:rsidR="008D5C9E">
        <w:t>6</w:t>
      </w:r>
      <w:r w:rsidRPr="00EB2612">
        <w:t>. Prezentovaná časová řada zachycuje kontinuální prop</w:t>
      </w:r>
      <w:r w:rsidR="00BA414E" w:rsidRPr="00EB2612">
        <w:t>ad příjmů z činností v oblasti k</w:t>
      </w:r>
      <w:r w:rsidRPr="00EB2612">
        <w:t>n</w:t>
      </w:r>
      <w:r w:rsidR="00B93569" w:rsidRPr="00EB2612">
        <w:t>ih a tisku mezi lety 2008 a 2015</w:t>
      </w:r>
      <w:r w:rsidRPr="00EB2612">
        <w:t xml:space="preserve">. Jako vysvětlení tohoto trendu se nabízí omezení výdajů spotřebitelů za knihy a periodické publikace v důsledku ekonomické krize a změna spotřebitelských návyků spojených s rozvojem online </w:t>
      </w:r>
      <w:r w:rsidRPr="00EB2612">
        <w:lastRenderedPageBreak/>
        <w:t>zpravodajství.</w:t>
      </w:r>
      <w:r w:rsidR="00FD3B1F" w:rsidRPr="00EB2612">
        <w:t xml:space="preserve"> V posledních sledovaných letech se však pokles příjmů, v souladu s oživením ekonomiky, </w:t>
      </w:r>
      <w:r w:rsidR="000057AA" w:rsidRPr="00EB2612">
        <w:t>zpomalil</w:t>
      </w:r>
      <w:r w:rsidR="00B93569" w:rsidRPr="00EB2612">
        <w:t xml:space="preserve"> a </w:t>
      </w:r>
      <w:r w:rsidR="00B10C48" w:rsidRPr="00EB2612">
        <w:t>mezi lety 2013 a 2018</w:t>
      </w:r>
      <w:r w:rsidR="000D3FD9" w:rsidRPr="00EB2612">
        <w:t xml:space="preserve"> se </w:t>
      </w:r>
      <w:r w:rsidR="009F65E2">
        <w:t>jejich výše pohybuje mezi 39 a 41</w:t>
      </w:r>
      <w:r w:rsidR="000D3FD9" w:rsidRPr="00EB2612">
        <w:t xml:space="preserve"> mld. Kč</w:t>
      </w:r>
      <w:r w:rsidR="00FD3B1F" w:rsidRPr="00EB2612">
        <w:t xml:space="preserve">. </w:t>
      </w:r>
      <w:r w:rsidRPr="00EB2612">
        <w:t xml:space="preserve">Celkové </w:t>
      </w:r>
      <w:r w:rsidR="00A96EFF" w:rsidRPr="00EB2612">
        <w:t>příjmy</w:t>
      </w:r>
      <w:r w:rsidRPr="00EB2612">
        <w:t xml:space="preserve"> </w:t>
      </w:r>
      <w:r w:rsidR="00042B50" w:rsidRPr="00EB2612">
        <w:t xml:space="preserve">ekonomických subjektů s převažující činností </w:t>
      </w:r>
      <w:r w:rsidRPr="00EB2612">
        <w:t xml:space="preserve">v oblasti </w:t>
      </w:r>
      <w:r w:rsidR="00042B50" w:rsidRPr="00EB2612">
        <w:t>k</w:t>
      </w:r>
      <w:r w:rsidRPr="00EB2612">
        <w:t>nih a tisku dos</w:t>
      </w:r>
      <w:r w:rsidR="00683DBB" w:rsidRPr="00EB2612">
        <w:t>áhly v </w:t>
      </w:r>
      <w:r w:rsidR="00B10C48" w:rsidRPr="00EB2612">
        <w:t>roce 2018</w:t>
      </w:r>
      <w:r w:rsidR="00FD3B1F" w:rsidRPr="00EB2612">
        <w:t xml:space="preserve"> velikosti</w:t>
      </w:r>
      <w:r w:rsidR="00B93569" w:rsidRPr="00EB2612">
        <w:t xml:space="preserve"> </w:t>
      </w:r>
      <w:r w:rsidR="00B10C48" w:rsidRPr="00EB2612">
        <w:t>40,5</w:t>
      </w:r>
      <w:r w:rsidR="00D4367D" w:rsidRPr="00EB2612">
        <w:t> </w:t>
      </w:r>
      <w:r w:rsidRPr="00EB2612">
        <w:t>mld.</w:t>
      </w:r>
      <w:r w:rsidR="00D4367D" w:rsidRPr="00EB2612">
        <w:t> </w:t>
      </w:r>
      <w:r w:rsidRPr="00EB2612">
        <w:t>Kč.</w:t>
      </w:r>
    </w:p>
    <w:p w:rsidR="00BB64DB" w:rsidRPr="00EB2612" w:rsidRDefault="00BB64DB" w:rsidP="00BB64DB">
      <w:pPr>
        <w:pStyle w:val="Titulek"/>
        <w:keepNext/>
        <w:rPr>
          <w:b w:val="0"/>
          <w:color w:val="000000" w:themeColor="text1"/>
          <w:sz w:val="22"/>
          <w:szCs w:val="22"/>
        </w:rPr>
      </w:pPr>
      <w:r w:rsidRPr="00EB2612">
        <w:rPr>
          <w:color w:val="000000" w:themeColor="text1"/>
          <w:sz w:val="22"/>
          <w:szCs w:val="22"/>
        </w:rPr>
        <w:t xml:space="preserve">Graf </w:t>
      </w:r>
      <w:r w:rsidR="008D5C9E">
        <w:rPr>
          <w:color w:val="000000" w:themeColor="text1"/>
          <w:sz w:val="22"/>
          <w:szCs w:val="22"/>
        </w:rPr>
        <w:t>6</w:t>
      </w:r>
      <w:r w:rsidR="002F7B33" w:rsidRPr="00EB2612">
        <w:rPr>
          <w:color w:val="000000" w:themeColor="text1"/>
          <w:sz w:val="22"/>
          <w:szCs w:val="22"/>
        </w:rPr>
        <w:t xml:space="preserve"> </w:t>
      </w:r>
      <w:r w:rsidR="00522F08" w:rsidRPr="00EB2612">
        <w:rPr>
          <w:b w:val="0"/>
          <w:color w:val="000000" w:themeColor="text1"/>
          <w:sz w:val="22"/>
          <w:szCs w:val="22"/>
        </w:rPr>
        <w:t>Příjmy</w:t>
      </w:r>
      <w:r w:rsidR="00B34A56" w:rsidRPr="00EB2612">
        <w:rPr>
          <w:b w:val="0"/>
          <w:color w:val="000000" w:themeColor="text1"/>
          <w:sz w:val="22"/>
          <w:szCs w:val="22"/>
        </w:rPr>
        <w:t xml:space="preserve"> subjektů</w:t>
      </w:r>
      <w:r w:rsidR="00171D41" w:rsidRPr="00EB2612">
        <w:rPr>
          <w:b w:val="0"/>
          <w:color w:val="000000" w:themeColor="text1"/>
          <w:sz w:val="22"/>
          <w:szCs w:val="22"/>
        </w:rPr>
        <w:t xml:space="preserve"> s převažující ekonomickou činností </w:t>
      </w:r>
      <w:r w:rsidR="00B34A56" w:rsidRPr="00EB2612">
        <w:rPr>
          <w:b w:val="0"/>
          <w:color w:val="000000" w:themeColor="text1"/>
          <w:sz w:val="22"/>
          <w:szCs w:val="22"/>
        </w:rPr>
        <w:t>v oblasti k</w:t>
      </w:r>
      <w:r w:rsidRPr="00EB2612">
        <w:rPr>
          <w:b w:val="0"/>
          <w:color w:val="000000" w:themeColor="text1"/>
          <w:sz w:val="22"/>
          <w:szCs w:val="22"/>
        </w:rPr>
        <w:t xml:space="preserve">nih a tisku </w:t>
      </w:r>
      <w:r w:rsidR="00B34A56" w:rsidRPr="00EB2612">
        <w:rPr>
          <w:b w:val="0"/>
          <w:color w:val="000000" w:themeColor="text1"/>
          <w:sz w:val="22"/>
          <w:szCs w:val="22"/>
        </w:rPr>
        <w:t>(</w:t>
      </w:r>
      <w:r w:rsidRPr="00EB2612">
        <w:rPr>
          <w:b w:val="0"/>
          <w:color w:val="000000" w:themeColor="text1"/>
          <w:sz w:val="22"/>
          <w:szCs w:val="22"/>
        </w:rPr>
        <w:t>v</w:t>
      </w:r>
      <w:r w:rsidR="00B34A56" w:rsidRPr="00EB2612">
        <w:rPr>
          <w:b w:val="0"/>
          <w:color w:val="000000" w:themeColor="text1"/>
          <w:sz w:val="22"/>
          <w:szCs w:val="22"/>
        </w:rPr>
        <w:t xml:space="preserve"> mld.</w:t>
      </w:r>
      <w:r w:rsidRPr="00EB2612">
        <w:rPr>
          <w:b w:val="0"/>
          <w:color w:val="000000" w:themeColor="text1"/>
          <w:sz w:val="22"/>
          <w:szCs w:val="22"/>
        </w:rPr>
        <w:t xml:space="preserve"> Kč</w:t>
      </w:r>
      <w:r w:rsidR="00B34A56" w:rsidRPr="00EB2612">
        <w:rPr>
          <w:b w:val="0"/>
          <w:color w:val="000000" w:themeColor="text1"/>
          <w:sz w:val="22"/>
          <w:szCs w:val="22"/>
        </w:rPr>
        <w:t>)</w:t>
      </w:r>
    </w:p>
    <w:p w:rsidR="00BB64DB" w:rsidRPr="00EB2612" w:rsidRDefault="00B10C48" w:rsidP="00BB64DB">
      <w:pPr>
        <w:keepNext/>
      </w:pPr>
      <w:r w:rsidRPr="00EB2612">
        <w:rPr>
          <w:noProof/>
        </w:rPr>
        <w:drawing>
          <wp:inline distT="0" distB="0" distL="0" distR="0">
            <wp:extent cx="6134100" cy="1257300"/>
            <wp:effectExtent l="0" t="0" r="0" b="0"/>
            <wp:docPr id="10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Zdroj:</w:t>
      </w:r>
      <w:r w:rsidR="00B508F7" w:rsidRPr="00EB2612">
        <w:rPr>
          <w:b w:val="0"/>
          <w:color w:val="000000" w:themeColor="text1"/>
          <w:sz w:val="22"/>
          <w:szCs w:val="22"/>
        </w:rPr>
        <w:t xml:space="preserve"> Podniková strukturální statistika,</w:t>
      </w:r>
      <w:r w:rsidRPr="00EB2612">
        <w:rPr>
          <w:b w:val="0"/>
          <w:color w:val="000000" w:themeColor="text1"/>
          <w:sz w:val="22"/>
          <w:szCs w:val="22"/>
        </w:rPr>
        <w:t xml:space="preserve"> ČSÚ</w:t>
      </w:r>
    </w:p>
    <w:p w:rsidR="00BB64DB" w:rsidRPr="00EB2612" w:rsidRDefault="00BB64DB" w:rsidP="00BB64DB">
      <w:r w:rsidRPr="00EB2612">
        <w:t xml:space="preserve">Výše zaměstnanosti v oblasti </w:t>
      </w:r>
      <w:r w:rsidR="00BA414E" w:rsidRPr="00EB2612">
        <w:t>k</w:t>
      </w:r>
      <w:r w:rsidRPr="00EB2612">
        <w:t xml:space="preserve">nih a tisku v podstatě kopíruje vývoj </w:t>
      </w:r>
      <w:r w:rsidR="00BA414E" w:rsidRPr="00EB2612">
        <w:t>příjmů</w:t>
      </w:r>
      <w:r w:rsidRPr="00EB2612">
        <w:t xml:space="preserve"> podnik</w:t>
      </w:r>
      <w:r w:rsidR="00683DBB" w:rsidRPr="00EB2612">
        <w:t>ů v této oblasti. Mez</w:t>
      </w:r>
      <w:r w:rsidR="00A96EFF" w:rsidRPr="00EB2612">
        <w:t>i lety 2006</w:t>
      </w:r>
      <w:r w:rsidR="00B10C48" w:rsidRPr="00EB2612">
        <w:t xml:space="preserve"> a 2018</w:t>
      </w:r>
      <w:r w:rsidRPr="00EB2612">
        <w:t xml:space="preserve"> pokl</w:t>
      </w:r>
      <w:r w:rsidR="00042B50" w:rsidRPr="00EB2612">
        <w:t>esla zaměstnanost podle Podnikové strukturální statistiky</w:t>
      </w:r>
      <w:r w:rsidR="00A96EFF" w:rsidRPr="00EB2612">
        <w:t xml:space="preserve"> </w:t>
      </w:r>
      <w:r w:rsidR="000D3FD9" w:rsidRPr="00EB2612">
        <w:t xml:space="preserve">přibližně </w:t>
      </w:r>
      <w:r w:rsidR="00A96EFF" w:rsidRPr="00EB2612">
        <w:t xml:space="preserve">o </w:t>
      </w:r>
      <w:r w:rsidR="000D3FD9" w:rsidRPr="00EB2612">
        <w:t>6</w:t>
      </w:r>
      <w:r w:rsidR="00A96EFF" w:rsidRPr="00EB2612">
        <w:t xml:space="preserve"> tis.</w:t>
      </w:r>
      <w:r w:rsidRPr="00EB2612">
        <w:t xml:space="preserve"> zaměstnanců a</w:t>
      </w:r>
      <w:r w:rsidR="00362010">
        <w:t> </w:t>
      </w:r>
      <w:r w:rsidR="00B10C48" w:rsidRPr="00EB2612">
        <w:t>v roce 2018</w:t>
      </w:r>
      <w:r w:rsidR="00683DBB" w:rsidRPr="00EB2612">
        <w:t xml:space="preserve"> dosa</w:t>
      </w:r>
      <w:r w:rsidR="00B10C48" w:rsidRPr="00EB2612">
        <w:t>hovala výše 11,7</w:t>
      </w:r>
      <w:r w:rsidR="00683DBB" w:rsidRPr="00EB2612">
        <w:t xml:space="preserve"> tis.</w:t>
      </w:r>
      <w:r w:rsidRPr="00EB2612">
        <w:t xml:space="preserve"> zaměstnanců</w:t>
      </w:r>
      <w:r w:rsidR="00A65561" w:rsidRPr="00EB2612">
        <w:t xml:space="preserve">. </w:t>
      </w:r>
      <w:r w:rsidRPr="00EB2612">
        <w:t>Údaje zachycující zaměstnanost pro oblast knih a</w:t>
      </w:r>
      <w:r w:rsidR="00362010">
        <w:t> </w:t>
      </w:r>
      <w:r w:rsidRPr="00EB2612">
        <w:t>oblast tisku samostatně budou uvede</w:t>
      </w:r>
      <w:r w:rsidR="00B34A56" w:rsidRPr="00EB2612">
        <w:t>ny v příslušných podkapitolách.</w:t>
      </w:r>
      <w:r w:rsidR="003F3756" w:rsidRPr="00EB2612">
        <w:t xml:space="preserve"> I přesto, že zaměstnanců v oblasti knih a tisku každoročně ubývá, je možné že některá zaniklá pracovní místa zaujímají </w:t>
      </w:r>
      <w:r w:rsidR="00B13F18">
        <w:t xml:space="preserve">externí pracovníci, </w:t>
      </w:r>
      <w:r w:rsidR="003F3756" w:rsidRPr="00EB2612">
        <w:t>pracovníci na dohody či živnostníci.</w:t>
      </w:r>
    </w:p>
    <w:p w:rsidR="00BB64DB" w:rsidRPr="00EB2612" w:rsidRDefault="00BB64DB" w:rsidP="00BB64DB">
      <w:pPr>
        <w:pStyle w:val="Titulek"/>
        <w:keepNext/>
        <w:rPr>
          <w:color w:val="000000" w:themeColor="text1"/>
          <w:sz w:val="22"/>
          <w:szCs w:val="22"/>
        </w:rPr>
      </w:pPr>
      <w:r w:rsidRPr="00EB2612">
        <w:rPr>
          <w:color w:val="000000" w:themeColor="text1"/>
          <w:sz w:val="22"/>
          <w:szCs w:val="22"/>
        </w:rPr>
        <w:t xml:space="preserve">Graf </w:t>
      </w:r>
      <w:r w:rsidR="008D5C9E">
        <w:rPr>
          <w:color w:val="000000" w:themeColor="text1"/>
          <w:sz w:val="22"/>
          <w:szCs w:val="22"/>
        </w:rPr>
        <w:t>7</w:t>
      </w:r>
      <w:r w:rsidR="002F7B33" w:rsidRPr="00EB2612">
        <w:rPr>
          <w:color w:val="000000" w:themeColor="text1"/>
          <w:sz w:val="22"/>
          <w:szCs w:val="22"/>
        </w:rPr>
        <w:t xml:space="preserve"> </w:t>
      </w:r>
      <w:r w:rsidR="00522F08" w:rsidRPr="00EB2612">
        <w:rPr>
          <w:b w:val="0"/>
          <w:color w:val="000000" w:themeColor="text1"/>
          <w:sz w:val="22"/>
          <w:szCs w:val="22"/>
        </w:rPr>
        <w:t>Počet</w:t>
      </w:r>
      <w:r w:rsidR="005366C7" w:rsidRPr="00EB2612">
        <w:rPr>
          <w:b w:val="0"/>
          <w:color w:val="000000" w:themeColor="text1"/>
          <w:sz w:val="22"/>
          <w:szCs w:val="22"/>
        </w:rPr>
        <w:t xml:space="preserve"> zaměstnanců v oblasti k</w:t>
      </w:r>
      <w:r w:rsidRPr="00EB2612">
        <w:rPr>
          <w:b w:val="0"/>
          <w:color w:val="000000" w:themeColor="text1"/>
          <w:sz w:val="22"/>
          <w:szCs w:val="22"/>
        </w:rPr>
        <w:t>nih a tisku (</w:t>
      </w:r>
      <w:r w:rsidR="005366C7" w:rsidRPr="00EB2612">
        <w:rPr>
          <w:b w:val="0"/>
          <w:color w:val="000000" w:themeColor="text1"/>
          <w:sz w:val="22"/>
          <w:szCs w:val="22"/>
        </w:rPr>
        <w:t xml:space="preserve">v tis. osob, </w:t>
      </w:r>
      <w:r w:rsidRPr="00EB2612">
        <w:rPr>
          <w:b w:val="0"/>
          <w:color w:val="000000" w:themeColor="text1"/>
          <w:sz w:val="22"/>
          <w:szCs w:val="22"/>
        </w:rPr>
        <w:t>přepočten</w:t>
      </w:r>
      <w:r w:rsidR="00683DBB" w:rsidRPr="00EB2612">
        <w:rPr>
          <w:b w:val="0"/>
          <w:color w:val="000000" w:themeColor="text1"/>
          <w:sz w:val="22"/>
          <w:szCs w:val="22"/>
        </w:rPr>
        <w:t>o</w:t>
      </w:r>
      <w:r w:rsidRPr="00EB2612">
        <w:rPr>
          <w:b w:val="0"/>
          <w:color w:val="000000" w:themeColor="text1"/>
          <w:sz w:val="22"/>
          <w:szCs w:val="22"/>
        </w:rPr>
        <w:t xml:space="preserve"> na počet plných úvazků)</w:t>
      </w:r>
    </w:p>
    <w:p w:rsidR="00BB64DB" w:rsidRPr="00EB2612" w:rsidRDefault="00B10C48" w:rsidP="00BB64DB">
      <w:pPr>
        <w:keepNext/>
      </w:pPr>
      <w:r w:rsidRPr="00EB2612">
        <w:rPr>
          <w:noProof/>
        </w:rPr>
        <w:drawing>
          <wp:inline distT="0" distB="0" distL="0" distR="0">
            <wp:extent cx="6067425" cy="1181100"/>
            <wp:effectExtent l="0" t="0" r="0" b="0"/>
            <wp:docPr id="12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Zdroj: Podniková strukturální statistika, ČSÚ</w:t>
      </w:r>
    </w:p>
    <w:p w:rsidR="00754990" w:rsidRPr="00EB2612" w:rsidRDefault="003C678D" w:rsidP="00754990">
      <w:pPr>
        <w:rPr>
          <w:lang w:eastAsia="en-US"/>
        </w:rPr>
      </w:pPr>
      <w:r w:rsidRPr="00EB2612">
        <w:rPr>
          <w:lang w:eastAsia="en-US"/>
        </w:rPr>
        <w:t xml:space="preserve">Údaje o počtu zaměstnanců z Podnikové strukturální </w:t>
      </w:r>
      <w:r w:rsidR="00346445" w:rsidRPr="00EB2612">
        <w:rPr>
          <w:lang w:eastAsia="en-US"/>
        </w:rPr>
        <w:t>statistiky může v oblasti knih a tisku doplnit také odhad celkové zaměstnanosti z Výběrového šetření pracovn</w:t>
      </w:r>
      <w:r w:rsidR="00C96C58" w:rsidRPr="00EB2612">
        <w:rPr>
          <w:lang w:eastAsia="en-US"/>
        </w:rPr>
        <w:t>ích sil. Pokud zohledníme všechny zaměstnané osoby (zaměstnance, podnikatele či pracovníky na dohody) bude se zaměstnanost v oblasti</w:t>
      </w:r>
      <w:r w:rsidR="00B93569" w:rsidRPr="00EB2612">
        <w:rPr>
          <w:lang w:eastAsia="en-US"/>
        </w:rPr>
        <w:t xml:space="preserve"> k</w:t>
      </w:r>
      <w:r w:rsidR="003F3756" w:rsidRPr="00EB2612">
        <w:rPr>
          <w:lang w:eastAsia="en-US"/>
        </w:rPr>
        <w:t>nih a tisku pohybovat okolo 28,7</w:t>
      </w:r>
      <w:r w:rsidR="00C96C58" w:rsidRPr="00EB2612">
        <w:rPr>
          <w:lang w:eastAsia="en-US"/>
        </w:rPr>
        <w:t xml:space="preserve"> tis. osob. Tento údaj lze dále dělit podle typu zaměstnání. </w:t>
      </w:r>
      <w:r w:rsidR="00E35EE2" w:rsidRPr="00EB2612">
        <w:rPr>
          <w:lang w:eastAsia="en-US"/>
        </w:rPr>
        <w:t>Z</w:t>
      </w:r>
      <w:r w:rsidR="007D5538" w:rsidRPr="00EB2612">
        <w:rPr>
          <w:lang w:eastAsia="en-US"/>
        </w:rPr>
        <w:t xml:space="preserve"> Grafu </w:t>
      </w:r>
      <w:r w:rsidR="008D5C9E">
        <w:rPr>
          <w:lang w:eastAsia="en-US"/>
        </w:rPr>
        <w:t>8</w:t>
      </w:r>
      <w:r w:rsidR="007D5538" w:rsidRPr="00EB2612">
        <w:rPr>
          <w:lang w:eastAsia="en-US"/>
        </w:rPr>
        <w:t xml:space="preserve"> </w:t>
      </w:r>
      <w:r w:rsidR="00E35EE2" w:rsidRPr="00EB2612">
        <w:rPr>
          <w:lang w:eastAsia="en-US"/>
        </w:rPr>
        <w:t xml:space="preserve">je </w:t>
      </w:r>
      <w:r w:rsidR="008B64EB" w:rsidRPr="00EB2612">
        <w:rPr>
          <w:lang w:eastAsia="en-US"/>
        </w:rPr>
        <w:t>zřejmé</w:t>
      </w:r>
      <w:r w:rsidR="00E35EE2" w:rsidRPr="00EB2612">
        <w:rPr>
          <w:lang w:eastAsia="en-US"/>
        </w:rPr>
        <w:t>, že</w:t>
      </w:r>
      <w:r w:rsidR="008B64EB" w:rsidRPr="00EB2612">
        <w:rPr>
          <w:lang w:eastAsia="en-US"/>
        </w:rPr>
        <w:t> </w:t>
      </w:r>
      <w:r w:rsidR="00E35EE2" w:rsidRPr="00EB2612">
        <w:rPr>
          <w:lang w:eastAsia="en-US"/>
        </w:rPr>
        <w:t xml:space="preserve"> v oblasti knih </w:t>
      </w:r>
      <w:r w:rsidR="008B76B8" w:rsidRPr="00EB2612">
        <w:rPr>
          <w:lang w:eastAsia="en-US"/>
        </w:rPr>
        <w:t>a</w:t>
      </w:r>
      <w:r w:rsidR="00362010">
        <w:rPr>
          <w:lang w:eastAsia="en-US"/>
        </w:rPr>
        <w:t> </w:t>
      </w:r>
      <w:r w:rsidR="008B76B8" w:rsidRPr="00EB2612">
        <w:rPr>
          <w:lang w:eastAsia="en-US"/>
        </w:rPr>
        <w:t xml:space="preserve">tisku </w:t>
      </w:r>
      <w:r w:rsidR="00611AC9" w:rsidRPr="00EB2612">
        <w:rPr>
          <w:lang w:eastAsia="en-US"/>
        </w:rPr>
        <w:t>se věnoval</w:t>
      </w:r>
      <w:r w:rsidR="003F3756" w:rsidRPr="00EB2612">
        <w:rPr>
          <w:lang w:eastAsia="en-US"/>
        </w:rPr>
        <w:t>o</w:t>
      </w:r>
      <w:r w:rsidR="008B76B8" w:rsidRPr="00EB2612">
        <w:rPr>
          <w:lang w:eastAsia="en-US"/>
        </w:rPr>
        <w:t xml:space="preserve"> zaměstnáním „</w:t>
      </w:r>
      <w:r w:rsidR="00E35EE2" w:rsidRPr="00EB2612">
        <w:rPr>
          <w:lang w:eastAsia="en-US"/>
        </w:rPr>
        <w:t xml:space="preserve">kulturního“ charakteru </w:t>
      </w:r>
      <w:r w:rsidR="003F3756" w:rsidRPr="00EB2612">
        <w:rPr>
          <w:lang w:eastAsia="en-US"/>
        </w:rPr>
        <w:t xml:space="preserve">více </w:t>
      </w:r>
      <w:r w:rsidR="00611AC9" w:rsidRPr="00EB2612">
        <w:rPr>
          <w:lang w:eastAsia="en-US"/>
        </w:rPr>
        <w:t xml:space="preserve">osob </w:t>
      </w:r>
      <w:r w:rsidR="00E35EE2" w:rsidRPr="00EB2612">
        <w:rPr>
          <w:lang w:eastAsia="en-US"/>
        </w:rPr>
        <w:t>(</w:t>
      </w:r>
      <w:r w:rsidR="003F3756" w:rsidRPr="00EB2612">
        <w:rPr>
          <w:lang w:eastAsia="en-US"/>
        </w:rPr>
        <w:t>16</w:t>
      </w:r>
      <w:r w:rsidR="00611AC9" w:rsidRPr="00EB2612">
        <w:rPr>
          <w:lang w:eastAsia="en-US"/>
        </w:rPr>
        <w:t>,5</w:t>
      </w:r>
      <w:r w:rsidR="008B64EB" w:rsidRPr="00EB2612">
        <w:rPr>
          <w:lang w:eastAsia="en-US"/>
        </w:rPr>
        <w:t> </w:t>
      </w:r>
      <w:r w:rsidR="00611AC9" w:rsidRPr="00EB2612">
        <w:rPr>
          <w:lang w:eastAsia="en-US"/>
        </w:rPr>
        <w:t xml:space="preserve">tis.) </w:t>
      </w:r>
      <w:r w:rsidR="003F3756" w:rsidRPr="00EB2612">
        <w:rPr>
          <w:lang w:eastAsia="en-US"/>
        </w:rPr>
        <w:t>než</w:t>
      </w:r>
      <w:r w:rsidR="00E35EE2" w:rsidRPr="00EB2612">
        <w:rPr>
          <w:lang w:eastAsia="en-US"/>
        </w:rPr>
        <w:t xml:space="preserve"> </w:t>
      </w:r>
      <w:r w:rsidR="008B76B8" w:rsidRPr="00EB2612">
        <w:rPr>
          <w:lang w:eastAsia="en-US"/>
        </w:rPr>
        <w:t>„</w:t>
      </w:r>
      <w:r w:rsidR="00611AC9" w:rsidRPr="00EB2612">
        <w:rPr>
          <w:lang w:eastAsia="en-US"/>
        </w:rPr>
        <w:t>ne-</w:t>
      </w:r>
      <w:r w:rsidR="00E35EE2" w:rsidRPr="00EB2612">
        <w:rPr>
          <w:lang w:eastAsia="en-US"/>
        </w:rPr>
        <w:t>kulturním</w:t>
      </w:r>
      <w:r w:rsidR="00B93569" w:rsidRPr="00EB2612">
        <w:rPr>
          <w:lang w:eastAsia="en-US"/>
        </w:rPr>
        <w:t>“ zaměstnáním (</w:t>
      </w:r>
      <w:r w:rsidR="003F3756" w:rsidRPr="00EB2612">
        <w:rPr>
          <w:lang w:eastAsia="en-US"/>
        </w:rPr>
        <w:t>12,3</w:t>
      </w:r>
      <w:r w:rsidR="00611AC9" w:rsidRPr="00EB2612">
        <w:rPr>
          <w:lang w:eastAsia="en-US"/>
        </w:rPr>
        <w:t xml:space="preserve"> tis.)</w:t>
      </w:r>
      <w:r w:rsidR="00E35EE2" w:rsidRPr="00EB2612">
        <w:rPr>
          <w:lang w:eastAsia="en-US"/>
        </w:rPr>
        <w:t>.</w:t>
      </w:r>
      <w:r w:rsidR="003F3756" w:rsidRPr="00EB2612">
        <w:rPr>
          <w:lang w:eastAsia="en-US"/>
        </w:rPr>
        <w:t xml:space="preserve"> Rozdíl mezi počtem kulturních a ne-kulturních pracovníků však není oproti </w:t>
      </w:r>
      <w:r w:rsidR="009F65E2">
        <w:rPr>
          <w:lang w:eastAsia="en-US"/>
        </w:rPr>
        <w:t xml:space="preserve">některým </w:t>
      </w:r>
      <w:r w:rsidR="003F3756" w:rsidRPr="00EB2612">
        <w:rPr>
          <w:lang w:eastAsia="en-US"/>
        </w:rPr>
        <w:t>jiným oblastem kulturních průmyslů</w:t>
      </w:r>
      <w:r w:rsidR="009F65E2">
        <w:rPr>
          <w:lang w:eastAsia="en-US"/>
        </w:rPr>
        <w:t xml:space="preserve"> (např. televizní a rozhlasové vysílání)</w:t>
      </w:r>
      <w:r w:rsidR="003F3756" w:rsidRPr="00EB2612">
        <w:rPr>
          <w:lang w:eastAsia="en-US"/>
        </w:rPr>
        <w:t>, kde převažují ve velké míře kulturní povolaní, tak výrazný.</w:t>
      </w:r>
      <w:r w:rsidR="006B2F7A" w:rsidRPr="00EB2612">
        <w:rPr>
          <w:lang w:eastAsia="en-US"/>
        </w:rPr>
        <w:t xml:space="preserve"> Pokud se zaměříme pouze na spisovatele, novináře a</w:t>
      </w:r>
      <w:r w:rsidR="005A737D" w:rsidRPr="00EB2612">
        <w:rPr>
          <w:lang w:eastAsia="en-US"/>
        </w:rPr>
        <w:t> </w:t>
      </w:r>
      <w:r w:rsidR="006B2F7A" w:rsidRPr="00EB2612">
        <w:rPr>
          <w:lang w:eastAsia="en-US"/>
        </w:rPr>
        <w:t xml:space="preserve">jazykovědce (tedy osoby spadající svým zaměstnáním do kategorie CZ-ISCO 264) zjistíme, že </w:t>
      </w:r>
      <w:r w:rsidR="008B76B8" w:rsidRPr="00EB2612">
        <w:rPr>
          <w:lang w:eastAsia="en-US"/>
        </w:rPr>
        <w:t xml:space="preserve">většina z nich pracovala v organizacích </w:t>
      </w:r>
      <w:r w:rsidR="00B93569" w:rsidRPr="00EB2612">
        <w:rPr>
          <w:lang w:eastAsia="en-US"/>
        </w:rPr>
        <w:t>„</w:t>
      </w:r>
      <w:r w:rsidR="008B76B8" w:rsidRPr="00EB2612">
        <w:rPr>
          <w:lang w:eastAsia="en-US"/>
        </w:rPr>
        <w:t>kulturního</w:t>
      </w:r>
      <w:r w:rsidR="003F3756" w:rsidRPr="00EB2612">
        <w:rPr>
          <w:lang w:eastAsia="en-US"/>
        </w:rPr>
        <w:t>“ charakteru (19,8</w:t>
      </w:r>
      <w:r w:rsidR="008B76B8" w:rsidRPr="00EB2612">
        <w:rPr>
          <w:lang w:eastAsia="en-US"/>
        </w:rPr>
        <w:t xml:space="preserve"> tis.) a to i mimo oblast </w:t>
      </w:r>
      <w:r w:rsidR="001132C6" w:rsidRPr="00EB2612">
        <w:rPr>
          <w:lang w:eastAsia="en-US"/>
        </w:rPr>
        <w:t>knih</w:t>
      </w:r>
      <w:r w:rsidR="008B76B8" w:rsidRPr="00EB2612">
        <w:rPr>
          <w:lang w:eastAsia="en-US"/>
        </w:rPr>
        <w:t xml:space="preserve"> a tisku. V organizacích </w:t>
      </w:r>
      <w:r w:rsidR="00B93569" w:rsidRPr="00EB2612">
        <w:rPr>
          <w:lang w:eastAsia="en-US"/>
        </w:rPr>
        <w:t>„</w:t>
      </w:r>
      <w:r w:rsidR="00362010">
        <w:rPr>
          <w:lang w:eastAsia="en-US"/>
        </w:rPr>
        <w:t>ne-</w:t>
      </w:r>
      <w:r w:rsidR="008B76B8" w:rsidRPr="00EB2612">
        <w:rPr>
          <w:lang w:eastAsia="en-US"/>
        </w:rPr>
        <w:t>kulturního</w:t>
      </w:r>
      <w:r w:rsidR="003F3756" w:rsidRPr="00EB2612">
        <w:rPr>
          <w:lang w:eastAsia="en-US"/>
        </w:rPr>
        <w:t>“ charakteru pak pracovalo 2,8</w:t>
      </w:r>
      <w:r w:rsidR="008B76B8" w:rsidRPr="00EB2612">
        <w:rPr>
          <w:lang w:eastAsia="en-US"/>
        </w:rPr>
        <w:t xml:space="preserve"> tis. spisovatelů, novinářů a jazykovědců.</w:t>
      </w:r>
    </w:p>
    <w:p w:rsidR="00E35EE2" w:rsidRPr="00EB2612" w:rsidRDefault="007D5538" w:rsidP="00E35EE2">
      <w:pPr>
        <w:pStyle w:val="Titulek"/>
        <w:keepNext/>
        <w:jc w:val="left"/>
        <w:rPr>
          <w:b w:val="0"/>
          <w:color w:val="auto"/>
          <w:sz w:val="22"/>
          <w:szCs w:val="22"/>
        </w:rPr>
      </w:pPr>
      <w:bookmarkStart w:id="25" w:name="_Toc464832048"/>
      <w:r w:rsidRPr="00EB2612">
        <w:rPr>
          <w:color w:val="auto"/>
          <w:sz w:val="22"/>
          <w:szCs w:val="22"/>
        </w:rPr>
        <w:lastRenderedPageBreak/>
        <w:t xml:space="preserve">Graf </w:t>
      </w:r>
      <w:r w:rsidR="008D5C9E">
        <w:rPr>
          <w:color w:val="auto"/>
          <w:sz w:val="22"/>
          <w:szCs w:val="22"/>
        </w:rPr>
        <w:t>8</w:t>
      </w:r>
      <w:r w:rsidR="00E35EE2" w:rsidRPr="00EB2612">
        <w:t xml:space="preserve"> </w:t>
      </w:r>
      <w:r w:rsidR="00E35EE2" w:rsidRPr="00EB2612">
        <w:rPr>
          <w:b w:val="0"/>
          <w:color w:val="auto"/>
          <w:sz w:val="22"/>
          <w:szCs w:val="22"/>
        </w:rPr>
        <w:t xml:space="preserve">Odhad počtu zaměstnaných osob </w:t>
      </w:r>
      <w:r w:rsidR="005A737D" w:rsidRPr="00EB2612">
        <w:rPr>
          <w:b w:val="0"/>
          <w:color w:val="auto"/>
          <w:sz w:val="22"/>
          <w:szCs w:val="22"/>
        </w:rPr>
        <w:t xml:space="preserve">(v tis.) </w:t>
      </w:r>
      <w:r w:rsidR="00E35EE2" w:rsidRPr="00EB2612">
        <w:rPr>
          <w:b w:val="0"/>
          <w:color w:val="auto"/>
          <w:sz w:val="22"/>
          <w:szCs w:val="22"/>
        </w:rPr>
        <w:t>v </w:t>
      </w:r>
      <w:r w:rsidR="00D77F03" w:rsidRPr="00EB2612">
        <w:rPr>
          <w:b w:val="0"/>
          <w:color w:val="auto"/>
          <w:sz w:val="22"/>
          <w:szCs w:val="22"/>
        </w:rPr>
        <w:t>roce 201</w:t>
      </w:r>
      <w:r w:rsidR="00803B23" w:rsidRPr="00EB2612">
        <w:rPr>
          <w:b w:val="0"/>
          <w:color w:val="auto"/>
          <w:sz w:val="22"/>
          <w:szCs w:val="22"/>
        </w:rPr>
        <w:t>9</w:t>
      </w:r>
      <w:r w:rsidR="00DC44B4" w:rsidRPr="00EB2612">
        <w:rPr>
          <w:b w:val="0"/>
          <w:color w:val="auto"/>
          <w:sz w:val="22"/>
          <w:szCs w:val="22"/>
        </w:rPr>
        <w:t xml:space="preserve"> </w:t>
      </w:r>
      <w:bookmarkEnd w:id="25"/>
    </w:p>
    <w:p w:rsidR="002C6AF9" w:rsidRPr="00EB2612" w:rsidRDefault="00781DF4" w:rsidP="002C6AF9">
      <w:pPr>
        <w:rPr>
          <w:lang w:eastAsia="en-US"/>
        </w:rPr>
      </w:pPr>
      <w:r>
        <w:rPr>
          <w:noProof/>
        </w:rPr>
        <w:pict>
          <v:shape id="Text Box 28" o:spid="_x0000_s1034" type="#_x0000_t202" style="position:absolute;left:0;text-align:left;margin-left:126.4pt;margin-top:101.35pt;width:48.65pt;height:25.95pt;z-index:251683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" stroked="f">
            <v:textbox style="mso-next-textbox:#Text Box 28">
              <w:txbxContent>
                <w:p w:rsidR="00705045" w:rsidRPr="00F632B0" w:rsidRDefault="00705045">
                  <w:pPr>
                    <w:rPr>
                      <w:rFonts w:asciiTheme="minorHAnsi" w:hAnsiTheme="minorHAnsi"/>
                    </w:rPr>
                  </w:pPr>
                  <w:r>
                    <w:rPr>
                      <w:rFonts w:asciiTheme="minorHAnsi" w:hAnsiTheme="minorHAnsi"/>
                    </w:rPr>
                    <w:t>28,7 tis.</w:t>
                  </w:r>
                </w:p>
              </w:txbxContent>
            </v:textbox>
          </v:shape>
        </w:pict>
      </w:r>
      <w:r w:rsidRPr="00781DF4">
        <w:rPr>
          <w:b/>
          <w:noProof/>
          <w:sz w:val="22"/>
          <w:szCs w:val="22"/>
        </w:rPr>
        <w:pict>
          <v:shape id="Text Box 30" o:spid="_x0000_s1033" type="#_x0000_t202" style="position:absolute;left:0;text-align:left;margin-left:345.95pt;margin-top:101.35pt;width:50.35pt;height:21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" strokecolor="white [3212]">
            <v:textbox style="mso-next-textbox:#Text Box 30">
              <w:txbxContent>
                <w:p w:rsidR="00705045" w:rsidRPr="00F632B0" w:rsidRDefault="00705045">
                  <w:pPr>
                    <w:rPr>
                      <w:rFonts w:asciiTheme="minorHAnsi" w:hAnsiTheme="minorHAnsi"/>
                    </w:rPr>
                  </w:pPr>
                  <w:r>
                    <w:rPr>
                      <w:rFonts w:asciiTheme="minorHAnsi" w:hAnsiTheme="minorHAnsi"/>
                    </w:rPr>
                    <w:t>21,1 tis.</w:t>
                  </w:r>
                </w:p>
              </w:txbxContent>
            </v:textbox>
          </v:shape>
        </w:pict>
      </w:r>
      <w:r w:rsidR="000A72DF" w:rsidRPr="00EB2612">
        <w:rPr>
          <w:noProof/>
        </w:rPr>
        <w:drawing>
          <wp:inline distT="0" distB="0" distL="0" distR="0">
            <wp:extent cx="3429000" cy="2209800"/>
            <wp:effectExtent l="0" t="0" r="0" b="0"/>
            <wp:docPr id="12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803B23" w:rsidRPr="00EB2612">
        <w:rPr>
          <w:noProof/>
        </w:rPr>
        <w:drawing>
          <wp:inline distT="0" distB="0" distL="0" distR="0">
            <wp:extent cx="2571750" cy="2209800"/>
            <wp:effectExtent l="0" t="0" r="0" b="0"/>
            <wp:docPr id="12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E330D" w:rsidRPr="00EB2612" w:rsidRDefault="00E4586D" w:rsidP="004F4DFA">
      <w:pPr>
        <w:pStyle w:val="Titulek"/>
        <w:spacing w:before="120"/>
        <w:jc w:val="left"/>
        <w:rPr>
          <w:b w:val="0"/>
          <w:color w:val="auto"/>
          <w:sz w:val="22"/>
          <w:szCs w:val="22"/>
        </w:rPr>
      </w:pPr>
      <w:r w:rsidRPr="00EB2612">
        <w:rPr>
          <w:noProof/>
        </w:rPr>
        <w:t xml:space="preserve"> </w:t>
      </w:r>
      <w:r w:rsidR="007C4B02" w:rsidRPr="00EB2612">
        <w:rPr>
          <w:b w:val="0"/>
          <w:color w:val="auto"/>
          <w:sz w:val="22"/>
          <w:szCs w:val="22"/>
        </w:rPr>
        <w:t>Zdroj: Výběrové šetření pracovních sil, ČSÚ</w:t>
      </w:r>
    </w:p>
    <w:p w:rsidR="007C4B02" w:rsidRPr="00EB2612" w:rsidRDefault="006B2F7A" w:rsidP="009F4056">
      <w:r w:rsidRPr="00EB2612">
        <w:t xml:space="preserve">Posledním doplňujícím </w:t>
      </w:r>
      <w:r w:rsidR="007C4B02" w:rsidRPr="00EB2612">
        <w:t>údajem</w:t>
      </w:r>
      <w:r w:rsidRPr="00EB2612">
        <w:t>, který lze zmínit</w:t>
      </w:r>
      <w:r w:rsidR="007C4B02" w:rsidRPr="00EB2612">
        <w:t xml:space="preserve"> v rámci statistiky zaměstnanosti v oblasti knih a tisku</w:t>
      </w:r>
      <w:r w:rsidRPr="00EB2612">
        <w:t>, je údaj o průměrné</w:t>
      </w:r>
      <w:r w:rsidR="000A0FF8" w:rsidRPr="00EB2612">
        <w:t xml:space="preserve"> mzdě (platu), </w:t>
      </w:r>
      <w:r w:rsidRPr="00EB2612">
        <w:t>pocházející z</w:t>
      </w:r>
      <w:r w:rsidR="007C4B02" w:rsidRPr="00EB2612">
        <w:t> Informačního systému o průměrném výdělku</w:t>
      </w:r>
      <w:r w:rsidR="000A0FF8" w:rsidRPr="00EB2612">
        <w:t xml:space="preserve"> (ISPV)</w:t>
      </w:r>
      <w:r w:rsidRPr="00EB2612">
        <w:t>.</w:t>
      </w:r>
      <w:r w:rsidR="004B288C" w:rsidRPr="00EB2612">
        <w:t xml:space="preserve"> </w:t>
      </w:r>
      <w:r w:rsidR="007C4B02" w:rsidRPr="00EB2612">
        <w:t xml:space="preserve">Tento </w:t>
      </w:r>
      <w:r w:rsidR="00676E88" w:rsidRPr="00EB2612">
        <w:t>údaj</w:t>
      </w:r>
      <w:r w:rsidR="007C4B02" w:rsidRPr="00EB2612">
        <w:t xml:space="preserve"> však zahrnuje pouze zaměstnance ve mzdové a platové sféře, nikoliv podnikatele a pracovn</w:t>
      </w:r>
      <w:r w:rsidR="000A0FF8" w:rsidRPr="00EB2612">
        <w:t>íky na dohodu. Do</w:t>
      </w:r>
      <w:r w:rsidR="00313494" w:rsidRPr="00EB2612">
        <w:t> </w:t>
      </w:r>
      <w:r w:rsidR="004B288C" w:rsidRPr="00EB2612">
        <w:t xml:space="preserve">takto vymezené </w:t>
      </w:r>
      <w:r w:rsidR="000A0FF8" w:rsidRPr="00EB2612">
        <w:t>kategorie spisovatelů, novinářů a jazykovědců</w:t>
      </w:r>
      <w:r w:rsidR="00A61DF0" w:rsidRPr="00EB2612">
        <w:t xml:space="preserve"> </w:t>
      </w:r>
      <w:r w:rsidR="000A0FF8" w:rsidRPr="00EB2612">
        <w:t>spadalo v </w:t>
      </w:r>
      <w:r w:rsidR="003F3756" w:rsidRPr="00EB2612">
        <w:t>roce 2019</w:t>
      </w:r>
      <w:r w:rsidR="00B02802" w:rsidRPr="00EB2612">
        <w:t xml:space="preserve"> podle ISPV 6</w:t>
      </w:r>
      <w:r w:rsidR="009C246D" w:rsidRPr="00EB2612">
        <w:t>,3</w:t>
      </w:r>
      <w:r w:rsidR="00B02802" w:rsidRPr="00EB2612">
        <w:t> </w:t>
      </w:r>
      <w:r w:rsidR="000A0FF8" w:rsidRPr="00EB2612">
        <w:t>tis. zaměstnanců a jejich průměrná hrubá mzda (plat</w:t>
      </w:r>
      <w:r w:rsidR="009C246D" w:rsidRPr="00EB2612">
        <w:t>) dosahovala výše 38</w:t>
      </w:r>
      <w:r w:rsidR="007B0B56" w:rsidRPr="00EB2612">
        <w:t>,</w:t>
      </w:r>
      <w:r w:rsidR="009C246D" w:rsidRPr="00EB2612">
        <w:t>9</w:t>
      </w:r>
      <w:r w:rsidR="00A61DF0" w:rsidRPr="00EB2612">
        <w:t xml:space="preserve"> tis. Kč.</w:t>
      </w:r>
      <w:r w:rsidR="004B288C" w:rsidRPr="00EB2612">
        <w:t xml:space="preserve"> Do počtů jsou zahrnuti pouze zaměstnanci ve mzdové a platové sféře, jejichž týdenní pracov</w:t>
      </w:r>
      <w:r w:rsidR="00B02802" w:rsidRPr="00EB2612">
        <w:t>ní doba tvořila min. 30 hodin a u </w:t>
      </w:r>
      <w:r w:rsidR="004B288C" w:rsidRPr="00EB2612">
        <w:t>zaměstnavatele pracovali min. jeden měsíc.</w:t>
      </w:r>
    </w:p>
    <w:p w:rsidR="00BB64DB" w:rsidRPr="00EB2612" w:rsidRDefault="00700384" w:rsidP="009F4056">
      <w:r w:rsidRPr="00EB2612">
        <w:tab/>
      </w:r>
      <w:r w:rsidR="00BB64DB" w:rsidRPr="00EB2612">
        <w:t xml:space="preserve">Také trh s knihami a periodickým tiskem v posledních letech formuje digitalizace a rozvoj internetu. Zatímco čtení zpráv a článků přes internet je v české populaci </w:t>
      </w:r>
      <w:r w:rsidR="00B508F7" w:rsidRPr="00EB2612">
        <w:t xml:space="preserve">značně rozšířené </w:t>
      </w:r>
      <w:r w:rsidR="00BB64DB" w:rsidRPr="00EB2612">
        <w:t xml:space="preserve">a zvýšená obliba četby zpravodajských serverů může do budoucna znamenat určitou hrozbu pro budoucnost </w:t>
      </w:r>
      <w:r w:rsidR="00B508F7" w:rsidRPr="00EB2612">
        <w:t>tisku</w:t>
      </w:r>
      <w:r w:rsidR="0067675D" w:rsidRPr="00EB2612">
        <w:t>, digitální audioknihy a</w:t>
      </w:r>
      <w:r w:rsidR="00BB64DB" w:rsidRPr="00EB2612">
        <w:t xml:space="preserve"> </w:t>
      </w:r>
      <w:r w:rsidR="0067675D" w:rsidRPr="00EB2612">
        <w:t>e</w:t>
      </w:r>
      <w:r w:rsidR="00BB64DB" w:rsidRPr="00EB2612">
        <w:t>-</w:t>
      </w:r>
      <w:r w:rsidR="0096015F" w:rsidRPr="00EB2612">
        <w:t>knihy</w:t>
      </w:r>
      <w:r w:rsidR="00B6348E" w:rsidRPr="00EB2612">
        <w:t>, soudě dle současného postavení na trhu,</w:t>
      </w:r>
      <w:r w:rsidR="00BB64DB" w:rsidRPr="00EB2612">
        <w:t xml:space="preserve"> nejsou zatím příliš velkým konkurentem tištěným knihám</w:t>
      </w:r>
      <w:r w:rsidR="0067675D" w:rsidRPr="00EB2612">
        <w:t xml:space="preserve"> (SČKN, 2019</w:t>
      </w:r>
      <w:r w:rsidR="00B6348E" w:rsidRPr="00EB2612">
        <w:t>)</w:t>
      </w:r>
      <w:r w:rsidR="00BB64DB" w:rsidRPr="00EB2612">
        <w:t xml:space="preserve">. </w:t>
      </w:r>
      <w:r w:rsidR="00DB4CA7" w:rsidRPr="00EB2612">
        <w:t>Jejich podíl na celkových prodejích však</w:t>
      </w:r>
      <w:r w:rsidR="00B93569" w:rsidRPr="00EB2612">
        <w:t xml:space="preserve"> každoročně stoupá a v roce 201</w:t>
      </w:r>
      <w:r w:rsidR="007459B4" w:rsidRPr="00EB2612">
        <w:t>8</w:t>
      </w:r>
      <w:r w:rsidR="0067675D" w:rsidRPr="00EB2612">
        <w:t xml:space="preserve"> dosáhl přibližně 2,6</w:t>
      </w:r>
      <w:r w:rsidR="00DB4CA7" w:rsidRPr="00EB2612">
        <w:t xml:space="preserve"> % podílu na celkovém obratu českého knižního trhu. </w:t>
      </w:r>
      <w:r w:rsidR="00BB64DB" w:rsidRPr="00EB2612">
        <w:t xml:space="preserve">V souvislosti s knihami je pak internet využíván spíše k objednání </w:t>
      </w:r>
      <w:r w:rsidR="00A96EFF" w:rsidRPr="00EB2612">
        <w:t xml:space="preserve">fyzických </w:t>
      </w:r>
      <w:r w:rsidR="00BB64DB" w:rsidRPr="00EB2612">
        <w:t xml:space="preserve">knižních titulů prostřednictvím </w:t>
      </w:r>
      <w:r w:rsidR="00204DB6" w:rsidRPr="00EB2612">
        <w:t>e-shopu</w:t>
      </w:r>
      <w:r w:rsidR="00BB64DB" w:rsidRPr="00EB2612">
        <w:t>. V porovnání s dalšími oblastmi audiovizuálního</w:t>
      </w:r>
      <w:r w:rsidR="00282CCA" w:rsidRPr="00EB2612">
        <w:t> </w:t>
      </w:r>
      <w:r w:rsidR="00BB64DB" w:rsidRPr="00EB2612">
        <w:t>a</w:t>
      </w:r>
      <w:r w:rsidR="00282CCA" w:rsidRPr="00EB2612">
        <w:t> </w:t>
      </w:r>
      <w:r w:rsidR="00BB64DB" w:rsidRPr="00EB2612">
        <w:t xml:space="preserve">mediálního sektoru je využití internetu pro nákup </w:t>
      </w:r>
      <w:r w:rsidR="00BA414E" w:rsidRPr="00EB2612">
        <w:t>knih a tisku</w:t>
      </w:r>
      <w:r w:rsidR="00BB64DB" w:rsidRPr="00EB2612">
        <w:t xml:space="preserve"> v české populaci poměrně rozšířené. Jak je patrné z Grafu </w:t>
      </w:r>
      <w:r w:rsidR="008D5C9E">
        <w:t>9</w:t>
      </w:r>
      <w:r w:rsidR="00BB64DB" w:rsidRPr="00EB2612">
        <w:t xml:space="preserve">, </w:t>
      </w:r>
      <w:r w:rsidR="007459B4" w:rsidRPr="00EB2612">
        <w:t>přibližně čtvrtina z nakupujících přes internet si v roce 2019</w:t>
      </w:r>
      <w:r w:rsidR="009F65E2">
        <w:t xml:space="preserve"> zakoupila</w:t>
      </w:r>
      <w:r w:rsidR="00BB64DB" w:rsidRPr="00EB2612">
        <w:t xml:space="preserve"> knihy, časopis či noviny</w:t>
      </w:r>
      <w:r w:rsidR="007459B4" w:rsidRPr="00EB2612">
        <w:t xml:space="preserve"> online</w:t>
      </w:r>
      <w:r w:rsidR="00BB64DB" w:rsidRPr="00EB2612">
        <w:t>.</w:t>
      </w:r>
      <w:r w:rsidR="007459B4" w:rsidRPr="00EB2612">
        <w:t xml:space="preserve"> Z celkového počtu osob starších 16 let si knihu či časopis přes internet zakoupil</w:t>
      </w:r>
      <w:r w:rsidR="009F65E2">
        <w:t xml:space="preserve"> přibližně</w:t>
      </w:r>
      <w:r w:rsidR="007459B4" w:rsidRPr="00EB2612">
        <w:t xml:space="preserve"> každý </w:t>
      </w:r>
      <w:r w:rsidR="009F65E2">
        <w:t>sedmý</w:t>
      </w:r>
      <w:r w:rsidR="007459B4" w:rsidRPr="00EB2612">
        <w:t>.</w:t>
      </w:r>
    </w:p>
    <w:p w:rsidR="00BB64DB" w:rsidRPr="00EB2612" w:rsidRDefault="00BB64DB" w:rsidP="00BB64DB">
      <w:pPr>
        <w:pStyle w:val="Titulek"/>
        <w:keepNext/>
        <w:rPr>
          <w:b w:val="0"/>
          <w:color w:val="000000" w:themeColor="text1"/>
          <w:sz w:val="22"/>
          <w:szCs w:val="22"/>
        </w:rPr>
      </w:pPr>
      <w:r w:rsidRPr="00EB2612">
        <w:rPr>
          <w:color w:val="000000" w:themeColor="text1"/>
          <w:sz w:val="22"/>
          <w:szCs w:val="22"/>
        </w:rPr>
        <w:t xml:space="preserve">Graf </w:t>
      </w:r>
      <w:r w:rsidR="008D5C9E">
        <w:rPr>
          <w:color w:val="000000" w:themeColor="text1"/>
          <w:sz w:val="22"/>
          <w:szCs w:val="22"/>
        </w:rPr>
        <w:t>9</w:t>
      </w:r>
      <w:r w:rsidRPr="00EB2612">
        <w:rPr>
          <w:color w:val="000000" w:themeColor="text1"/>
          <w:sz w:val="22"/>
          <w:szCs w:val="22"/>
        </w:rPr>
        <w:t xml:space="preserve"> </w:t>
      </w:r>
      <w:r w:rsidR="00932900" w:rsidRPr="00EB2612">
        <w:rPr>
          <w:b w:val="0"/>
          <w:color w:val="000000" w:themeColor="text1"/>
          <w:sz w:val="22"/>
          <w:szCs w:val="22"/>
        </w:rPr>
        <w:t>Využití internetu k nákupu zboží kulturního charakteru</w:t>
      </w:r>
      <w:r w:rsidR="007459B4" w:rsidRPr="00EB2612">
        <w:rPr>
          <w:b w:val="0"/>
          <w:color w:val="000000" w:themeColor="text1"/>
          <w:sz w:val="22"/>
          <w:szCs w:val="22"/>
        </w:rPr>
        <w:t xml:space="preserve"> v roce 2019</w:t>
      </w:r>
    </w:p>
    <w:p w:rsidR="00BB64DB" w:rsidRPr="00EB2612" w:rsidRDefault="007459B4" w:rsidP="007D5538">
      <w:pPr>
        <w:keepNext/>
        <w:jc w:val="center"/>
      </w:pPr>
      <w:r w:rsidRPr="00EB2612">
        <w:rPr>
          <w:noProof/>
        </w:rPr>
        <w:drawing>
          <wp:inline distT="0" distB="0" distL="0" distR="0">
            <wp:extent cx="4286250" cy="1343025"/>
            <wp:effectExtent l="0" t="0" r="0" b="0"/>
            <wp:docPr id="138"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64DB" w:rsidRPr="00FA57C0" w:rsidRDefault="00BB64DB" w:rsidP="00BB64DB">
      <w:pPr>
        <w:pStyle w:val="Titulek"/>
        <w:rPr>
          <w:b w:val="0"/>
          <w:color w:val="auto"/>
          <w:sz w:val="22"/>
          <w:szCs w:val="22"/>
        </w:rPr>
      </w:pPr>
      <w:r w:rsidRPr="00EB2612">
        <w:rPr>
          <w:b w:val="0"/>
          <w:color w:val="000000" w:themeColor="text1"/>
          <w:sz w:val="22"/>
          <w:szCs w:val="22"/>
        </w:rPr>
        <w:t xml:space="preserve">Zdroj: </w:t>
      </w:r>
      <w:r w:rsidR="00FA57C0" w:rsidRPr="00EB2612">
        <w:rPr>
          <w:b w:val="0"/>
          <w:color w:val="auto"/>
          <w:sz w:val="22"/>
          <w:szCs w:val="22"/>
        </w:rPr>
        <w:t>Výběrové šetření o informačních a komunikačních technologiích, ČSÚ</w:t>
      </w:r>
    </w:p>
    <w:p w:rsidR="00BB64DB" w:rsidRPr="00EB2612" w:rsidRDefault="00BB64DB" w:rsidP="00694914">
      <w:pPr>
        <w:pStyle w:val="Nadpis2"/>
        <w:numPr>
          <w:ilvl w:val="1"/>
          <w:numId w:val="17"/>
        </w:numPr>
      </w:pPr>
      <w:bookmarkStart w:id="26" w:name="_Toc430189794"/>
      <w:bookmarkStart w:id="27" w:name="_Toc463969177"/>
      <w:bookmarkStart w:id="28" w:name="_Toc465253887"/>
      <w:bookmarkStart w:id="29" w:name="_Toc55384425"/>
      <w:r w:rsidRPr="00EB2612">
        <w:lastRenderedPageBreak/>
        <w:t>KNIHY (NEPERIODICKÉ PUBLIKACE)</w:t>
      </w:r>
      <w:bookmarkEnd w:id="26"/>
      <w:bookmarkEnd w:id="27"/>
      <w:bookmarkEnd w:id="28"/>
      <w:bookmarkEnd w:id="29"/>
    </w:p>
    <w:p w:rsidR="00BB64DB" w:rsidRPr="00EB2612" w:rsidRDefault="00BB64DB" w:rsidP="00641938">
      <w:r w:rsidRPr="00EB2612">
        <w:t>V případě analýzy samostatných trhů neperiodických a periodických publikací je otázkou, jak</w:t>
      </w:r>
      <w:r w:rsidR="008B64EB" w:rsidRPr="00EB2612">
        <w:t> </w:t>
      </w:r>
      <w:r w:rsidRPr="00EB2612">
        <w:t>pracovat</w:t>
      </w:r>
      <w:r w:rsidR="00282CCA" w:rsidRPr="00EB2612">
        <w:t> </w:t>
      </w:r>
      <w:r w:rsidRPr="00EB2612">
        <w:t>s</w:t>
      </w:r>
      <w:r w:rsidR="00282CCA" w:rsidRPr="00EB2612">
        <w:t> </w:t>
      </w:r>
      <w:r w:rsidRPr="00EB2612">
        <w:t>činností překladatelů a tlumočníků</w:t>
      </w:r>
      <w:r w:rsidR="0096015F" w:rsidRPr="00EB2612">
        <w:t>,</w:t>
      </w:r>
      <w:r w:rsidRPr="00EB2612">
        <w:t xml:space="preserve"> stejně jako s činností tiskových agentur. Tyto činnosti nelze přiřadit pouze do jedné či druhé oblasti a hledat poměr</w:t>
      </w:r>
      <w:r w:rsidR="00673A17" w:rsidRPr="00EB2612">
        <w:t>,</w:t>
      </w:r>
      <w:r w:rsidRPr="00EB2612">
        <w:t xml:space="preserve"> kterým se např. překladatelé podílí na překladu knih a na překladu periodik</w:t>
      </w:r>
      <w:r w:rsidR="00673A17" w:rsidRPr="00EB2612">
        <w:t>,</w:t>
      </w:r>
      <w:r w:rsidRPr="00EB2612">
        <w:t xml:space="preserve"> by bylo velmi o</w:t>
      </w:r>
      <w:r w:rsidR="00BA414E" w:rsidRPr="00EB2612">
        <w:t xml:space="preserve">btížné. Činnosti překladatelů, </w:t>
      </w:r>
      <w:r w:rsidRPr="00EB2612">
        <w:t>tlumočníků a tiskových agentur lze analyzovat pouze v</w:t>
      </w:r>
      <w:r w:rsidR="002C3743" w:rsidRPr="00EB2612">
        <w:t> rámci celkové oblasti k</w:t>
      </w:r>
      <w:r w:rsidR="005F71A6" w:rsidRPr="00EB2612">
        <w:t>nih</w:t>
      </w:r>
      <w:r w:rsidRPr="00EB2612">
        <w:t xml:space="preserve"> a tisk</w:t>
      </w:r>
      <w:r w:rsidR="005F71A6" w:rsidRPr="00EB2612">
        <w:t>u</w:t>
      </w:r>
      <w:r w:rsidRPr="00EB2612">
        <w:t xml:space="preserve"> a proto budou z analýzy jednotlivých trhů (trhu</w:t>
      </w:r>
      <w:r w:rsidR="008B64EB" w:rsidRPr="00EB2612">
        <w:t> </w:t>
      </w:r>
      <w:r w:rsidRPr="00EB2612">
        <w:t>s neperiodickými a trhu s period</w:t>
      </w:r>
      <w:r w:rsidR="00F100E0" w:rsidRPr="00EB2612">
        <w:t xml:space="preserve">ickými publikacemi) vypuštěny. </w:t>
      </w:r>
      <w:r w:rsidR="00C95D31">
        <w:t>Následující analýza tak bude</w:t>
      </w:r>
      <w:r w:rsidRPr="00EB2612">
        <w:t xml:space="preserve"> zahrnovat pouze činnosti vydavatelů a maloobchodu.</w:t>
      </w:r>
    </w:p>
    <w:p w:rsidR="00D1153B" w:rsidRPr="00EB2612" w:rsidRDefault="00A86E79" w:rsidP="00641938">
      <w:r w:rsidRPr="00EB2612">
        <w:tab/>
      </w:r>
      <w:r w:rsidR="00D1153B" w:rsidRPr="00EB2612">
        <w:t xml:space="preserve">Údaje o struktuře vydaných publikací je možné analyzovat s velkou přesností. Počet vydaných knižních titulů je v rámci poměrně malého českého trhu vysoký a dlouhodobě se pohybuje mezi 15–19 tisíci vydanými tituly za rok, jak je patrné z Grafu </w:t>
      </w:r>
      <w:r w:rsidR="00FF526E">
        <w:t>10</w:t>
      </w:r>
      <w:r w:rsidR="00D1153B" w:rsidRPr="00EB2612">
        <w:t xml:space="preserve">. V posledních </w:t>
      </w:r>
      <w:r w:rsidR="00324A6A" w:rsidRPr="00EB2612">
        <w:t xml:space="preserve">třech letech </w:t>
      </w:r>
      <w:r w:rsidR="00D1153B" w:rsidRPr="00EB2612">
        <w:t>vydaných titulů</w:t>
      </w:r>
      <w:r w:rsidR="00324A6A" w:rsidRPr="00EB2612">
        <w:t xml:space="preserve"> mírně </w:t>
      </w:r>
      <w:proofErr w:type="gramStart"/>
      <w:r w:rsidR="00324A6A" w:rsidRPr="00EB2612">
        <w:t xml:space="preserve">přibylo </w:t>
      </w:r>
      <w:r w:rsidR="00D1153B" w:rsidRPr="00EB2612">
        <w:t xml:space="preserve"> </w:t>
      </w:r>
      <w:r w:rsidR="00324A6A" w:rsidRPr="00EB2612">
        <w:t>a</w:t>
      </w:r>
      <w:r w:rsidR="00362010">
        <w:t> </w:t>
      </w:r>
      <w:r w:rsidR="00324A6A" w:rsidRPr="00EB2612">
        <w:t>v roce</w:t>
      </w:r>
      <w:proofErr w:type="gramEnd"/>
      <w:r w:rsidR="00324A6A" w:rsidRPr="00EB2612">
        <w:t xml:space="preserve"> 2019 bylo vydáno přibližně 17,3</w:t>
      </w:r>
      <w:r w:rsidR="00D1153B" w:rsidRPr="00EB2612">
        <w:t xml:space="preserve"> tis. titulů. Rozšiřující údaje lze získat </w:t>
      </w:r>
      <w:r w:rsidR="00362010">
        <w:t>z dat ze statistických výkazů o </w:t>
      </w:r>
      <w:r w:rsidR="00D1153B" w:rsidRPr="00EB2612">
        <w:t>vydavateli, které každoročně přímo od vydavatelů sbírá NIPOS.</w:t>
      </w:r>
    </w:p>
    <w:p w:rsidR="00A86E79" w:rsidRPr="00EB2612" w:rsidRDefault="008D5C9E" w:rsidP="00A86E79">
      <w:pPr>
        <w:pStyle w:val="Titulek"/>
        <w:keepNext/>
        <w:rPr>
          <w:color w:val="000000" w:themeColor="text1"/>
          <w:sz w:val="22"/>
          <w:szCs w:val="22"/>
        </w:rPr>
      </w:pPr>
      <w:r>
        <w:rPr>
          <w:color w:val="000000" w:themeColor="text1"/>
          <w:sz w:val="22"/>
          <w:szCs w:val="22"/>
        </w:rPr>
        <w:t>Graf 10</w:t>
      </w:r>
      <w:r w:rsidR="00A86E79" w:rsidRPr="00EB2612">
        <w:rPr>
          <w:color w:val="000000" w:themeColor="text1"/>
          <w:sz w:val="22"/>
          <w:szCs w:val="22"/>
        </w:rPr>
        <w:t xml:space="preserve"> </w:t>
      </w:r>
      <w:r w:rsidR="00A86E79" w:rsidRPr="00EB2612">
        <w:rPr>
          <w:b w:val="0"/>
          <w:color w:val="000000" w:themeColor="text1"/>
          <w:sz w:val="22"/>
          <w:szCs w:val="22"/>
        </w:rPr>
        <w:t>Počet vydaných tištěných knižních titulů v České republice (v tis.)</w:t>
      </w:r>
    </w:p>
    <w:p w:rsidR="00D1153B" w:rsidRPr="00EB2612" w:rsidRDefault="00324A6A" w:rsidP="00641938">
      <w:r w:rsidRPr="00EB2612">
        <w:rPr>
          <w:noProof/>
        </w:rPr>
        <w:drawing>
          <wp:inline distT="0" distB="0" distL="0" distR="0">
            <wp:extent cx="6181725" cy="2152650"/>
            <wp:effectExtent l="0" t="0" r="0" b="0"/>
            <wp:docPr id="13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6E79" w:rsidRPr="00EB2612" w:rsidRDefault="00A86E79" w:rsidP="00A86E79">
      <w:pPr>
        <w:pStyle w:val="Titulek"/>
        <w:rPr>
          <w:b w:val="0"/>
          <w:color w:val="000000" w:themeColor="text1"/>
          <w:sz w:val="22"/>
          <w:szCs w:val="22"/>
        </w:rPr>
      </w:pPr>
      <w:r w:rsidRPr="00EB2612">
        <w:rPr>
          <w:b w:val="0"/>
          <w:color w:val="000000" w:themeColor="text1"/>
          <w:sz w:val="22"/>
          <w:szCs w:val="22"/>
        </w:rPr>
        <w:t>Zdroj: NIPOS</w:t>
      </w:r>
    </w:p>
    <w:p w:rsidR="00BB64DB" w:rsidRPr="00EB2612" w:rsidRDefault="00B414F8" w:rsidP="00694914">
      <w:pPr>
        <w:pStyle w:val="Nadpis3"/>
        <w:numPr>
          <w:ilvl w:val="2"/>
          <w:numId w:val="17"/>
        </w:numPr>
      </w:pPr>
      <w:bookmarkStart w:id="30" w:name="_Toc430189795"/>
      <w:bookmarkStart w:id="31" w:name="_Toc431475023"/>
      <w:bookmarkStart w:id="32" w:name="_Toc463969178"/>
      <w:bookmarkStart w:id="33" w:name="_Toc465253888"/>
      <w:bookmarkStart w:id="34" w:name="_Toc55384426"/>
      <w:r w:rsidRPr="00EB2612">
        <w:t>PŘÍJMY</w:t>
      </w:r>
      <w:r w:rsidR="00BB64DB" w:rsidRPr="00EB2612">
        <w:t xml:space="preserve"> A ZAMĚSTNANOST</w:t>
      </w:r>
      <w:bookmarkEnd w:id="30"/>
      <w:bookmarkEnd w:id="31"/>
      <w:bookmarkEnd w:id="32"/>
      <w:bookmarkEnd w:id="33"/>
      <w:bookmarkEnd w:id="34"/>
    </w:p>
    <w:p w:rsidR="00A86E79" w:rsidRDefault="00BB64DB" w:rsidP="00C95D31">
      <w:r w:rsidRPr="00EB2612">
        <w:t>Jak ukazuje Gra</w:t>
      </w:r>
      <w:r w:rsidR="005F71A6" w:rsidRPr="00EB2612">
        <w:t xml:space="preserve">f </w:t>
      </w:r>
      <w:r w:rsidR="00A05EEE">
        <w:t>11</w:t>
      </w:r>
      <w:r w:rsidRPr="00EB2612">
        <w:t>, vývoj příjmů z maloobchodních a vydavatelských činností koresponduje s tr</w:t>
      </w:r>
      <w:r w:rsidR="001D41F6" w:rsidRPr="00EB2612">
        <w:t>endem platným pro celou oblast k</w:t>
      </w:r>
      <w:r w:rsidRPr="00EB2612">
        <w:t xml:space="preserve">nih a tisku </w:t>
      </w:r>
      <w:r w:rsidR="006A3DF0" w:rsidRPr="00EB2612">
        <w:t>–</w:t>
      </w:r>
      <w:r w:rsidR="006D4797" w:rsidRPr="00EB2612">
        <w:t xml:space="preserve"> poklesem</w:t>
      </w:r>
      <w:r w:rsidRPr="00EB2612">
        <w:t xml:space="preserve"> tržeb </w:t>
      </w:r>
      <w:r w:rsidR="005F71A6" w:rsidRPr="00EB2612">
        <w:t>mezi lety 2007 a 2013</w:t>
      </w:r>
      <w:r w:rsidR="0024640B" w:rsidRPr="00EB2612">
        <w:t xml:space="preserve"> a </w:t>
      </w:r>
      <w:r w:rsidR="00BF03B4" w:rsidRPr="00EB2612">
        <w:t xml:space="preserve">následným </w:t>
      </w:r>
      <w:r w:rsidR="00477AEF" w:rsidRPr="00EB2612">
        <w:t xml:space="preserve">ustálením </w:t>
      </w:r>
      <w:r w:rsidR="003F593B" w:rsidRPr="00EB2612">
        <w:t>mezi lety</w:t>
      </w:r>
      <w:r w:rsidR="00477AEF" w:rsidRPr="00EB2612">
        <w:t xml:space="preserve"> 2014 a 2018</w:t>
      </w:r>
      <w:r w:rsidR="005F71A6" w:rsidRPr="00EB2612">
        <w:t>.</w:t>
      </w:r>
      <w:r w:rsidRPr="00EB2612">
        <w:t xml:space="preserve"> Podle </w:t>
      </w:r>
      <w:r w:rsidR="00673A17" w:rsidRPr="00EB2612">
        <w:t xml:space="preserve">výsledků </w:t>
      </w:r>
      <w:r w:rsidR="001D41F6" w:rsidRPr="00EB2612">
        <w:t>Podnikové strukturální statistiky</w:t>
      </w:r>
      <w:r w:rsidRPr="00EB2612">
        <w:t xml:space="preserve"> pak v roce </w:t>
      </w:r>
      <w:r w:rsidR="00477AEF" w:rsidRPr="00EB2612">
        <w:t>2018</w:t>
      </w:r>
      <w:r w:rsidRPr="00EB2612">
        <w:t xml:space="preserve"> zaznamenali vydavatelé</w:t>
      </w:r>
      <w:r w:rsidR="00B02802" w:rsidRPr="00EB2612">
        <w:t xml:space="preserve"> a </w:t>
      </w:r>
      <w:r w:rsidRPr="00EB2612">
        <w:t>maloo</w:t>
      </w:r>
      <w:r w:rsidR="0024640B" w:rsidRPr="00EB2612">
        <w:t xml:space="preserve">bchodníci s knihami tržby </w:t>
      </w:r>
      <w:r w:rsidR="00477AEF" w:rsidRPr="00EB2612">
        <w:t>10,9</w:t>
      </w:r>
      <w:r w:rsidRPr="00EB2612">
        <w:t xml:space="preserve"> mld. Kč a na samotný maloo</w:t>
      </w:r>
      <w:r w:rsidR="00BF03B4" w:rsidRPr="00EB2612">
        <w:t xml:space="preserve">bchod připadly příjmy ve výši </w:t>
      </w:r>
      <w:r w:rsidR="00477AEF" w:rsidRPr="00EB2612">
        <w:t>4,3</w:t>
      </w:r>
      <w:r w:rsidRPr="00EB2612">
        <w:t xml:space="preserve"> mld</w:t>
      </w:r>
      <w:r w:rsidR="00A20AC3" w:rsidRPr="00EB2612">
        <w:t>. Kč.</w:t>
      </w:r>
      <w:r w:rsidR="00493CD1" w:rsidRPr="00EB2612">
        <w:t xml:space="preserve"> Nutno podotknout, že se jedná </w:t>
      </w:r>
      <w:r w:rsidR="00B6348E" w:rsidRPr="00EB2612">
        <w:t xml:space="preserve">pouze </w:t>
      </w:r>
      <w:r w:rsidR="00493CD1" w:rsidRPr="00EB2612">
        <w:t xml:space="preserve">o </w:t>
      </w:r>
      <w:r w:rsidR="00C95D31">
        <w:t>příjmy</w:t>
      </w:r>
      <w:r w:rsidR="00493CD1" w:rsidRPr="00EB2612">
        <w:t xml:space="preserve"> podniků s převažující čin</w:t>
      </w:r>
      <w:r w:rsidR="00B02802" w:rsidRPr="00EB2612">
        <w:t xml:space="preserve">ností v oblasti </w:t>
      </w:r>
      <w:r w:rsidR="00B04E18">
        <w:t xml:space="preserve">knižního </w:t>
      </w:r>
      <w:r w:rsidR="00B02802" w:rsidRPr="00EB2612">
        <w:t>vydavatelství a </w:t>
      </w:r>
      <w:r w:rsidR="00493CD1" w:rsidRPr="00EB2612">
        <w:t>maloobchodu a že část knih může být distribuována a prodávána subjekty, které do těchto kategorií nespadají.</w:t>
      </w:r>
    </w:p>
    <w:p w:rsidR="00C95D31" w:rsidRDefault="00C95D31">
      <w:pPr>
        <w:spacing w:after="0" w:line="240" w:lineRule="auto"/>
        <w:jc w:val="left"/>
      </w:pPr>
      <w:r>
        <w:br w:type="page"/>
      </w:r>
    </w:p>
    <w:p w:rsidR="00BB64DB" w:rsidRPr="00EB2612" w:rsidRDefault="00BB64DB" w:rsidP="002C3743">
      <w:pPr>
        <w:rPr>
          <w:rFonts w:asciiTheme="minorHAnsi" w:hAnsiTheme="minorHAnsi"/>
          <w:color w:val="000000" w:themeColor="text1"/>
          <w:sz w:val="22"/>
          <w:szCs w:val="22"/>
        </w:rPr>
      </w:pPr>
      <w:r w:rsidRPr="00EB2612">
        <w:rPr>
          <w:rFonts w:asciiTheme="minorHAnsi" w:hAnsiTheme="minorHAnsi"/>
          <w:b/>
          <w:color w:val="000000" w:themeColor="text1"/>
          <w:sz w:val="22"/>
          <w:szCs w:val="22"/>
        </w:rPr>
        <w:lastRenderedPageBreak/>
        <w:t xml:space="preserve">Graf </w:t>
      </w:r>
      <w:r w:rsidR="001A4BAA" w:rsidRPr="00EB2612">
        <w:rPr>
          <w:rFonts w:asciiTheme="minorHAnsi" w:hAnsiTheme="minorHAnsi"/>
          <w:b/>
          <w:color w:val="000000" w:themeColor="text1"/>
          <w:sz w:val="22"/>
          <w:szCs w:val="22"/>
        </w:rPr>
        <w:t>1</w:t>
      </w:r>
      <w:r w:rsidR="008D5C9E">
        <w:rPr>
          <w:rFonts w:asciiTheme="minorHAnsi" w:hAnsiTheme="minorHAnsi"/>
          <w:b/>
          <w:color w:val="000000" w:themeColor="text1"/>
          <w:sz w:val="22"/>
          <w:szCs w:val="22"/>
        </w:rPr>
        <w:t>1</w:t>
      </w:r>
      <w:r w:rsidR="002F7B33" w:rsidRPr="00EB2612">
        <w:rPr>
          <w:rFonts w:asciiTheme="minorHAnsi" w:hAnsiTheme="minorHAnsi"/>
          <w:color w:val="000000" w:themeColor="text1"/>
          <w:sz w:val="22"/>
          <w:szCs w:val="22"/>
        </w:rPr>
        <w:t xml:space="preserve"> </w:t>
      </w:r>
      <w:r w:rsidR="002B6FCF" w:rsidRPr="00EB2612">
        <w:rPr>
          <w:rFonts w:asciiTheme="minorHAnsi" w:hAnsiTheme="minorHAnsi"/>
          <w:color w:val="000000" w:themeColor="text1"/>
          <w:sz w:val="22"/>
          <w:szCs w:val="22"/>
        </w:rPr>
        <w:t>Příjmy</w:t>
      </w:r>
      <w:r w:rsidRPr="00EB2612">
        <w:rPr>
          <w:rFonts w:asciiTheme="minorHAnsi" w:hAnsiTheme="minorHAnsi"/>
          <w:color w:val="000000" w:themeColor="text1"/>
          <w:sz w:val="22"/>
          <w:szCs w:val="22"/>
        </w:rPr>
        <w:t xml:space="preserve"> </w:t>
      </w:r>
      <w:r w:rsidR="002130C8" w:rsidRPr="00EB2612">
        <w:rPr>
          <w:rFonts w:asciiTheme="minorHAnsi" w:hAnsiTheme="minorHAnsi"/>
          <w:color w:val="000000" w:themeColor="text1"/>
          <w:sz w:val="22"/>
          <w:szCs w:val="22"/>
        </w:rPr>
        <w:t xml:space="preserve">subjektů </w:t>
      </w:r>
      <w:r w:rsidR="00171D41" w:rsidRPr="00EB2612">
        <w:rPr>
          <w:rFonts w:asciiTheme="minorHAnsi" w:hAnsiTheme="minorHAnsi"/>
          <w:color w:val="000000" w:themeColor="text1"/>
          <w:sz w:val="22"/>
          <w:szCs w:val="22"/>
        </w:rPr>
        <w:t xml:space="preserve">s převažující ekonomickou činností </w:t>
      </w:r>
      <w:r w:rsidRPr="00EB2612">
        <w:rPr>
          <w:rFonts w:asciiTheme="minorHAnsi" w:hAnsiTheme="minorHAnsi"/>
          <w:color w:val="000000" w:themeColor="text1"/>
          <w:sz w:val="22"/>
          <w:szCs w:val="22"/>
        </w:rPr>
        <w:t>v oblasti knih</w:t>
      </w:r>
      <w:r w:rsidR="002C3743" w:rsidRPr="00EB2612">
        <w:rPr>
          <w:rFonts w:asciiTheme="minorHAnsi" w:hAnsiTheme="minorHAnsi"/>
          <w:color w:val="000000" w:themeColor="text1"/>
          <w:sz w:val="22"/>
          <w:szCs w:val="22"/>
        </w:rPr>
        <w:t xml:space="preserve"> </w:t>
      </w:r>
      <w:r w:rsidR="00070E6A" w:rsidRPr="00EB2612">
        <w:rPr>
          <w:rFonts w:asciiTheme="minorHAnsi" w:hAnsiTheme="minorHAnsi"/>
          <w:color w:val="000000" w:themeColor="text1"/>
          <w:sz w:val="22"/>
          <w:szCs w:val="22"/>
        </w:rPr>
        <w:t>(</w:t>
      </w:r>
      <w:r w:rsidR="001D41F6" w:rsidRPr="00EB2612">
        <w:rPr>
          <w:rFonts w:asciiTheme="minorHAnsi" w:hAnsiTheme="minorHAnsi"/>
          <w:color w:val="000000" w:themeColor="text1"/>
          <w:sz w:val="22"/>
          <w:szCs w:val="22"/>
        </w:rPr>
        <w:t>v mld. Kč</w:t>
      </w:r>
      <w:r w:rsidR="00070E6A" w:rsidRPr="00EB2612">
        <w:rPr>
          <w:rFonts w:asciiTheme="minorHAnsi" w:hAnsiTheme="minorHAnsi"/>
          <w:color w:val="000000" w:themeColor="text1"/>
          <w:sz w:val="22"/>
          <w:szCs w:val="22"/>
        </w:rPr>
        <w:t>)</w:t>
      </w:r>
    </w:p>
    <w:p w:rsidR="00BB64DB" w:rsidRPr="00EB2612" w:rsidRDefault="00324A6A" w:rsidP="00BB64DB">
      <w:pPr>
        <w:keepNext/>
      </w:pPr>
      <w:r w:rsidRPr="00EB2612">
        <w:rPr>
          <w:noProof/>
        </w:rPr>
        <w:drawing>
          <wp:inline distT="0" distB="0" distL="0" distR="0">
            <wp:extent cx="6124575" cy="2057400"/>
            <wp:effectExtent l="0" t="0" r="0" b="0"/>
            <wp:docPr id="140"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 xml:space="preserve">Zdroj: </w:t>
      </w:r>
      <w:r w:rsidR="00BD2F1E" w:rsidRPr="00EB2612">
        <w:rPr>
          <w:b w:val="0"/>
          <w:color w:val="000000" w:themeColor="text1"/>
          <w:sz w:val="22"/>
          <w:szCs w:val="22"/>
        </w:rPr>
        <w:t xml:space="preserve">Podniková strukturální statistika, </w:t>
      </w:r>
      <w:r w:rsidRPr="00EB2612">
        <w:rPr>
          <w:b w:val="0"/>
          <w:color w:val="000000" w:themeColor="text1"/>
          <w:sz w:val="22"/>
          <w:szCs w:val="22"/>
        </w:rPr>
        <w:t>ČSÚ</w:t>
      </w:r>
    </w:p>
    <w:p w:rsidR="00BB64DB" w:rsidRPr="00EB2612" w:rsidRDefault="00BB64DB" w:rsidP="00477AEF">
      <w:r w:rsidRPr="00EB2612">
        <w:t>Přehled o vývoji zaměstnanosti v oblasti knižn</w:t>
      </w:r>
      <w:r w:rsidR="00493CD1" w:rsidRPr="00EB2612">
        <w:t xml:space="preserve">ího vydavatelství </w:t>
      </w:r>
      <w:r w:rsidR="00F100E0" w:rsidRPr="00EB2612">
        <w:t xml:space="preserve">a maloobchodu </w:t>
      </w:r>
      <w:r w:rsidR="000E44A0" w:rsidRPr="00EB2612">
        <w:t xml:space="preserve">nabízí Graf </w:t>
      </w:r>
      <w:r w:rsidR="00A05EEE">
        <w:t>12</w:t>
      </w:r>
      <w:r w:rsidRPr="00EB2612">
        <w:t xml:space="preserve">. </w:t>
      </w:r>
      <w:r w:rsidR="00F100E0" w:rsidRPr="00EB2612">
        <w:t>Znatelnější</w:t>
      </w:r>
      <w:r w:rsidR="00313494" w:rsidRPr="00EB2612">
        <w:t> </w:t>
      </w:r>
      <w:r w:rsidR="00F100E0" w:rsidRPr="00EB2612">
        <w:t>p</w:t>
      </w:r>
      <w:r w:rsidRPr="00EB2612">
        <w:t xml:space="preserve">okles </w:t>
      </w:r>
      <w:r w:rsidR="004B288C" w:rsidRPr="00EB2612">
        <w:t>počtu zaměstnanců</w:t>
      </w:r>
      <w:r w:rsidRPr="00EB2612">
        <w:t xml:space="preserve"> v</w:t>
      </w:r>
      <w:r w:rsidR="00F100E0" w:rsidRPr="00EB2612">
        <w:t> této oblasti</w:t>
      </w:r>
      <w:r w:rsidRPr="00EB2612">
        <w:t xml:space="preserve"> proběhl </w:t>
      </w:r>
      <w:r w:rsidR="00641AB6" w:rsidRPr="00EB2612">
        <w:t>mezi lety 2007</w:t>
      </w:r>
      <w:r w:rsidRPr="00EB2612">
        <w:t xml:space="preserve"> a 2008. </w:t>
      </w:r>
      <w:r w:rsidR="00F100E0" w:rsidRPr="00EB2612">
        <w:t xml:space="preserve">Od roku 2009 </w:t>
      </w:r>
      <w:r w:rsidR="004B288C" w:rsidRPr="00EB2612">
        <w:t>počet zaměstnanců</w:t>
      </w:r>
      <w:r w:rsidR="00D746BE" w:rsidRPr="00EB2612">
        <w:t xml:space="preserve"> klesal</w:t>
      </w:r>
      <w:r w:rsidRPr="00EB2612">
        <w:t xml:space="preserve"> spíše pozvolným tempem</w:t>
      </w:r>
      <w:r w:rsidR="00D862E2" w:rsidRPr="00EB2612">
        <w:t xml:space="preserve">. </w:t>
      </w:r>
      <w:r w:rsidR="008D6513" w:rsidRPr="00EB2612">
        <w:t>V posledních letech počet zaměstnanců</w:t>
      </w:r>
      <w:r w:rsidR="00BF03B4" w:rsidRPr="00EB2612">
        <w:t xml:space="preserve"> spíše</w:t>
      </w:r>
      <w:r w:rsidR="008D6513" w:rsidRPr="00EB2612">
        <w:t xml:space="preserve"> stagnuje</w:t>
      </w:r>
      <w:r w:rsidR="00477AEF" w:rsidRPr="00EB2612">
        <w:t>. V roce 2018</w:t>
      </w:r>
      <w:r w:rsidR="008D6513" w:rsidRPr="00EB2612">
        <w:t xml:space="preserve"> pracovalo v oblasti knih 3,3 tis</w:t>
      </w:r>
      <w:r w:rsidR="00B04E18">
        <w:t>.</w:t>
      </w:r>
      <w:r w:rsidR="008D6513" w:rsidRPr="00EB2612">
        <w:t xml:space="preserve"> zaměstnanců </w:t>
      </w:r>
      <w:r w:rsidR="00453AD7" w:rsidRPr="00EB2612">
        <w:t xml:space="preserve">přepočtených </w:t>
      </w:r>
      <w:r w:rsidR="008D6513" w:rsidRPr="00EB2612">
        <w:t>na plný úvazek.</w:t>
      </w:r>
    </w:p>
    <w:p w:rsidR="00BB64DB" w:rsidRPr="00EB2612" w:rsidRDefault="00BB64DB" w:rsidP="00BB64DB">
      <w:pPr>
        <w:pStyle w:val="Titulek"/>
        <w:keepNext/>
        <w:rPr>
          <w:color w:val="000000" w:themeColor="text1"/>
          <w:sz w:val="22"/>
          <w:szCs w:val="22"/>
        </w:rPr>
      </w:pPr>
      <w:r w:rsidRPr="00EB2612">
        <w:rPr>
          <w:color w:val="000000" w:themeColor="text1"/>
          <w:sz w:val="22"/>
          <w:szCs w:val="22"/>
        </w:rPr>
        <w:t xml:space="preserve">Graf </w:t>
      </w:r>
      <w:r w:rsidR="001A4BAA" w:rsidRPr="00EB2612">
        <w:rPr>
          <w:color w:val="000000" w:themeColor="text1"/>
          <w:sz w:val="22"/>
          <w:szCs w:val="22"/>
        </w:rPr>
        <w:t>1</w:t>
      </w:r>
      <w:r w:rsidR="00A05EEE">
        <w:rPr>
          <w:color w:val="000000" w:themeColor="text1"/>
          <w:sz w:val="22"/>
          <w:szCs w:val="22"/>
        </w:rPr>
        <w:t>2</w:t>
      </w:r>
      <w:r w:rsidR="002F7B33" w:rsidRPr="00EB2612">
        <w:rPr>
          <w:color w:val="000000" w:themeColor="text1"/>
        </w:rPr>
        <w:t xml:space="preserve"> </w:t>
      </w:r>
      <w:r w:rsidR="002B6FCF" w:rsidRPr="00EB2612">
        <w:rPr>
          <w:b w:val="0"/>
          <w:color w:val="000000" w:themeColor="text1"/>
          <w:sz w:val="22"/>
          <w:szCs w:val="22"/>
        </w:rPr>
        <w:t>Počet</w:t>
      </w:r>
      <w:r w:rsidR="00BF33BA" w:rsidRPr="00EB2612">
        <w:rPr>
          <w:b w:val="0"/>
          <w:color w:val="000000" w:themeColor="text1"/>
          <w:sz w:val="22"/>
          <w:szCs w:val="22"/>
        </w:rPr>
        <w:t xml:space="preserve"> zaměstnanců v </w:t>
      </w:r>
      <w:r w:rsidR="00453AD7" w:rsidRPr="00EB2612">
        <w:rPr>
          <w:b w:val="0"/>
          <w:color w:val="000000" w:themeColor="text1"/>
          <w:sz w:val="22"/>
          <w:szCs w:val="22"/>
        </w:rPr>
        <w:t>odvětví</w:t>
      </w:r>
      <w:r w:rsidR="00BF33BA" w:rsidRPr="00EB2612">
        <w:rPr>
          <w:b w:val="0"/>
          <w:color w:val="000000" w:themeColor="text1"/>
          <w:sz w:val="22"/>
          <w:szCs w:val="22"/>
        </w:rPr>
        <w:t xml:space="preserve"> knižního vydavatelství </w:t>
      </w:r>
      <w:r w:rsidR="00F100E0" w:rsidRPr="00EB2612">
        <w:rPr>
          <w:b w:val="0"/>
          <w:color w:val="000000" w:themeColor="text1"/>
          <w:sz w:val="22"/>
          <w:szCs w:val="22"/>
        </w:rPr>
        <w:t xml:space="preserve">a maloobchodu </w:t>
      </w:r>
      <w:r w:rsidR="00BF33BA" w:rsidRPr="00EB2612">
        <w:rPr>
          <w:b w:val="0"/>
          <w:color w:val="000000" w:themeColor="text1"/>
          <w:sz w:val="22"/>
          <w:szCs w:val="22"/>
        </w:rPr>
        <w:t xml:space="preserve">(v tis. osob, přepočteno na </w:t>
      </w:r>
      <w:r w:rsidR="0044303F" w:rsidRPr="00EB2612">
        <w:rPr>
          <w:b w:val="0"/>
          <w:color w:val="000000" w:themeColor="text1"/>
          <w:sz w:val="22"/>
          <w:szCs w:val="22"/>
        </w:rPr>
        <w:t>plné prac.</w:t>
      </w:r>
      <w:r w:rsidR="00405FEB" w:rsidRPr="00EB2612">
        <w:rPr>
          <w:b w:val="0"/>
          <w:color w:val="000000" w:themeColor="text1"/>
          <w:sz w:val="22"/>
          <w:szCs w:val="22"/>
        </w:rPr>
        <w:t xml:space="preserve"> úvazky</w:t>
      </w:r>
      <w:r w:rsidR="00BF33BA" w:rsidRPr="00EB2612">
        <w:rPr>
          <w:b w:val="0"/>
          <w:color w:val="000000" w:themeColor="text1"/>
          <w:sz w:val="22"/>
          <w:szCs w:val="22"/>
        </w:rPr>
        <w:t>)</w:t>
      </w:r>
    </w:p>
    <w:p w:rsidR="00BB64DB" w:rsidRPr="00EB2612" w:rsidRDefault="00324A6A" w:rsidP="00BB64DB">
      <w:pPr>
        <w:keepNext/>
      </w:pPr>
      <w:r w:rsidRPr="00EB2612">
        <w:rPr>
          <w:noProof/>
        </w:rPr>
        <w:drawing>
          <wp:inline distT="0" distB="0" distL="0" distR="0">
            <wp:extent cx="6172200" cy="1362075"/>
            <wp:effectExtent l="0" t="0" r="0" b="0"/>
            <wp:docPr id="143"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 xml:space="preserve">Zdroj: </w:t>
      </w:r>
      <w:r w:rsidR="00BD2F1E" w:rsidRPr="00EB2612">
        <w:rPr>
          <w:b w:val="0"/>
          <w:color w:val="000000" w:themeColor="text1"/>
          <w:sz w:val="22"/>
          <w:szCs w:val="22"/>
        </w:rPr>
        <w:t xml:space="preserve">Podniková strukturální statistika, </w:t>
      </w:r>
      <w:r w:rsidRPr="00EB2612">
        <w:rPr>
          <w:b w:val="0"/>
          <w:color w:val="000000" w:themeColor="text1"/>
          <w:sz w:val="22"/>
          <w:szCs w:val="22"/>
        </w:rPr>
        <w:t>ČSÚ</w:t>
      </w:r>
    </w:p>
    <w:p w:rsidR="00AA37CA" w:rsidRPr="00EB2612" w:rsidRDefault="00C95D31" w:rsidP="00AA37CA">
      <w:pPr>
        <w:rPr>
          <w:lang w:eastAsia="en-US"/>
        </w:rPr>
      </w:pPr>
      <w:r>
        <w:rPr>
          <w:lang w:eastAsia="en-US"/>
        </w:rPr>
        <w:t>Nejaktuálnější</w:t>
      </w:r>
      <w:r w:rsidR="00AA37CA" w:rsidRPr="00EB2612">
        <w:rPr>
          <w:lang w:eastAsia="en-US"/>
        </w:rPr>
        <w:t xml:space="preserve"> </w:t>
      </w:r>
      <w:r w:rsidR="008432B1" w:rsidRPr="00EB2612">
        <w:rPr>
          <w:lang w:eastAsia="en-US"/>
        </w:rPr>
        <w:t xml:space="preserve">události </w:t>
      </w:r>
      <w:r w:rsidR="00AA37CA" w:rsidRPr="00EB2612">
        <w:rPr>
          <w:lang w:eastAsia="en-US"/>
        </w:rPr>
        <w:t>související s pandemií COVID-19 se pro</w:t>
      </w:r>
      <w:r w:rsidR="008432B1" w:rsidRPr="00EB2612">
        <w:rPr>
          <w:lang w:eastAsia="en-US"/>
        </w:rPr>
        <w:t xml:space="preserve"> knižní trh nevyvíjejí příliš příznivě.</w:t>
      </w:r>
      <w:r w:rsidR="00AA37CA" w:rsidRPr="00EB2612">
        <w:rPr>
          <w:lang w:eastAsia="en-US"/>
        </w:rPr>
        <w:t xml:space="preserve">   Zatímco některé oblasti médií jako televizní a rozhlasové vysílání či videohry </w:t>
      </w:r>
      <w:r w:rsidR="00A05EEE">
        <w:rPr>
          <w:lang w:eastAsia="en-US"/>
        </w:rPr>
        <w:t>do jisté míry</w:t>
      </w:r>
      <w:r w:rsidR="00AA37CA" w:rsidRPr="00EB2612">
        <w:rPr>
          <w:lang w:eastAsia="en-US"/>
        </w:rPr>
        <w:t xml:space="preserve"> profitovaly</w:t>
      </w:r>
      <w:r w:rsidR="008432B1" w:rsidRPr="00EB2612">
        <w:rPr>
          <w:lang w:eastAsia="en-US"/>
        </w:rPr>
        <w:t xml:space="preserve"> z omezení volného </w:t>
      </w:r>
      <w:r w:rsidR="003F593B">
        <w:rPr>
          <w:lang w:eastAsia="en-US"/>
        </w:rPr>
        <w:t>pohybu</w:t>
      </w:r>
      <w:r w:rsidR="008432B1" w:rsidRPr="00EB2612">
        <w:rPr>
          <w:lang w:eastAsia="en-US"/>
        </w:rPr>
        <w:t xml:space="preserve"> osob</w:t>
      </w:r>
      <w:r w:rsidR="00AA37CA" w:rsidRPr="00EB2612">
        <w:rPr>
          <w:lang w:eastAsia="en-US"/>
        </w:rPr>
        <w:t xml:space="preserve">, </w:t>
      </w:r>
      <w:r w:rsidR="008432B1" w:rsidRPr="00EB2612">
        <w:rPr>
          <w:lang w:eastAsia="en-US"/>
        </w:rPr>
        <w:t xml:space="preserve">oblast knih zasáhlo zejména omezení či úplné zavření knihkupectví. Podle </w:t>
      </w:r>
      <w:r w:rsidR="0029216C" w:rsidRPr="00EB2612">
        <w:rPr>
          <w:lang w:eastAsia="en-US"/>
        </w:rPr>
        <w:t>Federace evropských nakladatelů s</w:t>
      </w:r>
      <w:r w:rsidR="003F593B">
        <w:rPr>
          <w:lang w:eastAsia="en-US"/>
        </w:rPr>
        <w:t>ice ve většině evropských zemí</w:t>
      </w:r>
      <w:r w:rsidR="0029216C" w:rsidRPr="00EB2612">
        <w:rPr>
          <w:lang w:eastAsia="en-US"/>
        </w:rPr>
        <w:t xml:space="preserve"> stouply tržby z online prodeje knih, ty však nedokázaly kompenzovat výpadky z fyzických prodejů. Celkové tržby z prodeje knih klesaly ve všech evropských zemích s výjimkou Finska a Švédska, kde online prodej knih a zvýšený zájem o audioknihy a e-knihy vykompenzoval v jarních měsících propady z fyzických prodejů</w:t>
      </w:r>
      <w:r w:rsidR="00277B29" w:rsidRPr="00EB2612">
        <w:rPr>
          <w:lang w:eastAsia="en-US"/>
        </w:rPr>
        <w:t xml:space="preserve"> (FEP, 2020)</w:t>
      </w:r>
      <w:r w:rsidR="0029216C" w:rsidRPr="00EB2612">
        <w:rPr>
          <w:lang w:eastAsia="en-US"/>
        </w:rPr>
        <w:t>.</w:t>
      </w:r>
    </w:p>
    <w:p w:rsidR="00BB64DB" w:rsidRPr="00EB2612" w:rsidRDefault="00BB64DB" w:rsidP="00694914">
      <w:pPr>
        <w:pStyle w:val="Nadpis3"/>
        <w:numPr>
          <w:ilvl w:val="2"/>
          <w:numId w:val="17"/>
        </w:numPr>
      </w:pPr>
      <w:bookmarkStart w:id="35" w:name="_Toc430189796"/>
      <w:bookmarkStart w:id="36" w:name="_Toc431475024"/>
      <w:bookmarkStart w:id="37" w:name="_Toc463969179"/>
      <w:bookmarkStart w:id="38" w:name="_Toc465253889"/>
      <w:bookmarkStart w:id="39" w:name="_Toc55384427"/>
      <w:r w:rsidRPr="00EB2612">
        <w:t>POHLED SPOTŘEBITELE</w:t>
      </w:r>
      <w:bookmarkEnd w:id="35"/>
      <w:bookmarkEnd w:id="36"/>
      <w:bookmarkEnd w:id="37"/>
      <w:bookmarkEnd w:id="38"/>
      <w:bookmarkEnd w:id="39"/>
    </w:p>
    <w:p w:rsidR="00BB64DB" w:rsidRPr="00EB2612" w:rsidRDefault="00BB64DB" w:rsidP="00BB64DB">
      <w:r w:rsidRPr="00EB2612">
        <w:t>Šetření Využívání informačních a komunikačních technologií v domácnostech a mezi jednotlivci (VŠIT), které</w:t>
      </w:r>
      <w:r w:rsidR="00313494" w:rsidRPr="00EB2612">
        <w:t> </w:t>
      </w:r>
      <w:r w:rsidRPr="00EB2612">
        <w:t>je pro tuto analýzu použito jako výchozí k zachycení měnících se návyků spotřebitelů v souvislosti s rozvojem internetu, nezahrnuje četbu knih mezi zkoumané aktivity</w:t>
      </w:r>
      <w:r w:rsidR="00712234" w:rsidRPr="00EB2612">
        <w:t xml:space="preserve"> provozované na internetu</w:t>
      </w:r>
      <w:r w:rsidRPr="00EB2612">
        <w:t>. To může odpovídat samotné povaze četby elektronických knih, které bývají sice přes internet zakoupeny a staženy, jejich samotná četba však již probíhá offline pomocí čtecích zařízení</w:t>
      </w:r>
      <w:r w:rsidR="00C95D31">
        <w:t>, telefonu</w:t>
      </w:r>
      <w:r w:rsidRPr="00EB2612">
        <w:t xml:space="preserve"> či počítače. </w:t>
      </w:r>
      <w:r w:rsidR="006511BA" w:rsidRPr="00EB2612">
        <w:t xml:space="preserve">Pro návyky </w:t>
      </w:r>
      <w:r w:rsidR="006511BA" w:rsidRPr="00EB2612">
        <w:lastRenderedPageBreak/>
        <w:t>spojené se samotnou četbou knih lze využít data z šetření ČSÚ s názvem Vzdělávání dospělých v České republice</w:t>
      </w:r>
      <w:r w:rsidR="00376CCE" w:rsidRPr="00EB2612">
        <w:t xml:space="preserve"> sledující populaci 18–69 let</w:t>
      </w:r>
      <w:r w:rsidR="006511BA" w:rsidRPr="00EB2612">
        <w:t xml:space="preserve">. </w:t>
      </w:r>
      <w:r w:rsidR="00282789" w:rsidRPr="00EB2612">
        <w:t>Toto šetření probíhá jednou za 5 let a nejnovější data jsou k dispozici z roku 2011 a 2016.</w:t>
      </w:r>
      <w:r w:rsidR="006511BA" w:rsidRPr="00EB2612">
        <w:t xml:space="preserve"> </w:t>
      </w:r>
      <w:r w:rsidRPr="00EB2612">
        <w:t>Další informace o čtenářs</w:t>
      </w:r>
      <w:r w:rsidR="00F100E0" w:rsidRPr="00EB2612">
        <w:t>kých návycích lze získat</w:t>
      </w:r>
      <w:r w:rsidR="00405FEB" w:rsidRPr="00EB2612">
        <w:t> </w:t>
      </w:r>
      <w:r w:rsidR="00F100E0" w:rsidRPr="00EB2612">
        <w:t>ze</w:t>
      </w:r>
      <w:r w:rsidR="00405FEB" w:rsidRPr="00EB2612">
        <w:t> </w:t>
      </w:r>
      <w:r w:rsidRPr="00EB2612">
        <w:t>Zprávy</w:t>
      </w:r>
      <w:r w:rsidR="00405FEB" w:rsidRPr="00EB2612">
        <w:t> </w:t>
      </w:r>
      <w:r w:rsidRPr="00EB2612">
        <w:t>o</w:t>
      </w:r>
      <w:r w:rsidR="00405FEB" w:rsidRPr="00EB2612">
        <w:t> </w:t>
      </w:r>
      <w:r w:rsidRPr="00EB2612">
        <w:t>českém knižním trhu</w:t>
      </w:r>
      <w:r w:rsidR="00F100E0" w:rsidRPr="00EB2612">
        <w:rPr>
          <w:i/>
        </w:rPr>
        <w:t xml:space="preserve">, </w:t>
      </w:r>
      <w:r w:rsidR="00F100E0" w:rsidRPr="00EB2612">
        <w:t xml:space="preserve">kterou každoročně vydává </w:t>
      </w:r>
      <w:r w:rsidR="0014040A" w:rsidRPr="00EB2612">
        <w:t>Svaz českých knihkupců a nakladatelů (</w:t>
      </w:r>
      <w:r w:rsidR="00F100E0" w:rsidRPr="00EB2612">
        <w:t>SČKN</w:t>
      </w:r>
      <w:r w:rsidR="0014040A" w:rsidRPr="00EB2612">
        <w:t>)</w:t>
      </w:r>
      <w:r w:rsidRPr="00EB2612">
        <w:t>.</w:t>
      </w:r>
    </w:p>
    <w:p w:rsidR="006511BA" w:rsidRPr="00EB2612" w:rsidRDefault="00282789" w:rsidP="006511BA">
      <w:pPr>
        <w:ind w:firstLine="708"/>
        <w:rPr>
          <w:bCs/>
        </w:rPr>
      </w:pPr>
      <w:r w:rsidRPr="00EB2612">
        <w:rPr>
          <w:bCs/>
        </w:rPr>
        <w:t>Z</w:t>
      </w:r>
      <w:r w:rsidR="006511BA" w:rsidRPr="00EB2612">
        <w:rPr>
          <w:bCs/>
        </w:rPr>
        <w:t xml:space="preserve"> údajů šetření Vzdělávání dospělých </w:t>
      </w:r>
      <w:r w:rsidR="0054686F" w:rsidRPr="00EB2612">
        <w:rPr>
          <w:bCs/>
        </w:rPr>
        <w:t xml:space="preserve">v ČR </w:t>
      </w:r>
      <w:r w:rsidR="006511BA" w:rsidRPr="00EB2612">
        <w:rPr>
          <w:bCs/>
        </w:rPr>
        <w:t>vyplývá, že v Česku mírně vzrostl podíl čtenářů (osob, které za rok přečtou alespoň jednu knihu) z 68 % v roce 2011 na 73 % v roce 2016. Co se týče množství</w:t>
      </w:r>
      <w:r w:rsidR="00F143DB">
        <w:rPr>
          <w:bCs/>
        </w:rPr>
        <w:t xml:space="preserve"> knih</w:t>
      </w:r>
      <w:r w:rsidR="006511BA" w:rsidRPr="00EB2612">
        <w:rPr>
          <w:bCs/>
        </w:rPr>
        <w:t xml:space="preserve">, které lidé stihnou v období jednoho roku přečíst, nejčastěji sáhli po jedné až čtyřech knihách a to ve zhruba třetině případů. Překvapivě vysoký podíl (22 %) tvořili </w:t>
      </w:r>
      <w:r w:rsidRPr="00EB2612">
        <w:rPr>
          <w:bCs/>
        </w:rPr>
        <w:t>aktivní</w:t>
      </w:r>
      <w:r w:rsidR="006511BA" w:rsidRPr="00EB2612">
        <w:rPr>
          <w:bCs/>
        </w:rPr>
        <w:t xml:space="preserve"> čtenáři, kteří přečtou ročně deset a více knih. </w:t>
      </w:r>
      <w:r w:rsidR="004D2283" w:rsidRPr="00EB2612">
        <w:rPr>
          <w:bCs/>
        </w:rPr>
        <w:t xml:space="preserve">Pět až </w:t>
      </w:r>
      <w:r w:rsidR="006511BA" w:rsidRPr="00EB2612">
        <w:rPr>
          <w:bCs/>
        </w:rPr>
        <w:t xml:space="preserve">devět knih pak ročně přečetla necelá pětina populace. Výrazné rozdíly se vyskytly při srovnání čtenářů a čtenářek. Zatímco 39 % mužů ve zkoumané populaci v roce 2016 nepřečetlo žádnou knihu, mezi ženami se našlo pouze 15 % těch, které </w:t>
      </w:r>
      <w:r w:rsidR="00A63BAB" w:rsidRPr="00EB2612">
        <w:rPr>
          <w:bCs/>
        </w:rPr>
        <w:t xml:space="preserve">knihy </w:t>
      </w:r>
      <w:r w:rsidR="006511BA" w:rsidRPr="00EB2612">
        <w:rPr>
          <w:bCs/>
        </w:rPr>
        <w:t xml:space="preserve">nečtou. Nejvíce mužů (34 %) pak přečetlo v roce 2016 jednu až čtyři knihy. Mezi ženami se našlo stejně vysoké procento </w:t>
      </w:r>
      <w:r w:rsidR="004A156B" w:rsidRPr="00EB2612">
        <w:rPr>
          <w:bCs/>
        </w:rPr>
        <w:t>(31 %) občasných čtenářek, které</w:t>
      </w:r>
      <w:r w:rsidR="006511BA" w:rsidRPr="00EB2612">
        <w:rPr>
          <w:bCs/>
        </w:rPr>
        <w:t xml:space="preserve"> přečetl</w:t>
      </w:r>
      <w:r w:rsidR="00A63BAB" w:rsidRPr="00EB2612">
        <w:rPr>
          <w:bCs/>
        </w:rPr>
        <w:t>y</w:t>
      </w:r>
      <w:r w:rsidR="006511BA" w:rsidRPr="00EB2612">
        <w:rPr>
          <w:bCs/>
        </w:rPr>
        <w:t xml:space="preserve"> jednu až čtyři knihy a</w:t>
      </w:r>
      <w:r w:rsidR="004A156B" w:rsidRPr="00EB2612">
        <w:rPr>
          <w:bCs/>
        </w:rPr>
        <w:t xml:space="preserve"> aktivních čtenářek, které</w:t>
      </w:r>
      <w:r w:rsidR="006511BA" w:rsidRPr="00EB2612">
        <w:rPr>
          <w:bCs/>
        </w:rPr>
        <w:t xml:space="preserve"> přečetl</w:t>
      </w:r>
      <w:r w:rsidR="00A63BAB" w:rsidRPr="00EB2612">
        <w:rPr>
          <w:bCs/>
        </w:rPr>
        <w:t>y</w:t>
      </w:r>
      <w:r w:rsidR="006511BA" w:rsidRPr="00EB2612">
        <w:rPr>
          <w:bCs/>
        </w:rPr>
        <w:t xml:space="preserve"> deset knih a více.</w:t>
      </w:r>
    </w:p>
    <w:p w:rsidR="00282789" w:rsidRPr="00EB2612" w:rsidRDefault="00282789" w:rsidP="00282789">
      <w:pPr>
        <w:pStyle w:val="Titulek"/>
        <w:keepNext/>
        <w:rPr>
          <w:color w:val="auto"/>
          <w:sz w:val="22"/>
          <w:szCs w:val="22"/>
        </w:rPr>
      </w:pPr>
      <w:r w:rsidRPr="00EB2612">
        <w:rPr>
          <w:color w:val="auto"/>
          <w:sz w:val="22"/>
          <w:szCs w:val="22"/>
        </w:rPr>
        <w:t xml:space="preserve">Graf </w:t>
      </w:r>
      <w:r w:rsidR="00A05EEE">
        <w:rPr>
          <w:color w:val="auto"/>
          <w:sz w:val="22"/>
          <w:szCs w:val="22"/>
        </w:rPr>
        <w:t>13</w:t>
      </w:r>
      <w:r w:rsidRPr="00EB2612">
        <w:rPr>
          <w:color w:val="auto"/>
          <w:sz w:val="22"/>
          <w:szCs w:val="22"/>
        </w:rPr>
        <w:t xml:space="preserve"> </w:t>
      </w:r>
      <w:r w:rsidR="00F143DB">
        <w:rPr>
          <w:b w:val="0"/>
          <w:color w:val="auto"/>
          <w:sz w:val="22"/>
          <w:szCs w:val="22"/>
        </w:rPr>
        <w:t>Podíl osob ve věku 18-69 let podle počtu přečtených knih za rok a pohlaví v roce 2016</w:t>
      </w:r>
    </w:p>
    <w:p w:rsidR="00282789" w:rsidRPr="00EB2612" w:rsidRDefault="00282789" w:rsidP="00282789">
      <w:pPr>
        <w:ind w:firstLine="708"/>
      </w:pPr>
      <w:r w:rsidRPr="00EB2612">
        <w:rPr>
          <w:noProof/>
        </w:rPr>
        <w:drawing>
          <wp:inline distT="0" distB="0" distL="0" distR="0">
            <wp:extent cx="5476875" cy="1571625"/>
            <wp:effectExtent l="0" t="0" r="0" b="0"/>
            <wp:docPr id="2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82789" w:rsidRPr="00EB2612" w:rsidRDefault="00282789" w:rsidP="00282789">
      <w:pPr>
        <w:rPr>
          <w:rFonts w:ascii="Calibri" w:hAnsi="Calibri"/>
          <w:sz w:val="22"/>
          <w:szCs w:val="22"/>
        </w:rPr>
      </w:pPr>
      <w:r w:rsidRPr="00EB2612">
        <w:rPr>
          <w:rFonts w:ascii="Calibri" w:hAnsi="Calibri"/>
          <w:sz w:val="22"/>
          <w:szCs w:val="22"/>
        </w:rPr>
        <w:t>Zdroj: Vzdělávání dospělých v České republice, ČSÚ</w:t>
      </w:r>
    </w:p>
    <w:p w:rsidR="00282789" w:rsidRPr="00EB2612" w:rsidRDefault="00282789" w:rsidP="00282789">
      <w:pPr>
        <w:rPr>
          <w:bCs/>
        </w:rPr>
      </w:pPr>
      <w:r w:rsidRPr="00EB2612">
        <w:rPr>
          <w:bCs/>
        </w:rPr>
        <w:t>Pokud zohledníme ekonomické postavení v populaci, bylo v roce 2016 nejvíce čtenářů mezi studenty. Pouze 10 % studentů starších 18 let uvedlo, že v roce 2016 nepřečetli žádnou knihu. Podíl těch, kteří přečetli 10</w:t>
      </w:r>
      <w:r w:rsidR="004A156B" w:rsidRPr="00EB2612">
        <w:rPr>
          <w:bCs/>
        </w:rPr>
        <w:t> </w:t>
      </w:r>
      <w:r w:rsidRPr="00EB2612">
        <w:rPr>
          <w:bCs/>
        </w:rPr>
        <w:t xml:space="preserve">knih a více, byl u studentů přibližně 40 % a takřka dvakrát převyšoval průměr v populaci. Je možné jen spekulovat, kolik z těchto knih bylo přečteno v rámci povinné studijní četby. U </w:t>
      </w:r>
      <w:r w:rsidR="004A156B" w:rsidRPr="00EB2612">
        <w:rPr>
          <w:bCs/>
        </w:rPr>
        <w:t>pracujících</w:t>
      </w:r>
      <w:r w:rsidR="00931012" w:rsidRPr="00EB2612">
        <w:rPr>
          <w:bCs/>
        </w:rPr>
        <w:t xml:space="preserve"> (včetně pomáhajících rodinných příslušníků, zkušební doby, stáží apod.)</w:t>
      </w:r>
      <w:r w:rsidR="004A156B" w:rsidRPr="00EB2612">
        <w:rPr>
          <w:bCs/>
        </w:rPr>
        <w:t xml:space="preserve"> byl podíl čtenářů i </w:t>
      </w:r>
      <w:r w:rsidRPr="00EB2612">
        <w:rPr>
          <w:bCs/>
        </w:rPr>
        <w:t>těch, kteří přečetli 10 a</w:t>
      </w:r>
      <w:r w:rsidR="000E0D24" w:rsidRPr="00EB2612">
        <w:rPr>
          <w:bCs/>
        </w:rPr>
        <w:t> </w:t>
      </w:r>
      <w:r w:rsidRPr="00EB2612">
        <w:rPr>
          <w:bCs/>
        </w:rPr>
        <w:t>více knih podobný jako v celé populaci. U důchodců pak počet čtenářů oproti zaměstnaným mírně vzrostl a</w:t>
      </w:r>
      <w:r w:rsidR="000E0D24" w:rsidRPr="00EB2612">
        <w:rPr>
          <w:bCs/>
        </w:rPr>
        <w:t> </w:t>
      </w:r>
      <w:r w:rsidRPr="00EB2612">
        <w:rPr>
          <w:bCs/>
        </w:rPr>
        <w:t>každý čtvrtý důchodce do 69 let přečetl 10 knih a více. V důchodovém věku tak zřejmě lidé opět nachází cestu k četbě, což může být dáno zejména vyšším množstvím volného času. Všeobecně tedy platí, že nejvyšší podíl čtenářů můžeme nalézt u mladších lidí ve studentském věku stejně jako u starších lidí v důchodovém věku.</w:t>
      </w:r>
    </w:p>
    <w:p w:rsidR="00282789" w:rsidRPr="00EB2612" w:rsidRDefault="00282789" w:rsidP="00282789">
      <w:pPr>
        <w:pStyle w:val="Titulek"/>
        <w:keepNext/>
        <w:rPr>
          <w:b w:val="0"/>
          <w:color w:val="auto"/>
          <w:sz w:val="22"/>
          <w:szCs w:val="22"/>
        </w:rPr>
      </w:pPr>
      <w:r w:rsidRPr="00EB2612">
        <w:rPr>
          <w:color w:val="auto"/>
          <w:sz w:val="22"/>
          <w:szCs w:val="22"/>
        </w:rPr>
        <w:lastRenderedPageBreak/>
        <w:t xml:space="preserve">Graf </w:t>
      </w:r>
      <w:r w:rsidR="00A05EEE">
        <w:rPr>
          <w:color w:val="auto"/>
          <w:sz w:val="22"/>
          <w:szCs w:val="22"/>
        </w:rPr>
        <w:t>14</w:t>
      </w:r>
      <w:r w:rsidRPr="00EB2612">
        <w:rPr>
          <w:color w:val="auto"/>
          <w:sz w:val="22"/>
          <w:szCs w:val="22"/>
        </w:rPr>
        <w:t xml:space="preserve"> </w:t>
      </w:r>
      <w:r w:rsidRPr="00EB2612">
        <w:rPr>
          <w:b w:val="0"/>
          <w:color w:val="auto"/>
          <w:sz w:val="22"/>
          <w:szCs w:val="22"/>
        </w:rPr>
        <w:t xml:space="preserve">Podíl čtenářů </w:t>
      </w:r>
      <w:r w:rsidR="00DA7CC2">
        <w:rPr>
          <w:b w:val="0"/>
          <w:color w:val="auto"/>
          <w:sz w:val="22"/>
          <w:szCs w:val="22"/>
        </w:rPr>
        <w:t xml:space="preserve">ve věku 18-69 let </w:t>
      </w:r>
      <w:r w:rsidRPr="00EB2612">
        <w:rPr>
          <w:b w:val="0"/>
          <w:color w:val="auto"/>
          <w:sz w:val="22"/>
          <w:szCs w:val="22"/>
        </w:rPr>
        <w:t>podle ekonomického postavení</w:t>
      </w:r>
      <w:r w:rsidR="00931012" w:rsidRPr="00EB2612">
        <w:rPr>
          <w:b w:val="0"/>
          <w:color w:val="auto"/>
          <w:sz w:val="22"/>
          <w:szCs w:val="22"/>
        </w:rPr>
        <w:t xml:space="preserve"> a počtu přečtených knih</w:t>
      </w:r>
      <w:r w:rsidR="00DA7CC2">
        <w:rPr>
          <w:b w:val="0"/>
          <w:color w:val="auto"/>
          <w:sz w:val="22"/>
          <w:szCs w:val="22"/>
        </w:rPr>
        <w:t xml:space="preserve"> </w:t>
      </w:r>
      <w:r w:rsidR="00DA7CC2" w:rsidRPr="00EB2612">
        <w:rPr>
          <w:b w:val="0"/>
          <w:color w:val="auto"/>
          <w:sz w:val="22"/>
          <w:szCs w:val="22"/>
        </w:rPr>
        <w:t xml:space="preserve">v roce 2016 </w:t>
      </w:r>
      <w:r w:rsidRPr="00EB2612">
        <w:rPr>
          <w:color w:val="auto"/>
          <w:sz w:val="22"/>
          <w:szCs w:val="22"/>
        </w:rPr>
        <w:t xml:space="preserve"> </w:t>
      </w:r>
    </w:p>
    <w:p w:rsidR="00931012" w:rsidRPr="00EB2612" w:rsidRDefault="009C74FF" w:rsidP="006350A5">
      <w:pPr>
        <w:jc w:val="center"/>
        <w:rPr>
          <w:lang w:eastAsia="en-US"/>
        </w:rPr>
      </w:pPr>
      <w:r w:rsidRPr="009C74FF">
        <w:rPr>
          <w:noProof/>
        </w:rPr>
        <w:drawing>
          <wp:inline distT="0" distB="0" distL="0" distR="0">
            <wp:extent cx="4703674" cy="1741017"/>
            <wp:effectExtent l="0" t="0" r="0" b="0"/>
            <wp:docPr id="10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82789" w:rsidRPr="00EB2612" w:rsidRDefault="00376CCE" w:rsidP="00282789">
      <w:pPr>
        <w:jc w:val="left"/>
      </w:pPr>
      <w:r w:rsidRPr="00EB2612">
        <w:rPr>
          <w:rFonts w:ascii="Calibri" w:hAnsi="Calibri"/>
          <w:sz w:val="22"/>
          <w:szCs w:val="22"/>
        </w:rPr>
        <w:t>Zdroj: Vzdělávání dospělých v České republice, ČSÚ</w:t>
      </w:r>
    </w:p>
    <w:p w:rsidR="00D36CF5" w:rsidRPr="00EB2612" w:rsidRDefault="00BB64DB" w:rsidP="00BB64DB">
      <w:pPr>
        <w:ind w:firstLine="708"/>
      </w:pPr>
      <w:r w:rsidRPr="00EB2612">
        <w:t xml:space="preserve">V souvislosti s nákupem a četbou knih je internet mezi českými spotřebiteli </w:t>
      </w:r>
      <w:r w:rsidR="00357841" w:rsidRPr="00EB2612">
        <w:t xml:space="preserve">více </w:t>
      </w:r>
      <w:r w:rsidRPr="00EB2612">
        <w:t xml:space="preserve">využíván pro nákup </w:t>
      </w:r>
      <w:r w:rsidR="00376CCE" w:rsidRPr="00EB2612">
        <w:t xml:space="preserve">tištěných </w:t>
      </w:r>
      <w:r w:rsidRPr="00EB2612">
        <w:t>knih přes internet než pro n</w:t>
      </w:r>
      <w:r w:rsidR="0014040A" w:rsidRPr="00EB2612">
        <w:t>ákup</w:t>
      </w:r>
      <w:r w:rsidRPr="00EB2612">
        <w:t xml:space="preserve"> elektronických knih. Zatímco tržby </w:t>
      </w:r>
      <w:r w:rsidR="00357841" w:rsidRPr="00EB2612">
        <w:t xml:space="preserve">z </w:t>
      </w:r>
      <w:r w:rsidRPr="00EB2612">
        <w:t xml:space="preserve">internetového prodeje knih se podle odhadu SČKN podílely </w:t>
      </w:r>
      <w:r w:rsidR="009048AE" w:rsidRPr="00EB2612">
        <w:t>v</w:t>
      </w:r>
      <w:r w:rsidR="002675E5" w:rsidRPr="00EB2612">
        <w:t> minulých letech přibližně jednou čtvrtinou</w:t>
      </w:r>
      <w:r w:rsidR="000C3D1A" w:rsidRPr="00EB2612">
        <w:t xml:space="preserve"> </w:t>
      </w:r>
      <w:r w:rsidRPr="00EB2612">
        <w:t xml:space="preserve">na celkových tržbách </w:t>
      </w:r>
      <w:r w:rsidR="00376CCE" w:rsidRPr="00EB2612">
        <w:t xml:space="preserve">knižního </w:t>
      </w:r>
      <w:r w:rsidR="001132C6" w:rsidRPr="00EB2612">
        <w:t>maloobchodu</w:t>
      </w:r>
      <w:r w:rsidRPr="00EB2612">
        <w:t>,</w:t>
      </w:r>
      <w:r w:rsidR="00B85D5F" w:rsidRPr="00EB2612">
        <w:t xml:space="preserve"> </w:t>
      </w:r>
      <w:r w:rsidRPr="00EB2612">
        <w:t>podíl tržeb z prodeje e-</w:t>
      </w:r>
      <w:r w:rsidR="000C3D1A" w:rsidRPr="00EB2612">
        <w:t>knih</w:t>
      </w:r>
      <w:r w:rsidR="00E65176" w:rsidRPr="00EB2612">
        <w:t xml:space="preserve"> a digitálních audioknih</w:t>
      </w:r>
      <w:r w:rsidR="00332E5D" w:rsidRPr="00EB2612">
        <w:t xml:space="preserve"> tvořil v roce 2018</w:t>
      </w:r>
      <w:r w:rsidR="002675E5" w:rsidRPr="00EB2612">
        <w:t xml:space="preserve"> od</w:t>
      </w:r>
      <w:r w:rsidR="00E65176" w:rsidRPr="00EB2612">
        <w:t>hadem 2,6</w:t>
      </w:r>
      <w:r w:rsidR="00362010">
        <w:t xml:space="preserve"> % z </w:t>
      </w:r>
      <w:r w:rsidRPr="00EB2612">
        <w:t>celkov</w:t>
      </w:r>
      <w:r w:rsidR="00D16B95" w:rsidRPr="00EB2612">
        <w:t xml:space="preserve">ého </w:t>
      </w:r>
      <w:r w:rsidR="009048AE" w:rsidRPr="00EB2612">
        <w:t>obratu knižního trhu</w:t>
      </w:r>
      <w:r w:rsidR="00D16B95" w:rsidRPr="00EB2612">
        <w:t>.</w:t>
      </w:r>
      <w:r w:rsidR="00D36CF5" w:rsidRPr="00EB2612">
        <w:t xml:space="preserve"> Celkový obrat z prodeje e-knih vzrostl ve srovnání s rokem 2017 přibližně o 12 % a obrat z prodeje audioknih o více než 16 %. Na celkovém prodeji audioknih se </w:t>
      </w:r>
      <w:r w:rsidR="00631D5B">
        <w:t xml:space="preserve">zatím ve větší míře </w:t>
      </w:r>
      <w:r w:rsidR="00D36CF5" w:rsidRPr="00EB2612">
        <w:t>podílí prodej na fyzických nosičích (56,1 %)</w:t>
      </w:r>
      <w:r w:rsidR="00631D5B">
        <w:t xml:space="preserve"> než prodej elektronických verzí audioknih (43,9 </w:t>
      </w:r>
      <w:r w:rsidR="00631D5B" w:rsidRPr="00EB2612">
        <w:t>%</w:t>
      </w:r>
      <w:r w:rsidR="00631D5B">
        <w:t>)</w:t>
      </w:r>
      <w:r w:rsidR="00D36CF5" w:rsidRPr="00EB2612">
        <w:t xml:space="preserve">, tento podíl však oproti předchozímu roku klesl o více než 6 p. </w:t>
      </w:r>
      <w:proofErr w:type="spellStart"/>
      <w:r w:rsidR="00D36CF5" w:rsidRPr="00EB2612">
        <w:t>b</w:t>
      </w:r>
      <w:proofErr w:type="spellEnd"/>
      <w:r w:rsidR="00D36CF5" w:rsidRPr="00EB2612">
        <w:t>.</w:t>
      </w:r>
    </w:p>
    <w:p w:rsidR="00712234" w:rsidRPr="00EB2612" w:rsidRDefault="00376CCE" w:rsidP="00A956B9">
      <w:pPr>
        <w:rPr>
          <w:lang w:eastAsia="en-US"/>
        </w:rPr>
      </w:pPr>
      <w:r w:rsidRPr="00EB2612">
        <w:rPr>
          <w:lang w:eastAsia="en-US"/>
        </w:rPr>
        <w:tab/>
      </w:r>
      <w:r w:rsidR="00712234" w:rsidRPr="00EB2612">
        <w:rPr>
          <w:lang w:eastAsia="en-US"/>
        </w:rPr>
        <w:t>Z šetření VŠIT pak lze získat rozšiřující údaje o jednotlivcích, kteří nakupují knihy přes internet.</w:t>
      </w:r>
      <w:r w:rsidR="00F41DE4" w:rsidRPr="00EB2612">
        <w:rPr>
          <w:lang w:eastAsia="en-US"/>
        </w:rPr>
        <w:t xml:space="preserve"> V roce 201</w:t>
      </w:r>
      <w:r w:rsidR="002D22C5" w:rsidRPr="00EB2612">
        <w:rPr>
          <w:lang w:eastAsia="en-US"/>
        </w:rPr>
        <w:t>9</w:t>
      </w:r>
      <w:r w:rsidR="003316CE" w:rsidRPr="00EB2612">
        <w:rPr>
          <w:lang w:eastAsia="en-US"/>
        </w:rPr>
        <w:t xml:space="preserve"> b</w:t>
      </w:r>
      <w:r w:rsidR="002D22C5" w:rsidRPr="00EB2612">
        <w:rPr>
          <w:lang w:eastAsia="en-US"/>
        </w:rPr>
        <w:t>ylo v české populaci přibližně 13</w:t>
      </w:r>
      <w:r w:rsidR="003316CE" w:rsidRPr="00EB2612">
        <w:rPr>
          <w:lang w:eastAsia="en-US"/>
        </w:rPr>
        <w:t xml:space="preserve"> </w:t>
      </w:r>
      <w:r w:rsidR="003316CE" w:rsidRPr="00EB2612">
        <w:t xml:space="preserve">% </w:t>
      </w:r>
      <w:r w:rsidRPr="00EB2612">
        <w:t>osob, které</w:t>
      </w:r>
      <w:r w:rsidR="003316CE" w:rsidRPr="00EB2612">
        <w:t xml:space="preserve"> zakoupil</w:t>
      </w:r>
      <w:r w:rsidR="00357841" w:rsidRPr="00EB2612">
        <w:t>y</w:t>
      </w:r>
      <w:r w:rsidR="003316CE" w:rsidRPr="00EB2612">
        <w:t xml:space="preserve"> </w:t>
      </w:r>
      <w:r w:rsidRPr="00EB2612">
        <w:t xml:space="preserve">v posledním roce </w:t>
      </w:r>
      <w:r w:rsidR="003316CE" w:rsidRPr="00EB2612">
        <w:t xml:space="preserve">alespoň jednu knihu </w:t>
      </w:r>
      <w:r w:rsidR="000073B4" w:rsidRPr="00EB2612">
        <w:t>online</w:t>
      </w:r>
      <w:r w:rsidR="00631D5B">
        <w:t>. Z údajů dále vyplývá, že</w:t>
      </w:r>
      <w:r w:rsidR="003316CE" w:rsidRPr="00EB2612">
        <w:t xml:space="preserve"> </w:t>
      </w:r>
      <w:r w:rsidR="002D22C5" w:rsidRPr="00EB2612">
        <w:t>11</w:t>
      </w:r>
      <w:r w:rsidR="003316CE" w:rsidRPr="00EB2612">
        <w:t xml:space="preserve"> % zvolilo </w:t>
      </w:r>
      <w:r w:rsidRPr="00EB2612">
        <w:t>tištěnou</w:t>
      </w:r>
      <w:r w:rsidR="003316CE" w:rsidRPr="00EB2612">
        <w:t xml:space="preserve"> knihu</w:t>
      </w:r>
      <w:r w:rsidR="00631D5B">
        <w:t>,</w:t>
      </w:r>
      <w:r w:rsidR="003316CE" w:rsidRPr="00EB2612">
        <w:t xml:space="preserve"> </w:t>
      </w:r>
      <w:r w:rsidR="002D22C5" w:rsidRPr="00EB2612">
        <w:t>2</w:t>
      </w:r>
      <w:r w:rsidR="003316CE" w:rsidRPr="00EB2612">
        <w:t xml:space="preserve"> % </w:t>
      </w:r>
      <w:r w:rsidR="002D22C5" w:rsidRPr="00EB2612">
        <w:t>osob si stáhla e-knihu či audioknihu a</w:t>
      </w:r>
      <w:r w:rsidR="00362010">
        <w:t> </w:t>
      </w:r>
      <w:r w:rsidR="002D22C5" w:rsidRPr="00EB2612">
        <w:t>pouze 1</w:t>
      </w:r>
      <w:r w:rsidR="00092D20">
        <w:t> </w:t>
      </w:r>
      <w:r w:rsidR="002D22C5" w:rsidRPr="00EB2612">
        <w:t>% si zakoupilo audioknihu na fyzickém nosiči</w:t>
      </w:r>
      <w:r w:rsidR="000073B4" w:rsidRPr="00EB2612">
        <w:t>.</w:t>
      </w:r>
      <w:r w:rsidR="001670A1" w:rsidRPr="00EB2612">
        <w:t xml:space="preserve"> Ve srovnání s ostatními zeměmi není v Česku stahování e-knih a audioknih příliš rozšířené – Češi jsou v rámci zemí evropské osmadvacítky na osmnáctém místě. Největší podíl osob stahujících audioknihy či e-knihy má Dánsko (19 %) a nejmenší Bulharsko (1 %).</w:t>
      </w:r>
      <w:r w:rsidR="000073B4" w:rsidRPr="00EB2612">
        <w:t xml:space="preserve"> Celková data o nakupování online potvrzují zjištění, že v Čechách čtou více ženy než muži – v roce 2019 si alespoň jednu knihu přes internet zakoupilo 15 % žen a 11 % mužů starších 16 let. Ženy však převažuj</w:t>
      </w:r>
      <w:r w:rsidR="0039617D" w:rsidRPr="00EB2612">
        <w:t>í pouze ve statistikách online nákupu fyzických knih. V rámci online nakupování audioknih či e-knih je podíl žen a mužů vyrovnaný.</w:t>
      </w:r>
    </w:p>
    <w:p w:rsidR="0080031A" w:rsidRPr="00EB2612" w:rsidRDefault="006E1D91" w:rsidP="0080031A">
      <w:pPr>
        <w:pStyle w:val="Titulek"/>
        <w:keepNext/>
        <w:rPr>
          <w:color w:val="auto"/>
          <w:sz w:val="22"/>
          <w:szCs w:val="22"/>
        </w:rPr>
      </w:pPr>
      <w:r>
        <w:rPr>
          <w:color w:val="auto"/>
          <w:sz w:val="22"/>
          <w:szCs w:val="22"/>
        </w:rPr>
        <w:t>Graf 15</w:t>
      </w:r>
      <w:r w:rsidR="0080031A" w:rsidRPr="00EB2612">
        <w:rPr>
          <w:color w:val="auto"/>
          <w:sz w:val="22"/>
          <w:szCs w:val="22"/>
        </w:rPr>
        <w:t xml:space="preserve"> </w:t>
      </w:r>
      <w:r w:rsidR="0080031A" w:rsidRPr="00EB2612">
        <w:rPr>
          <w:b w:val="0"/>
          <w:color w:val="000000" w:themeColor="text1"/>
          <w:sz w:val="22"/>
          <w:szCs w:val="22"/>
        </w:rPr>
        <w:t xml:space="preserve">Podíl </w:t>
      </w:r>
      <w:r w:rsidR="0039617D" w:rsidRPr="00EB2612">
        <w:rPr>
          <w:b w:val="0"/>
          <w:color w:val="000000" w:themeColor="text1"/>
          <w:sz w:val="22"/>
          <w:szCs w:val="22"/>
        </w:rPr>
        <w:t xml:space="preserve">osob </w:t>
      </w:r>
      <w:r w:rsidR="003B43D1">
        <w:rPr>
          <w:b w:val="0"/>
          <w:color w:val="000000" w:themeColor="text1"/>
          <w:sz w:val="22"/>
          <w:szCs w:val="22"/>
        </w:rPr>
        <w:t>ve věku 16 a více let využívajících internet ke koupi tištěných</w:t>
      </w:r>
      <w:r w:rsidR="002D22C5" w:rsidRPr="00EB2612">
        <w:rPr>
          <w:b w:val="0"/>
          <w:color w:val="000000" w:themeColor="text1"/>
          <w:sz w:val="22"/>
          <w:szCs w:val="22"/>
        </w:rPr>
        <w:t xml:space="preserve"> knih, </w:t>
      </w:r>
      <w:r w:rsidR="00376CCE" w:rsidRPr="00EB2612">
        <w:rPr>
          <w:b w:val="0"/>
          <w:color w:val="000000" w:themeColor="text1"/>
          <w:sz w:val="22"/>
          <w:szCs w:val="22"/>
        </w:rPr>
        <w:t>e-knih</w:t>
      </w:r>
      <w:r w:rsidR="002D22C5" w:rsidRPr="00EB2612">
        <w:rPr>
          <w:b w:val="0"/>
          <w:color w:val="000000" w:themeColor="text1"/>
          <w:sz w:val="22"/>
          <w:szCs w:val="22"/>
        </w:rPr>
        <w:t xml:space="preserve"> a audioknih</w:t>
      </w:r>
      <w:r w:rsidR="00376CCE" w:rsidRPr="00EB2612">
        <w:rPr>
          <w:b w:val="0"/>
          <w:color w:val="000000" w:themeColor="text1"/>
          <w:sz w:val="22"/>
          <w:szCs w:val="22"/>
        </w:rPr>
        <w:t xml:space="preserve"> </w:t>
      </w:r>
      <w:r w:rsidR="002D22C5" w:rsidRPr="00EB2612">
        <w:rPr>
          <w:b w:val="0"/>
          <w:color w:val="000000" w:themeColor="text1"/>
          <w:sz w:val="22"/>
          <w:szCs w:val="22"/>
        </w:rPr>
        <w:t>v roce 201</w:t>
      </w:r>
      <w:r w:rsidR="0039617D" w:rsidRPr="00EB2612">
        <w:rPr>
          <w:b w:val="0"/>
          <w:color w:val="000000" w:themeColor="text1"/>
          <w:sz w:val="22"/>
          <w:szCs w:val="22"/>
        </w:rPr>
        <w:t>9,</w:t>
      </w:r>
      <w:r w:rsidR="00376CCE" w:rsidRPr="00EB2612">
        <w:rPr>
          <w:b w:val="0"/>
          <w:color w:val="000000" w:themeColor="text1"/>
          <w:sz w:val="22"/>
          <w:szCs w:val="22"/>
        </w:rPr>
        <w:t xml:space="preserve"> </w:t>
      </w:r>
      <w:r w:rsidR="00C84ABE" w:rsidRPr="00EB2612">
        <w:rPr>
          <w:b w:val="0"/>
          <w:color w:val="000000" w:themeColor="text1"/>
          <w:sz w:val="22"/>
          <w:szCs w:val="22"/>
        </w:rPr>
        <w:t xml:space="preserve">podle </w:t>
      </w:r>
      <w:r w:rsidR="002D22C5" w:rsidRPr="00EB2612">
        <w:rPr>
          <w:b w:val="0"/>
          <w:color w:val="000000" w:themeColor="text1"/>
          <w:sz w:val="22"/>
          <w:szCs w:val="22"/>
        </w:rPr>
        <w:t>pohlaví</w:t>
      </w:r>
    </w:p>
    <w:p w:rsidR="00AA37CA" w:rsidRPr="00EB2612" w:rsidRDefault="00620F58" w:rsidP="00A956B9">
      <w:pPr>
        <w:rPr>
          <w:lang w:eastAsia="en-US"/>
        </w:rPr>
      </w:pPr>
      <w:r w:rsidRPr="00620F58">
        <w:rPr>
          <w:noProof/>
        </w:rPr>
        <w:drawing>
          <wp:inline distT="0" distB="0" distL="0" distR="0">
            <wp:extent cx="5818479" cy="1638605"/>
            <wp:effectExtent l="0" t="0" r="0" b="0"/>
            <wp:docPr id="11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031A" w:rsidRPr="00FA57C0" w:rsidRDefault="0080031A" w:rsidP="0080031A">
      <w:pPr>
        <w:pStyle w:val="Titulek"/>
        <w:rPr>
          <w:b w:val="0"/>
          <w:color w:val="auto"/>
          <w:sz w:val="22"/>
          <w:szCs w:val="22"/>
        </w:rPr>
      </w:pPr>
      <w:r w:rsidRPr="00EB2612">
        <w:rPr>
          <w:b w:val="0"/>
          <w:color w:val="000000" w:themeColor="text1"/>
          <w:sz w:val="22"/>
          <w:szCs w:val="22"/>
        </w:rPr>
        <w:t xml:space="preserve">Zdroj: </w:t>
      </w:r>
      <w:r w:rsidR="00FA57C0" w:rsidRPr="00EB2612">
        <w:rPr>
          <w:b w:val="0"/>
          <w:color w:val="auto"/>
          <w:sz w:val="22"/>
          <w:szCs w:val="22"/>
        </w:rPr>
        <w:t>Výběrové šetření o informačních a komunikačních technologiích, ČSÚ</w:t>
      </w:r>
    </w:p>
    <w:p w:rsidR="00BB64DB" w:rsidRPr="00EB2612" w:rsidRDefault="00BB64DB" w:rsidP="00694914">
      <w:pPr>
        <w:pStyle w:val="Nadpis2"/>
        <w:numPr>
          <w:ilvl w:val="1"/>
          <w:numId w:val="17"/>
        </w:numPr>
      </w:pPr>
      <w:bookmarkStart w:id="40" w:name="_Toc430189797"/>
      <w:bookmarkStart w:id="41" w:name="_Toc463969180"/>
      <w:bookmarkStart w:id="42" w:name="_Toc465253890"/>
      <w:bookmarkStart w:id="43" w:name="_Toc55384428"/>
      <w:r w:rsidRPr="00EB2612">
        <w:lastRenderedPageBreak/>
        <w:t>TISK (PERIODICKÉ PUBLIKACE)</w:t>
      </w:r>
      <w:bookmarkEnd w:id="40"/>
      <w:bookmarkEnd w:id="41"/>
      <w:bookmarkEnd w:id="42"/>
      <w:bookmarkEnd w:id="43"/>
    </w:p>
    <w:p w:rsidR="00BB64DB" w:rsidRPr="00EB2612" w:rsidRDefault="00BB64DB" w:rsidP="00BB64DB">
      <w:r w:rsidRPr="00EB2612">
        <w:t>Také oblast periodického tisku bude v rámci ekonomické an</w:t>
      </w:r>
      <w:r w:rsidR="009B2F33" w:rsidRPr="00EB2612">
        <w:t xml:space="preserve">alýzy omezena pouze na zkoumání </w:t>
      </w:r>
      <w:r w:rsidRPr="00EB2612">
        <w:t>vydavatelů</w:t>
      </w:r>
      <w:r w:rsidR="00BD2F1E" w:rsidRPr="00EB2612">
        <w:t> </w:t>
      </w:r>
      <w:r w:rsidRPr="00EB2612">
        <w:t>a</w:t>
      </w:r>
      <w:r w:rsidR="00BD2F1E" w:rsidRPr="00EB2612">
        <w:t> </w:t>
      </w:r>
      <w:r w:rsidR="009B2F33" w:rsidRPr="00EB2612">
        <w:t xml:space="preserve">maloobchodního prodeje. Údaje o zaměstnanosti a příjmech v oblasti </w:t>
      </w:r>
      <w:r w:rsidR="008E49E1" w:rsidRPr="00EB2612">
        <w:t>tisku</w:t>
      </w:r>
      <w:r w:rsidR="009B2F33" w:rsidRPr="00EB2612">
        <w:t xml:space="preserve"> </w:t>
      </w:r>
      <w:r w:rsidRPr="00EB2612">
        <w:t>vychází</w:t>
      </w:r>
      <w:r w:rsidR="009B2F33" w:rsidRPr="00EB2612">
        <w:t xml:space="preserve"> </w:t>
      </w:r>
      <w:r w:rsidR="001919CC" w:rsidRPr="00EB2612">
        <w:t>z</w:t>
      </w:r>
      <w:r w:rsidR="00BD2F1E" w:rsidRPr="00EB2612">
        <w:t> </w:t>
      </w:r>
      <w:r w:rsidR="001919CC" w:rsidRPr="00EB2612">
        <w:t>Podnikové</w:t>
      </w:r>
      <w:r w:rsidRPr="00EB2612">
        <w:t xml:space="preserve"> strukturální statistik</w:t>
      </w:r>
      <w:r w:rsidR="001919CC" w:rsidRPr="00EB2612">
        <w:t>y</w:t>
      </w:r>
      <w:r w:rsidRPr="00EB2612">
        <w:t xml:space="preserve">. </w:t>
      </w:r>
      <w:r w:rsidR="001919CC" w:rsidRPr="00EB2612">
        <w:t>P</w:t>
      </w:r>
      <w:r w:rsidRPr="00EB2612">
        <w:t>ro analýzu měnícího se spotřebitelského chování</w:t>
      </w:r>
      <w:r w:rsidR="001919CC" w:rsidRPr="00EB2612">
        <w:t xml:space="preserve"> </w:t>
      </w:r>
      <w:r w:rsidR="008E49E1" w:rsidRPr="00EB2612">
        <w:t xml:space="preserve">pak </w:t>
      </w:r>
      <w:r w:rsidR="001919CC" w:rsidRPr="00EB2612">
        <w:t>exis</w:t>
      </w:r>
      <w:r w:rsidR="00BD2F1E" w:rsidRPr="00EB2612">
        <w:t xml:space="preserve">tuje poměrně rozsáhlá </w:t>
      </w:r>
      <w:r w:rsidR="006170FF" w:rsidRPr="00EB2612">
        <w:t>statistika</w:t>
      </w:r>
      <w:r w:rsidR="00BD2F1E" w:rsidRPr="00EB2612">
        <w:t xml:space="preserve"> - n</w:t>
      </w:r>
      <w:r w:rsidR="001919CC" w:rsidRPr="00EB2612">
        <w:t>ávyky spotřebitelů v oblasti periodického tisku</w:t>
      </w:r>
      <w:r w:rsidRPr="00EB2612">
        <w:t xml:space="preserve"> zachycuje jak šetření VŠIT, tak analýzy iniciované Unií vydavatelů.</w:t>
      </w:r>
    </w:p>
    <w:p w:rsidR="00BB64DB" w:rsidRPr="00EB2612" w:rsidRDefault="00B414F8" w:rsidP="00694914">
      <w:pPr>
        <w:pStyle w:val="Nadpis3"/>
        <w:numPr>
          <w:ilvl w:val="2"/>
          <w:numId w:val="17"/>
        </w:numPr>
      </w:pPr>
      <w:bookmarkStart w:id="44" w:name="_Toc430189798"/>
      <w:bookmarkStart w:id="45" w:name="_Toc431475026"/>
      <w:bookmarkStart w:id="46" w:name="_Toc463969181"/>
      <w:bookmarkStart w:id="47" w:name="_Toc465253891"/>
      <w:bookmarkStart w:id="48" w:name="_Toc55384429"/>
      <w:r w:rsidRPr="00EB2612">
        <w:t>PŘÍJMY</w:t>
      </w:r>
      <w:r w:rsidR="00BB64DB" w:rsidRPr="00EB2612">
        <w:t xml:space="preserve"> A ZAMĚSTNANOST</w:t>
      </w:r>
      <w:bookmarkEnd w:id="44"/>
      <w:bookmarkEnd w:id="45"/>
      <w:bookmarkEnd w:id="46"/>
      <w:bookmarkEnd w:id="47"/>
      <w:bookmarkEnd w:id="48"/>
    </w:p>
    <w:p w:rsidR="00BB64DB" w:rsidRPr="00EB2612" w:rsidRDefault="00184C98" w:rsidP="00BB64DB">
      <w:r w:rsidRPr="00EB2612">
        <w:t>C</w:t>
      </w:r>
      <w:r w:rsidR="00114BE5" w:rsidRPr="00EB2612">
        <w:t>elkové příjmy</w:t>
      </w:r>
      <w:r w:rsidR="009B2F33" w:rsidRPr="00EB2612">
        <w:t xml:space="preserve"> </w:t>
      </w:r>
      <w:r w:rsidR="00BB64DB" w:rsidRPr="00EB2612">
        <w:t>vydavatelů</w:t>
      </w:r>
      <w:r w:rsidR="009B2F33" w:rsidRPr="00EB2612">
        <w:t xml:space="preserve"> </w:t>
      </w:r>
      <w:r w:rsidR="00BB64DB" w:rsidRPr="00EB2612">
        <w:t>a</w:t>
      </w:r>
      <w:r w:rsidR="00BD2F1E" w:rsidRPr="00EB2612">
        <w:t> </w:t>
      </w:r>
      <w:r w:rsidR="00BB64DB" w:rsidRPr="00EB2612">
        <w:t>maloobchodu</w:t>
      </w:r>
      <w:r w:rsidRPr="00EB2612">
        <w:t xml:space="preserve"> </w:t>
      </w:r>
      <w:r w:rsidR="006170FF" w:rsidRPr="00EB2612">
        <w:t xml:space="preserve">v oblasti tisku </w:t>
      </w:r>
      <w:r w:rsidR="00BB64DB" w:rsidRPr="00EB2612">
        <w:t>a</w:t>
      </w:r>
      <w:r w:rsidR="00BD2F1E" w:rsidRPr="00EB2612">
        <w:t> </w:t>
      </w:r>
      <w:r w:rsidR="00BB64DB" w:rsidRPr="00EB2612">
        <w:t xml:space="preserve">také samostatný vývoj </w:t>
      </w:r>
      <w:r w:rsidR="00114BE5" w:rsidRPr="00EB2612">
        <w:t>příjmů</w:t>
      </w:r>
      <w:r w:rsidR="00BB64DB" w:rsidRPr="00EB2612">
        <w:t xml:space="preserve"> z maloobchodního prodeje</w:t>
      </w:r>
      <w:r w:rsidR="00121FC7" w:rsidRPr="00EB2612">
        <w:t xml:space="preserve"> zachycuje Graf </w:t>
      </w:r>
      <w:r w:rsidR="003B43D1">
        <w:t>16</w:t>
      </w:r>
      <w:r w:rsidR="001132C6" w:rsidRPr="00EB2612">
        <w:t>. Zatímco</w:t>
      </w:r>
      <w:r w:rsidR="00BB64DB" w:rsidRPr="00EB2612">
        <w:t xml:space="preserve"> </w:t>
      </w:r>
      <w:r w:rsidR="00114BE5" w:rsidRPr="00EB2612">
        <w:t>příjmy</w:t>
      </w:r>
      <w:r w:rsidR="00BB64DB" w:rsidRPr="00EB2612">
        <w:t xml:space="preserve"> vydavatelů</w:t>
      </w:r>
      <w:r w:rsidR="00CB7C6A" w:rsidRPr="00EB2612">
        <w:t xml:space="preserve"> novin </w:t>
      </w:r>
      <w:r w:rsidR="006170FF" w:rsidRPr="00EB2612">
        <w:t>a časopisů mezi lety 2008 a 2015</w:t>
      </w:r>
      <w:r w:rsidR="00BB64DB" w:rsidRPr="00EB2612">
        <w:t xml:space="preserve"> klesaly, m</w:t>
      </w:r>
      <w:r w:rsidR="00C128A0" w:rsidRPr="00EB2612">
        <w:t xml:space="preserve">aloobchod s periodiky v tomto období stagnoval. </w:t>
      </w:r>
      <w:r w:rsidR="00DD22C3" w:rsidRPr="00EB2612">
        <w:t>Mezi lety 2016 a 2018 příjmy kolísaly mezi 21,7. a 23,7 mld. Kč</w:t>
      </w:r>
      <w:r w:rsidR="000343E1" w:rsidRPr="00EB2612">
        <w:t>.</w:t>
      </w:r>
      <w:r w:rsidR="00DD22C3" w:rsidRPr="00EB2612">
        <w:t xml:space="preserve"> Příjmy z maloobchodu se v posledn</w:t>
      </w:r>
      <w:r w:rsidR="003F593B">
        <w:t>ích dvou letech ustálily ve výši</w:t>
      </w:r>
      <w:r w:rsidR="00DD22C3" w:rsidRPr="00EB2612">
        <w:t xml:space="preserve"> kolem 5 mld. Kč.</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1A4BAA" w:rsidRPr="00EB2612">
        <w:rPr>
          <w:color w:val="auto"/>
          <w:sz w:val="22"/>
          <w:szCs w:val="22"/>
        </w:rPr>
        <w:t>1</w:t>
      </w:r>
      <w:r w:rsidR="003B43D1">
        <w:rPr>
          <w:color w:val="auto"/>
          <w:sz w:val="22"/>
          <w:szCs w:val="22"/>
        </w:rPr>
        <w:t>6</w:t>
      </w:r>
      <w:r w:rsidR="002F7B33" w:rsidRPr="00EB2612">
        <w:rPr>
          <w:color w:val="auto"/>
        </w:rPr>
        <w:t xml:space="preserve"> </w:t>
      </w:r>
      <w:r w:rsidR="002B6FCF" w:rsidRPr="00EB2612">
        <w:rPr>
          <w:b w:val="0"/>
          <w:color w:val="auto"/>
          <w:sz w:val="22"/>
          <w:szCs w:val="22"/>
        </w:rPr>
        <w:t>Příjmy</w:t>
      </w:r>
      <w:r w:rsidRPr="00EB2612">
        <w:rPr>
          <w:b w:val="0"/>
          <w:color w:val="auto"/>
          <w:sz w:val="22"/>
          <w:szCs w:val="22"/>
        </w:rPr>
        <w:t xml:space="preserve"> </w:t>
      </w:r>
      <w:r w:rsidR="002130C8" w:rsidRPr="00EB2612">
        <w:rPr>
          <w:b w:val="0"/>
          <w:color w:val="auto"/>
          <w:sz w:val="22"/>
          <w:szCs w:val="22"/>
        </w:rPr>
        <w:t>subjektů</w:t>
      </w:r>
      <w:r w:rsidRPr="00EB2612">
        <w:rPr>
          <w:b w:val="0"/>
          <w:color w:val="auto"/>
          <w:sz w:val="22"/>
          <w:szCs w:val="22"/>
        </w:rPr>
        <w:t xml:space="preserve"> </w:t>
      </w:r>
      <w:r w:rsidR="00171D41" w:rsidRPr="00EB2612">
        <w:rPr>
          <w:b w:val="0"/>
          <w:color w:val="auto"/>
          <w:sz w:val="22"/>
          <w:szCs w:val="22"/>
        </w:rPr>
        <w:t xml:space="preserve">s převažující ekonomickou činností </w:t>
      </w:r>
      <w:r w:rsidRPr="00EB2612">
        <w:rPr>
          <w:b w:val="0"/>
          <w:color w:val="auto"/>
          <w:sz w:val="22"/>
          <w:szCs w:val="22"/>
        </w:rPr>
        <w:t xml:space="preserve">v oblasti </w:t>
      </w:r>
      <w:r w:rsidR="00BD2F1E" w:rsidRPr="00EB2612">
        <w:rPr>
          <w:b w:val="0"/>
          <w:color w:val="auto"/>
          <w:sz w:val="22"/>
          <w:szCs w:val="22"/>
        </w:rPr>
        <w:t xml:space="preserve">(periodického) </w:t>
      </w:r>
      <w:r w:rsidR="00114BE5" w:rsidRPr="00EB2612">
        <w:rPr>
          <w:b w:val="0"/>
          <w:color w:val="auto"/>
          <w:sz w:val="22"/>
          <w:szCs w:val="22"/>
        </w:rPr>
        <w:t>tisku</w:t>
      </w:r>
      <w:r w:rsidRPr="00EB2612">
        <w:rPr>
          <w:b w:val="0"/>
          <w:color w:val="auto"/>
          <w:sz w:val="22"/>
          <w:szCs w:val="22"/>
        </w:rPr>
        <w:t xml:space="preserve"> </w:t>
      </w:r>
      <w:r w:rsidR="002130C8" w:rsidRPr="00EB2612">
        <w:rPr>
          <w:b w:val="0"/>
          <w:color w:val="auto"/>
          <w:sz w:val="22"/>
          <w:szCs w:val="22"/>
        </w:rPr>
        <w:t>(v mld. Kč)</w:t>
      </w:r>
    </w:p>
    <w:p w:rsidR="00BB64DB" w:rsidRPr="00EB2612" w:rsidRDefault="002F2DCA" w:rsidP="00BB64DB">
      <w:pPr>
        <w:rPr>
          <w:b/>
          <w:szCs w:val="20"/>
        </w:rPr>
      </w:pPr>
      <w:r w:rsidRPr="00EB2612">
        <w:rPr>
          <w:b/>
          <w:noProof/>
          <w:szCs w:val="20"/>
        </w:rPr>
        <w:drawing>
          <wp:inline distT="0" distB="0" distL="0" distR="0">
            <wp:extent cx="6029325" cy="1552575"/>
            <wp:effectExtent l="0" t="0" r="0" b="0"/>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130C8" w:rsidRPr="00EB2612" w:rsidRDefault="002130C8" w:rsidP="002130C8">
      <w:pPr>
        <w:pStyle w:val="Titulek"/>
        <w:rPr>
          <w:b w:val="0"/>
          <w:color w:val="000000" w:themeColor="text1"/>
          <w:sz w:val="22"/>
          <w:szCs w:val="22"/>
        </w:rPr>
      </w:pPr>
      <w:r w:rsidRPr="00EB2612">
        <w:rPr>
          <w:b w:val="0"/>
          <w:color w:val="000000" w:themeColor="text1"/>
          <w:sz w:val="22"/>
          <w:szCs w:val="22"/>
        </w:rPr>
        <w:t xml:space="preserve">Zdroj: </w:t>
      </w:r>
      <w:r w:rsidR="00BD2F1E" w:rsidRPr="00EB2612">
        <w:rPr>
          <w:b w:val="0"/>
          <w:color w:val="000000" w:themeColor="text1"/>
          <w:sz w:val="22"/>
          <w:szCs w:val="22"/>
        </w:rPr>
        <w:t xml:space="preserve">Podniková strukturální statistika, </w:t>
      </w:r>
      <w:r w:rsidRPr="00EB2612">
        <w:rPr>
          <w:b w:val="0"/>
          <w:color w:val="000000" w:themeColor="text1"/>
          <w:sz w:val="22"/>
          <w:szCs w:val="22"/>
        </w:rPr>
        <w:t>ČSÚ</w:t>
      </w:r>
    </w:p>
    <w:p w:rsidR="00BB64DB" w:rsidRPr="00EB2612" w:rsidRDefault="00BB64DB" w:rsidP="006170FF">
      <w:pPr>
        <w:tabs>
          <w:tab w:val="left" w:pos="851"/>
        </w:tabs>
      </w:pPr>
      <w:r w:rsidRPr="00EB2612">
        <w:t xml:space="preserve">Objem trhu z hlediska počtu vydaných tištěných </w:t>
      </w:r>
      <w:r w:rsidR="006170FF" w:rsidRPr="00EB2612">
        <w:t>periodik</w:t>
      </w:r>
      <w:r w:rsidRPr="00EB2612">
        <w:t xml:space="preserve"> lze stejně jako u knižního trhu analyzovat vyčerpávajícím způsobem vzhledem k povinnosti vydavatelů zasílat tzv. povinné výtisky Národní knihovně České republiky a </w:t>
      </w:r>
      <w:r w:rsidR="00BD2F1E" w:rsidRPr="00EB2612">
        <w:t>dalším</w:t>
      </w:r>
      <w:r w:rsidRPr="00EB2612">
        <w:t xml:space="preserve"> institucím. Zákon č. 46/2000 Sb., který určuje povinnost vydavatelů zasílat povinné výtisky, se však nevztahuje na elektronické publikace. </w:t>
      </w:r>
      <w:r w:rsidR="00CB7C6A" w:rsidRPr="00EB2612">
        <w:t xml:space="preserve">Jak můžeme vyčíst z Grafu </w:t>
      </w:r>
      <w:r w:rsidR="003B43D1">
        <w:t>17</w:t>
      </w:r>
      <w:r w:rsidRPr="00EB2612">
        <w:t>, počet vydaných tištěných periodik</w:t>
      </w:r>
      <w:r w:rsidR="008E49E1" w:rsidRPr="00EB2612">
        <w:t xml:space="preserve"> </w:t>
      </w:r>
      <w:r w:rsidR="00253EF2" w:rsidRPr="00EB2612">
        <w:t>v posledních letech mírně stoupal z 5 tis</w:t>
      </w:r>
      <w:r w:rsidRPr="00EB2612">
        <w:t>.</w:t>
      </w:r>
      <w:r w:rsidR="00253EF2" w:rsidRPr="00EB2612">
        <w:t xml:space="preserve"> titulů v roce 2012 na 5,5 tis. v roce 2019. </w:t>
      </w:r>
      <w:r w:rsidR="00AC6EE9" w:rsidRPr="00EB2612">
        <w:t>O</w:t>
      </w:r>
      <w:r w:rsidR="00362010">
        <w:t> </w:t>
      </w:r>
      <w:r w:rsidR="00AC6EE9" w:rsidRPr="00EB2612">
        <w:t>mírný nárůst se starají zejména tituly časopisů, zatímco počet vydaných novinových tit</w:t>
      </w:r>
      <w:r w:rsidR="001132C6" w:rsidRPr="00EB2612">
        <w:t>ulů se meziročně příliš nemění a</w:t>
      </w:r>
      <w:r w:rsidR="00AC6EE9" w:rsidRPr="00EB2612">
        <w:t xml:space="preserve"> pohybuje se okolo 1,5 tis</w:t>
      </w:r>
      <w:r w:rsidR="006170FF" w:rsidRPr="00EB2612">
        <w:t>.</w:t>
      </w:r>
    </w:p>
    <w:p w:rsidR="00BB64DB" w:rsidRPr="00EB2612" w:rsidRDefault="00BB64DB" w:rsidP="00BB64DB">
      <w:pPr>
        <w:pStyle w:val="Titulek"/>
        <w:keepNext/>
        <w:rPr>
          <w:color w:val="auto"/>
        </w:rPr>
      </w:pPr>
      <w:r w:rsidRPr="00EB2612">
        <w:rPr>
          <w:color w:val="auto"/>
          <w:sz w:val="22"/>
          <w:szCs w:val="22"/>
        </w:rPr>
        <w:t xml:space="preserve">Graf </w:t>
      </w:r>
      <w:r w:rsidR="001A4BAA" w:rsidRPr="00EB2612">
        <w:rPr>
          <w:color w:val="auto"/>
          <w:sz w:val="22"/>
          <w:szCs w:val="22"/>
        </w:rPr>
        <w:t>1</w:t>
      </w:r>
      <w:r w:rsidR="003B43D1">
        <w:rPr>
          <w:color w:val="auto"/>
          <w:sz w:val="22"/>
          <w:szCs w:val="22"/>
        </w:rPr>
        <w:t>7</w:t>
      </w:r>
      <w:r w:rsidR="002F7B33" w:rsidRPr="00EB2612">
        <w:rPr>
          <w:color w:val="auto"/>
        </w:rPr>
        <w:t xml:space="preserve"> </w:t>
      </w:r>
      <w:r w:rsidR="002B6FCF" w:rsidRPr="00EB2612">
        <w:rPr>
          <w:b w:val="0"/>
          <w:color w:val="auto"/>
          <w:sz w:val="22"/>
          <w:szCs w:val="22"/>
        </w:rPr>
        <w:t>Počet</w:t>
      </w:r>
      <w:r w:rsidRPr="00EB2612">
        <w:rPr>
          <w:b w:val="0"/>
          <w:color w:val="auto"/>
          <w:sz w:val="22"/>
          <w:szCs w:val="22"/>
        </w:rPr>
        <w:t xml:space="preserve"> vydaných</w:t>
      </w:r>
      <w:r w:rsidR="008E49E1" w:rsidRPr="00EB2612">
        <w:rPr>
          <w:b w:val="0"/>
          <w:color w:val="auto"/>
          <w:sz w:val="22"/>
          <w:szCs w:val="22"/>
        </w:rPr>
        <w:t xml:space="preserve"> tištěných</w:t>
      </w:r>
      <w:r w:rsidRPr="00EB2612">
        <w:rPr>
          <w:b w:val="0"/>
          <w:color w:val="auto"/>
          <w:sz w:val="22"/>
          <w:szCs w:val="22"/>
        </w:rPr>
        <w:t xml:space="preserve"> </w:t>
      </w:r>
      <w:r w:rsidR="006170FF" w:rsidRPr="00EB2612">
        <w:rPr>
          <w:b w:val="0"/>
          <w:color w:val="auto"/>
          <w:sz w:val="22"/>
          <w:szCs w:val="22"/>
        </w:rPr>
        <w:t>periodik</w:t>
      </w:r>
      <w:r w:rsidRPr="00EB2612">
        <w:rPr>
          <w:b w:val="0"/>
          <w:color w:val="auto"/>
          <w:sz w:val="22"/>
          <w:szCs w:val="22"/>
        </w:rPr>
        <w:t xml:space="preserve"> </w:t>
      </w:r>
      <w:r w:rsidR="004C05A9" w:rsidRPr="00EB2612">
        <w:rPr>
          <w:b w:val="0"/>
          <w:color w:val="auto"/>
          <w:sz w:val="22"/>
          <w:szCs w:val="22"/>
        </w:rPr>
        <w:t>(v tis. titulů)</w:t>
      </w:r>
    </w:p>
    <w:p w:rsidR="00BB64DB" w:rsidRPr="00EB2612" w:rsidRDefault="00C716DF" w:rsidP="00BB64DB">
      <w:pPr>
        <w:keepNext/>
      </w:pPr>
      <w:r w:rsidRPr="00EB2612">
        <w:rPr>
          <w:noProof/>
        </w:rPr>
        <w:drawing>
          <wp:inline distT="0" distB="0" distL="0" distR="0">
            <wp:extent cx="6124575" cy="1447800"/>
            <wp:effectExtent l="0" t="0" r="0" b="0"/>
            <wp:docPr id="31"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Zdroj: NIPOS</w:t>
      </w:r>
    </w:p>
    <w:p w:rsidR="00BB64DB" w:rsidRPr="00EB2612" w:rsidRDefault="00BB64DB" w:rsidP="00BB64DB">
      <w:r w:rsidRPr="00EB2612">
        <w:lastRenderedPageBreak/>
        <w:t xml:space="preserve">Z hlediska vývoje počtu </w:t>
      </w:r>
      <w:r w:rsidR="004C05A9" w:rsidRPr="00EB2612">
        <w:t>zaměstnanců</w:t>
      </w:r>
      <w:r w:rsidRPr="00EB2612">
        <w:t xml:space="preserve"> jsou</w:t>
      </w:r>
      <w:r w:rsidR="00425125" w:rsidRPr="00EB2612">
        <w:t xml:space="preserve"> patrné odlišné trendy</w:t>
      </w:r>
      <w:r w:rsidRPr="00EB2612">
        <w:t xml:space="preserve"> </w:t>
      </w:r>
      <w:r w:rsidR="00425125" w:rsidRPr="00EB2612">
        <w:t xml:space="preserve">pro oblast </w:t>
      </w:r>
      <w:r w:rsidRPr="00EB2612">
        <w:t xml:space="preserve">vydávání novin a </w:t>
      </w:r>
      <w:r w:rsidR="00425125" w:rsidRPr="00EB2612">
        <w:t>pro oblast vydávání časopisů</w:t>
      </w:r>
      <w:r w:rsidR="00756AF1" w:rsidRPr="00EB2612">
        <w:t xml:space="preserve">. Jak ukazuje Graf </w:t>
      </w:r>
      <w:r w:rsidR="003B43D1">
        <w:t>18</w:t>
      </w:r>
      <w:r w:rsidRPr="00EB2612">
        <w:t xml:space="preserve">, </w:t>
      </w:r>
      <w:r w:rsidR="004C05A9" w:rsidRPr="00EB2612">
        <w:t xml:space="preserve">počet zaměstnanců </w:t>
      </w:r>
      <w:r w:rsidRPr="00EB2612">
        <w:t xml:space="preserve">v oblasti vydávání novin </w:t>
      </w:r>
      <w:r w:rsidR="000C5653" w:rsidRPr="00EB2612">
        <w:t xml:space="preserve">se od roku 2007 kontinuálně propadal až </w:t>
      </w:r>
      <w:r w:rsidR="00195E7C" w:rsidRPr="00EB2612">
        <w:t>do roku</w:t>
      </w:r>
      <w:r w:rsidR="003254A1" w:rsidRPr="00EB2612">
        <w:t xml:space="preserve"> 2013 a</w:t>
      </w:r>
      <w:r w:rsidR="000C5653" w:rsidRPr="00EB2612">
        <w:t xml:space="preserve"> </w:t>
      </w:r>
      <w:r w:rsidR="003D10BF" w:rsidRPr="00EB2612">
        <w:t>v následujících 5</w:t>
      </w:r>
      <w:r w:rsidR="00195E7C" w:rsidRPr="00EB2612">
        <w:t xml:space="preserve"> letech pak</w:t>
      </w:r>
      <w:r w:rsidR="000C5653" w:rsidRPr="00EB2612">
        <w:t xml:space="preserve"> zaznamenal mírný nárůst</w:t>
      </w:r>
      <w:r w:rsidR="003D10BF" w:rsidRPr="00EB2612">
        <w:t xml:space="preserve"> z 3,3 tis. na 3,5</w:t>
      </w:r>
      <w:r w:rsidR="00CC15C7" w:rsidRPr="00EB2612">
        <w:t> </w:t>
      </w:r>
      <w:r w:rsidR="003254A1" w:rsidRPr="00EB2612">
        <w:t>tis. zaměstnanců</w:t>
      </w:r>
      <w:r w:rsidR="000C5653" w:rsidRPr="00EB2612">
        <w:t>.</w:t>
      </w:r>
      <w:r w:rsidRPr="00EB2612">
        <w:t xml:space="preserve"> </w:t>
      </w:r>
      <w:r w:rsidR="000C5653" w:rsidRPr="00EB2612">
        <w:t>P</w:t>
      </w:r>
      <w:r w:rsidR="004C05A9" w:rsidRPr="00EB2612">
        <w:t>očet zaměstnanců</w:t>
      </w:r>
      <w:r w:rsidRPr="00EB2612">
        <w:t xml:space="preserve"> v oblasti vydávání časopisů se mezi lety </w:t>
      </w:r>
      <w:r w:rsidR="004C05A9" w:rsidRPr="00EB2612">
        <w:t xml:space="preserve">2007 a 2013 </w:t>
      </w:r>
      <w:r w:rsidR="00661E15" w:rsidRPr="00EB2612">
        <w:t>pohyboval</w:t>
      </w:r>
      <w:r w:rsidR="00393CDB" w:rsidRPr="00EB2612">
        <w:t xml:space="preserve"> v hodnotách přepočtených na plné pracovní úvazky </w:t>
      </w:r>
      <w:r w:rsidR="001132C6" w:rsidRPr="00EB2612">
        <w:t>mezi 3 a 4 tis.</w:t>
      </w:r>
      <w:r w:rsidRPr="00EB2612">
        <w:t xml:space="preserve"> zaměstnanců</w:t>
      </w:r>
      <w:r w:rsidR="008C2DDF" w:rsidRPr="00EB2612">
        <w:t xml:space="preserve"> a</w:t>
      </w:r>
      <w:r w:rsidR="000C5653" w:rsidRPr="00EB2612">
        <w:t xml:space="preserve"> </w:t>
      </w:r>
      <w:r w:rsidR="008C2DDF" w:rsidRPr="00EB2612">
        <w:t>během let</w:t>
      </w:r>
      <w:r w:rsidR="000A344D" w:rsidRPr="00EB2612">
        <w:t xml:space="preserve"> 2013</w:t>
      </w:r>
      <w:r w:rsidR="003D10BF" w:rsidRPr="00EB2612">
        <w:t xml:space="preserve"> a 2018</w:t>
      </w:r>
      <w:r w:rsidR="001C4A1B" w:rsidRPr="00EB2612">
        <w:t xml:space="preserve"> </w:t>
      </w:r>
      <w:r w:rsidR="008C2DDF" w:rsidRPr="00EB2612">
        <w:t xml:space="preserve">pak </w:t>
      </w:r>
      <w:r w:rsidR="000343E1" w:rsidRPr="00EB2612">
        <w:t>klesl na 2,3</w:t>
      </w:r>
      <w:r w:rsidR="003254A1" w:rsidRPr="00EB2612">
        <w:t xml:space="preserve"> tis. zaměstnanců.</w:t>
      </w:r>
      <w:r w:rsidR="001B721C" w:rsidRPr="00EB2612">
        <w:t xml:space="preserve"> </w:t>
      </w:r>
      <w:r w:rsidR="001B5EAE" w:rsidRPr="00EB2612">
        <w:t>Celková zaměstnanost maloobchodu</w:t>
      </w:r>
      <w:r w:rsidR="00282CCA" w:rsidRPr="00EB2612">
        <w:t> </w:t>
      </w:r>
      <w:r w:rsidR="001B5EAE" w:rsidRPr="00EB2612">
        <w:t>a</w:t>
      </w:r>
      <w:r w:rsidR="00282CCA" w:rsidRPr="00EB2612">
        <w:t> </w:t>
      </w:r>
      <w:r w:rsidR="001B5EAE" w:rsidRPr="00EB2612">
        <w:t>vydavatelů v obla</w:t>
      </w:r>
      <w:r w:rsidR="003D10BF" w:rsidRPr="00EB2612">
        <w:t xml:space="preserve">sti tisku dosahovala v roce 2018 </w:t>
      </w:r>
      <w:r w:rsidR="00864085">
        <w:t xml:space="preserve">přibližně </w:t>
      </w:r>
      <w:r w:rsidR="003D10BF" w:rsidRPr="00EB2612">
        <w:t>7</w:t>
      </w:r>
      <w:r w:rsidR="001B5EAE" w:rsidRPr="00EB2612">
        <w:t xml:space="preserve"> tis. zaměstnanců na plný pracovní úvazek.</w:t>
      </w:r>
      <w:r w:rsidR="001C4A1B" w:rsidRPr="00EB2612">
        <w:t xml:space="preserve"> </w:t>
      </w:r>
    </w:p>
    <w:p w:rsidR="00BB64DB" w:rsidRPr="00EB2612" w:rsidRDefault="00BB64DB" w:rsidP="00BB64DB">
      <w:pPr>
        <w:pStyle w:val="Titulek"/>
        <w:keepNext/>
      </w:pPr>
      <w:r w:rsidRPr="00EB2612">
        <w:rPr>
          <w:color w:val="auto"/>
          <w:sz w:val="22"/>
          <w:szCs w:val="22"/>
        </w:rPr>
        <w:t xml:space="preserve">Graf </w:t>
      </w:r>
      <w:r w:rsidR="003B43D1">
        <w:rPr>
          <w:color w:val="auto"/>
          <w:sz w:val="22"/>
          <w:szCs w:val="22"/>
        </w:rPr>
        <w:t>18</w:t>
      </w:r>
      <w:r w:rsidR="002F7B33" w:rsidRPr="00EB2612">
        <w:rPr>
          <w:color w:val="auto"/>
        </w:rPr>
        <w:t xml:space="preserve"> </w:t>
      </w:r>
      <w:r w:rsidR="002B6FCF" w:rsidRPr="00EB2612">
        <w:rPr>
          <w:b w:val="0"/>
          <w:color w:val="auto"/>
          <w:sz w:val="22"/>
          <w:szCs w:val="22"/>
        </w:rPr>
        <w:t>P</w:t>
      </w:r>
      <w:r w:rsidR="002B6FCF" w:rsidRPr="00EB2612">
        <w:rPr>
          <w:b w:val="0"/>
          <w:color w:val="000000" w:themeColor="text1"/>
          <w:sz w:val="22"/>
          <w:szCs w:val="22"/>
        </w:rPr>
        <w:t>očet</w:t>
      </w:r>
      <w:r w:rsidR="00C30C52" w:rsidRPr="00EB2612">
        <w:rPr>
          <w:b w:val="0"/>
          <w:color w:val="000000" w:themeColor="text1"/>
          <w:sz w:val="22"/>
          <w:szCs w:val="22"/>
        </w:rPr>
        <w:t xml:space="preserve"> zaměstnanců v oblasti </w:t>
      </w:r>
      <w:r w:rsidR="001B5EAE" w:rsidRPr="00EB2612">
        <w:rPr>
          <w:b w:val="0"/>
          <w:color w:val="000000" w:themeColor="text1"/>
          <w:sz w:val="22"/>
          <w:szCs w:val="22"/>
        </w:rPr>
        <w:t>tisku</w:t>
      </w:r>
      <w:r w:rsidR="00C30C52" w:rsidRPr="00EB2612">
        <w:rPr>
          <w:b w:val="0"/>
          <w:color w:val="000000" w:themeColor="text1"/>
          <w:sz w:val="22"/>
          <w:szCs w:val="22"/>
        </w:rPr>
        <w:t xml:space="preserve"> (v tis. osob, přepočteno na </w:t>
      </w:r>
      <w:r w:rsidR="0044303F" w:rsidRPr="00EB2612">
        <w:rPr>
          <w:b w:val="0"/>
          <w:color w:val="000000" w:themeColor="text1"/>
          <w:sz w:val="22"/>
          <w:szCs w:val="22"/>
        </w:rPr>
        <w:t xml:space="preserve">plné prac. </w:t>
      </w:r>
      <w:proofErr w:type="gramStart"/>
      <w:r w:rsidR="0044303F" w:rsidRPr="00EB2612">
        <w:rPr>
          <w:b w:val="0"/>
          <w:color w:val="000000" w:themeColor="text1"/>
          <w:sz w:val="22"/>
          <w:szCs w:val="22"/>
        </w:rPr>
        <w:t>úvazky</w:t>
      </w:r>
      <w:proofErr w:type="gramEnd"/>
      <w:r w:rsidR="00C30C52" w:rsidRPr="00EB2612">
        <w:rPr>
          <w:b w:val="0"/>
          <w:color w:val="000000" w:themeColor="text1"/>
          <w:sz w:val="22"/>
          <w:szCs w:val="22"/>
        </w:rPr>
        <w:t>)</w:t>
      </w:r>
    </w:p>
    <w:p w:rsidR="00BB64DB" w:rsidRPr="00EB2612" w:rsidRDefault="00DD22C3" w:rsidP="00BB64DB">
      <w:pPr>
        <w:keepNext/>
      </w:pPr>
      <w:r w:rsidRPr="00EB2612">
        <w:rPr>
          <w:noProof/>
        </w:rPr>
        <w:drawing>
          <wp:inline distT="0" distB="0" distL="0" distR="0">
            <wp:extent cx="6029325" cy="2200275"/>
            <wp:effectExtent l="0" t="0" r="0" b="0"/>
            <wp:docPr id="3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2A0381" w:rsidRPr="00EB2612">
        <w:rPr>
          <w:b w:val="0"/>
          <w:color w:val="auto"/>
          <w:sz w:val="22"/>
          <w:szCs w:val="22"/>
        </w:rPr>
        <w:t xml:space="preserve">Podniková strukturální statistika, </w:t>
      </w:r>
      <w:r w:rsidRPr="00EB2612">
        <w:rPr>
          <w:b w:val="0"/>
          <w:color w:val="auto"/>
          <w:sz w:val="22"/>
          <w:szCs w:val="22"/>
        </w:rPr>
        <w:t>ČSÚ</w:t>
      </w:r>
    </w:p>
    <w:p w:rsidR="00FC2A28" w:rsidRPr="00EB2612" w:rsidRDefault="00501567" w:rsidP="00FC2A28">
      <w:pPr>
        <w:rPr>
          <w:lang w:eastAsia="en-US"/>
        </w:rPr>
      </w:pPr>
      <w:r w:rsidRPr="00EB2612">
        <w:rPr>
          <w:lang w:eastAsia="en-US"/>
        </w:rPr>
        <w:t>Současná pandemie</w:t>
      </w:r>
      <w:r w:rsidR="003F2BD8">
        <w:rPr>
          <w:lang w:eastAsia="en-US"/>
        </w:rPr>
        <w:t xml:space="preserve"> </w:t>
      </w:r>
      <w:r w:rsidR="00FC2A28" w:rsidRPr="00EB2612">
        <w:rPr>
          <w:lang w:eastAsia="en-US"/>
        </w:rPr>
        <w:t xml:space="preserve">onemocnění COVID-19 </w:t>
      </w:r>
      <w:r w:rsidRPr="00EB2612">
        <w:rPr>
          <w:lang w:eastAsia="en-US"/>
        </w:rPr>
        <w:t>se promítla</w:t>
      </w:r>
      <w:r w:rsidR="00FC2A28" w:rsidRPr="00EB2612">
        <w:rPr>
          <w:lang w:eastAsia="en-US"/>
        </w:rPr>
        <w:t xml:space="preserve"> </w:t>
      </w:r>
      <w:r w:rsidRPr="00EB2612">
        <w:rPr>
          <w:lang w:eastAsia="en-US"/>
        </w:rPr>
        <w:t xml:space="preserve">do oblasti tisku </w:t>
      </w:r>
      <w:r w:rsidR="00FC2A28" w:rsidRPr="00EB2612">
        <w:rPr>
          <w:lang w:eastAsia="en-US"/>
        </w:rPr>
        <w:t xml:space="preserve">podle dat z výzkumného </w:t>
      </w:r>
      <w:r w:rsidRPr="00EB2612">
        <w:rPr>
          <w:lang w:eastAsia="en-US"/>
        </w:rPr>
        <w:t xml:space="preserve">projektu MEDIA PROJEKT zejména v </w:t>
      </w:r>
      <w:r w:rsidR="003F593B" w:rsidRPr="00EB2612">
        <w:rPr>
          <w:lang w:eastAsia="en-US"/>
        </w:rPr>
        <w:t>úbytku</w:t>
      </w:r>
      <w:r w:rsidR="00870D69" w:rsidRPr="00EB2612">
        <w:rPr>
          <w:lang w:eastAsia="en-US"/>
        </w:rPr>
        <w:t xml:space="preserve"> inzerce a snížení prodaného nákladu deníků a časopisů. Vývoj hrubých inzertních příjmů</w:t>
      </w:r>
      <w:r w:rsidRPr="00EB2612">
        <w:rPr>
          <w:lang w:eastAsia="en-US"/>
        </w:rPr>
        <w:t xml:space="preserve"> subjektů</w:t>
      </w:r>
      <w:r w:rsidR="00870D69" w:rsidRPr="00EB2612">
        <w:rPr>
          <w:lang w:eastAsia="en-US"/>
        </w:rPr>
        <w:t xml:space="preserve"> </w:t>
      </w:r>
      <w:r w:rsidRPr="00EB2612">
        <w:rPr>
          <w:lang w:eastAsia="en-US"/>
        </w:rPr>
        <w:t xml:space="preserve">působících </w:t>
      </w:r>
      <w:r w:rsidR="00870D69" w:rsidRPr="00EB2612">
        <w:rPr>
          <w:lang w:eastAsia="en-US"/>
        </w:rPr>
        <w:t xml:space="preserve">na českém trhu s tiskem v období březen až červen 2020 ve srovnání s předchozím rokem </w:t>
      </w:r>
      <w:r w:rsidR="00870D69" w:rsidRPr="003B43D1">
        <w:rPr>
          <w:lang w:eastAsia="en-US"/>
        </w:rPr>
        <w:t xml:space="preserve">zachycuje Graf </w:t>
      </w:r>
      <w:r w:rsidR="003B43D1" w:rsidRPr="003B43D1">
        <w:rPr>
          <w:lang w:eastAsia="en-US"/>
        </w:rPr>
        <w:t>19</w:t>
      </w:r>
      <w:r w:rsidR="00870D69" w:rsidRPr="003B43D1">
        <w:rPr>
          <w:lang w:eastAsia="en-US"/>
        </w:rPr>
        <w:t>.</w:t>
      </w:r>
      <w:r w:rsidR="00870D69" w:rsidRPr="00EB2612">
        <w:rPr>
          <w:lang w:eastAsia="en-US"/>
        </w:rPr>
        <w:t xml:space="preserve"> Z grafu je patrné, že největší úbytek příjmů z inzerce zaznamenala česká tištěná periodika </w:t>
      </w:r>
      <w:r w:rsidRPr="00EB2612">
        <w:rPr>
          <w:lang w:eastAsia="en-US"/>
        </w:rPr>
        <w:t xml:space="preserve">v jarních měsících dubnu a květnu </w:t>
      </w:r>
      <w:r w:rsidR="00870D69" w:rsidRPr="00EB2612">
        <w:rPr>
          <w:lang w:eastAsia="en-US"/>
        </w:rPr>
        <w:t xml:space="preserve">– v dubnu klesly příjmy z inzerce oproti předchozímu roku o 34 </w:t>
      </w:r>
      <w:r w:rsidR="00870D69" w:rsidRPr="00EB2612">
        <w:t>% a v květnu dokonce o necelých 40 %. V měsících dubnu a květnu klesly také celkové pr</w:t>
      </w:r>
      <w:r w:rsidR="00051988" w:rsidRPr="00EB2612">
        <w:t>o</w:t>
      </w:r>
      <w:r w:rsidR="00870D69" w:rsidRPr="00EB2612">
        <w:t>dané náklady deníků (o 22 % v dubnu a</w:t>
      </w:r>
      <w:r w:rsidR="00051988" w:rsidRPr="00EB2612">
        <w:t xml:space="preserve"> 20 %</w:t>
      </w:r>
      <w:r w:rsidR="00870D69" w:rsidRPr="00EB2612">
        <w:t xml:space="preserve"> </w:t>
      </w:r>
      <w:r w:rsidR="00051988" w:rsidRPr="00EB2612">
        <w:t>v </w:t>
      </w:r>
      <w:r w:rsidR="003F593B" w:rsidRPr="00EB2612">
        <w:t>květnu)</w:t>
      </w:r>
      <w:r w:rsidR="003F593B" w:rsidRPr="00EB2612">
        <w:rPr>
          <w:lang w:eastAsia="en-US"/>
        </w:rPr>
        <w:t xml:space="preserve"> a časopisů</w:t>
      </w:r>
      <w:r w:rsidR="00051988" w:rsidRPr="00EB2612">
        <w:rPr>
          <w:lang w:eastAsia="en-US"/>
        </w:rPr>
        <w:t xml:space="preserve"> (o 12 </w:t>
      </w:r>
      <w:r w:rsidR="00051988" w:rsidRPr="00EB2612">
        <w:t>% v dubnu a 13 % v květnu) (MEDIA PROJEKT, 2020</w:t>
      </w:r>
      <w:r w:rsidR="00115B4A" w:rsidRPr="00EB2612">
        <w:t>).</w:t>
      </w:r>
    </w:p>
    <w:p w:rsidR="00FC2A28" w:rsidRPr="00EB2612" w:rsidRDefault="00FC2A28" w:rsidP="00FC2A28">
      <w:pPr>
        <w:pStyle w:val="Titulek"/>
        <w:keepNext/>
        <w:rPr>
          <w:b w:val="0"/>
          <w:color w:val="auto"/>
          <w:sz w:val="22"/>
          <w:szCs w:val="22"/>
        </w:rPr>
      </w:pPr>
      <w:r w:rsidRPr="003B43D1">
        <w:rPr>
          <w:color w:val="auto"/>
          <w:sz w:val="22"/>
          <w:szCs w:val="22"/>
        </w:rPr>
        <w:t xml:space="preserve">Graf </w:t>
      </w:r>
      <w:r w:rsidR="003B43D1" w:rsidRPr="003B43D1">
        <w:rPr>
          <w:color w:val="auto"/>
          <w:sz w:val="22"/>
          <w:szCs w:val="22"/>
        </w:rPr>
        <w:t>19</w:t>
      </w:r>
      <w:r w:rsidRPr="003B43D1">
        <w:rPr>
          <w:b w:val="0"/>
          <w:color w:val="auto"/>
          <w:sz w:val="22"/>
          <w:szCs w:val="22"/>
        </w:rPr>
        <w:t xml:space="preserve"> </w:t>
      </w:r>
      <w:r w:rsidR="00162937">
        <w:rPr>
          <w:b w:val="0"/>
          <w:color w:val="auto"/>
          <w:sz w:val="22"/>
          <w:szCs w:val="22"/>
        </w:rPr>
        <w:t>H</w:t>
      </w:r>
      <w:r w:rsidRPr="003B43D1">
        <w:rPr>
          <w:b w:val="0"/>
          <w:color w:val="auto"/>
          <w:sz w:val="22"/>
          <w:szCs w:val="22"/>
        </w:rPr>
        <w:t>rub</w:t>
      </w:r>
      <w:r w:rsidR="00162937">
        <w:rPr>
          <w:b w:val="0"/>
          <w:color w:val="auto"/>
          <w:sz w:val="22"/>
          <w:szCs w:val="22"/>
        </w:rPr>
        <w:t>é</w:t>
      </w:r>
      <w:r w:rsidRPr="00EB2612">
        <w:rPr>
          <w:b w:val="0"/>
          <w:color w:val="auto"/>
          <w:sz w:val="22"/>
          <w:szCs w:val="22"/>
        </w:rPr>
        <w:t xml:space="preserve"> inzertní příjm</w:t>
      </w:r>
      <w:r w:rsidR="00162937">
        <w:rPr>
          <w:b w:val="0"/>
          <w:color w:val="auto"/>
          <w:sz w:val="22"/>
          <w:szCs w:val="22"/>
        </w:rPr>
        <w:t>y</w:t>
      </w:r>
      <w:r w:rsidR="00870D69" w:rsidRPr="00EB2612">
        <w:rPr>
          <w:b w:val="0"/>
          <w:color w:val="auto"/>
          <w:sz w:val="22"/>
          <w:szCs w:val="22"/>
        </w:rPr>
        <w:t xml:space="preserve"> v oblasti</w:t>
      </w:r>
      <w:r w:rsidRPr="00EB2612">
        <w:rPr>
          <w:b w:val="0"/>
          <w:color w:val="auto"/>
          <w:sz w:val="22"/>
          <w:szCs w:val="22"/>
        </w:rPr>
        <w:t xml:space="preserve"> tisku </w:t>
      </w:r>
      <w:r w:rsidR="00162937">
        <w:rPr>
          <w:b w:val="0"/>
          <w:color w:val="auto"/>
          <w:sz w:val="22"/>
          <w:szCs w:val="22"/>
        </w:rPr>
        <w:t xml:space="preserve">v měsících duben až červen 2019 a 2020 </w:t>
      </w:r>
      <w:r w:rsidRPr="00EB2612">
        <w:rPr>
          <w:b w:val="0"/>
          <w:color w:val="auto"/>
          <w:sz w:val="22"/>
          <w:szCs w:val="22"/>
        </w:rPr>
        <w:t>v mld. Kč</w:t>
      </w:r>
    </w:p>
    <w:p w:rsidR="00253EF2" w:rsidRPr="00EB2612" w:rsidRDefault="003F2BD8" w:rsidP="00253EF2">
      <w:pPr>
        <w:rPr>
          <w:lang w:eastAsia="en-US"/>
        </w:rPr>
      </w:pPr>
      <w:r w:rsidRPr="003F2BD8">
        <w:rPr>
          <w:noProof/>
        </w:rPr>
        <w:drawing>
          <wp:inline distT="0" distB="0" distL="0" distR="0">
            <wp:extent cx="5730697" cy="1770279"/>
            <wp:effectExtent l="0" t="0" r="0" b="0"/>
            <wp:docPr id="11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C2A28" w:rsidRPr="00EB2612" w:rsidRDefault="00FC2A28" w:rsidP="00253EF2">
      <w:pPr>
        <w:rPr>
          <w:lang w:eastAsia="en-US"/>
        </w:rPr>
      </w:pPr>
      <w:r w:rsidRPr="00EB2612">
        <w:rPr>
          <w:lang w:eastAsia="en-US"/>
        </w:rPr>
        <w:t>Zdroj: MEDIA PROJEKT, 2020</w:t>
      </w:r>
    </w:p>
    <w:p w:rsidR="00115B4A" w:rsidRPr="00EB2612" w:rsidRDefault="00115B4A" w:rsidP="00253EF2">
      <w:pPr>
        <w:rPr>
          <w:lang w:eastAsia="en-US"/>
        </w:rPr>
      </w:pPr>
      <w:r w:rsidRPr="00EB2612">
        <w:lastRenderedPageBreak/>
        <w:t>Omezení volného pohybu osob v souvislosti s pandemií mělo</w:t>
      </w:r>
      <w:r w:rsidR="00501567" w:rsidRPr="00EB2612">
        <w:t xml:space="preserve"> i pozitivní efekt. Ten se u některých periodik projevil</w:t>
      </w:r>
      <w:r w:rsidRPr="00EB2612">
        <w:t xml:space="preserve"> </w:t>
      </w:r>
      <w:r w:rsidR="00501567" w:rsidRPr="00EB2612">
        <w:t>na</w:t>
      </w:r>
      <w:r w:rsidRPr="00EB2612">
        <w:t xml:space="preserve"> růst</w:t>
      </w:r>
      <w:r w:rsidR="00501567" w:rsidRPr="00EB2612">
        <w:t>u</w:t>
      </w:r>
      <w:r w:rsidRPr="00EB2612">
        <w:t xml:space="preserve"> počtu online předplatitelů. Rekordní nárůst předplatitelů digitálního obsahu zaznamenal v době pandemie např. New York Times, který v druhém čtvrtletí roku 2020 hlásil 50% nárůst oproti stejnému období v předchozím roce</w:t>
      </w:r>
      <w:r w:rsidR="002358E7" w:rsidRPr="00EB2612">
        <w:t xml:space="preserve"> (FIPP, 2020)</w:t>
      </w:r>
      <w:r w:rsidRPr="00EB2612">
        <w:t>. Na českém trhu se také některým médiím (ať už deníkům či týdeníkům)</w:t>
      </w:r>
      <w:r w:rsidR="00501567" w:rsidRPr="00EB2612">
        <w:t xml:space="preserve"> dařilo</w:t>
      </w:r>
      <w:r w:rsidRPr="00EB2612">
        <w:t xml:space="preserve"> navýšit počet předplatitelů digitálního obsahu. </w:t>
      </w:r>
      <w:r w:rsidR="00501567" w:rsidRPr="00EB2612">
        <w:t>P</w:t>
      </w:r>
      <w:r w:rsidR="007F214A" w:rsidRPr="00EB2612">
        <w:t xml:space="preserve">odle údajů společnosti ABC ČR </w:t>
      </w:r>
      <w:r w:rsidR="00501567" w:rsidRPr="00EB2612">
        <w:t xml:space="preserve">za květen 2020 vzrostl počet předplatitelů digitálního obsahu oproti květnu předchozího roku ve větší míře např. </w:t>
      </w:r>
      <w:r w:rsidR="007F214A" w:rsidRPr="00EB2612">
        <w:t>deníku MF DNES a týden</w:t>
      </w:r>
      <w:r w:rsidR="002358E7" w:rsidRPr="00EB2612">
        <w:t>ík</w:t>
      </w:r>
      <w:r w:rsidR="007F214A" w:rsidRPr="00EB2612">
        <w:t xml:space="preserve">u Respekt – obě periodika navýšili oproti stejnému období v předchozím roce počet předplatitelů digitálního obsahu takřka dvojnásobně. </w:t>
      </w:r>
      <w:r w:rsidR="003F593B" w:rsidRPr="00EB2612">
        <w:t>Předplatitelé</w:t>
      </w:r>
      <w:r w:rsidR="007F214A" w:rsidRPr="00EB2612">
        <w:t xml:space="preserve"> digitální verze časopisů či novin také často získávají přístup k </w:t>
      </w:r>
      <w:r w:rsidR="002358E7" w:rsidRPr="00EB2612">
        <w:t>exkluz</w:t>
      </w:r>
      <w:r w:rsidR="007F214A" w:rsidRPr="00EB2612">
        <w:t>ivnímu materiálu na webových stránkách a rozdíly v periodicitě se tak pomalu vytrácejí.</w:t>
      </w:r>
    </w:p>
    <w:p w:rsidR="00BB64DB" w:rsidRPr="00EB2612" w:rsidRDefault="00BB64DB" w:rsidP="00694914">
      <w:pPr>
        <w:pStyle w:val="Nadpis3"/>
        <w:numPr>
          <w:ilvl w:val="2"/>
          <w:numId w:val="17"/>
        </w:numPr>
      </w:pPr>
      <w:bookmarkStart w:id="49" w:name="_Toc430189799"/>
      <w:bookmarkStart w:id="50" w:name="_Toc431475027"/>
      <w:bookmarkStart w:id="51" w:name="_Toc463969182"/>
      <w:bookmarkStart w:id="52" w:name="_Toc465253892"/>
      <w:bookmarkStart w:id="53" w:name="_Toc55384430"/>
      <w:r w:rsidRPr="00EB2612">
        <w:t>POHLED SPOTŘEBITELE</w:t>
      </w:r>
      <w:bookmarkEnd w:id="49"/>
      <w:bookmarkEnd w:id="50"/>
      <w:bookmarkEnd w:id="51"/>
      <w:bookmarkEnd w:id="52"/>
      <w:bookmarkEnd w:id="53"/>
    </w:p>
    <w:p w:rsidR="00BB64DB" w:rsidRPr="00EB2612" w:rsidRDefault="00BB64DB" w:rsidP="00BB64DB">
      <w:r w:rsidRPr="00EB2612">
        <w:t>Změny spotřebitelských návyků spojených s četbou periodik zachycuje šetření VŠIT. Počet jednotlivců, kteří</w:t>
      </w:r>
      <w:r w:rsidR="00313494" w:rsidRPr="00EB2612">
        <w:t> </w:t>
      </w:r>
      <w:r w:rsidR="00A04605" w:rsidRPr="00EB2612">
        <w:t xml:space="preserve">využívají </w:t>
      </w:r>
      <w:r w:rsidRPr="00EB2612">
        <w:t>internet ke čtení zpráv, novin a časopisů</w:t>
      </w:r>
      <w:r w:rsidR="00291DE1" w:rsidRPr="00EB2612">
        <w:t xml:space="preserve"> se za posledních 9</w:t>
      </w:r>
      <w:r w:rsidR="00A04605" w:rsidRPr="00EB2612">
        <w:t xml:space="preserve"> let </w:t>
      </w:r>
      <w:r w:rsidR="00E302A2" w:rsidRPr="00EB2612">
        <w:t xml:space="preserve">výrazně </w:t>
      </w:r>
      <w:r w:rsidR="00A04605" w:rsidRPr="00EB2612">
        <w:t>zvýš</w:t>
      </w:r>
      <w:r w:rsidR="00E302A2" w:rsidRPr="00EB2612">
        <w:t>il. V porovnání</w:t>
      </w:r>
      <w:r w:rsidR="00291DE1" w:rsidRPr="00EB2612">
        <w:t xml:space="preserve"> s rokem 2011 se v roce 2019</w:t>
      </w:r>
      <w:r w:rsidR="00A04605" w:rsidRPr="00EB2612">
        <w:t xml:space="preserve"> zvýšil počet čtenářů online zpráv </w:t>
      </w:r>
      <w:r w:rsidR="003502AC" w:rsidRPr="00EB2612">
        <w:t xml:space="preserve">o </w:t>
      </w:r>
      <w:r w:rsidR="00291DE1" w:rsidRPr="00EB2612">
        <w:t>24</w:t>
      </w:r>
      <w:r w:rsidR="00864085">
        <w:t xml:space="preserve"> </w:t>
      </w:r>
      <w:proofErr w:type="gramStart"/>
      <w:r w:rsidR="00864085">
        <w:t xml:space="preserve">p. </w:t>
      </w:r>
      <w:proofErr w:type="spellStart"/>
      <w:r w:rsidR="00864085">
        <w:t>b</w:t>
      </w:r>
      <w:proofErr w:type="spellEnd"/>
      <w:r w:rsidR="00864085">
        <w:t>.</w:t>
      </w:r>
      <w:r w:rsidR="00E302A2" w:rsidRPr="00EB2612">
        <w:t xml:space="preserve"> </w:t>
      </w:r>
      <w:r w:rsidR="00A04605" w:rsidRPr="00EB2612">
        <w:t>a</w:t>
      </w:r>
      <w:r w:rsidR="003502AC" w:rsidRPr="00EB2612">
        <w:t> </w:t>
      </w:r>
      <w:r w:rsidR="00A04605" w:rsidRPr="00EB2612">
        <w:t>představoval</w:t>
      </w:r>
      <w:proofErr w:type="gramEnd"/>
      <w:r w:rsidR="00A04605" w:rsidRPr="00EB2612">
        <w:t xml:space="preserve"> </w:t>
      </w:r>
      <w:r w:rsidR="00291DE1" w:rsidRPr="00EB2612">
        <w:t>v roce 2019 přibližně 74</w:t>
      </w:r>
      <w:r w:rsidR="003502AC" w:rsidRPr="00EB2612">
        <w:t xml:space="preserve"> </w:t>
      </w:r>
      <w:r w:rsidR="00A04605" w:rsidRPr="00EB2612">
        <w:t xml:space="preserve">% populace. </w:t>
      </w:r>
      <w:r w:rsidRPr="00EB2612">
        <w:t xml:space="preserve">Při zúžení záběru pouze na jedince používající internet se </w:t>
      </w:r>
      <w:r w:rsidR="00CC6CE2" w:rsidRPr="00EB2612">
        <w:t xml:space="preserve">zvýší </w:t>
      </w:r>
      <w:r w:rsidR="003502AC" w:rsidRPr="00EB2612">
        <w:t xml:space="preserve">zastoupení </w:t>
      </w:r>
      <w:r w:rsidR="00196B4C" w:rsidRPr="00EB2612">
        <w:t xml:space="preserve">čtenářů on-line periodik </w:t>
      </w:r>
      <w:r w:rsidR="00291DE1" w:rsidRPr="00EB2612">
        <w:t>v roce 2019</w:t>
      </w:r>
      <w:r w:rsidR="00E302A2" w:rsidRPr="00EB2612">
        <w:t xml:space="preserve"> </w:t>
      </w:r>
      <w:r w:rsidR="00291DE1" w:rsidRPr="00EB2612">
        <w:t>na 92</w:t>
      </w:r>
      <w:r w:rsidRPr="00EB2612">
        <w:t xml:space="preserve"> % </w:t>
      </w:r>
      <w:r w:rsidR="00196B4C" w:rsidRPr="00EB2612">
        <w:t>internetové populace</w:t>
      </w:r>
      <w:r w:rsidRPr="00EB2612">
        <w:t>. Čtení on-line periodik je tak v porovnání s ostatními zkoumanými oblastmi</w:t>
      </w:r>
      <w:r w:rsidR="00C30C52" w:rsidRPr="00EB2612">
        <w:t xml:space="preserve"> audiovizuálního</w:t>
      </w:r>
      <w:r w:rsidR="00282CCA" w:rsidRPr="00EB2612">
        <w:t> </w:t>
      </w:r>
      <w:r w:rsidR="00C30C52" w:rsidRPr="00EB2612">
        <w:t>a</w:t>
      </w:r>
      <w:r w:rsidR="00282CCA" w:rsidRPr="00EB2612">
        <w:t> </w:t>
      </w:r>
      <w:r w:rsidR="00C30C52" w:rsidRPr="00EB2612">
        <w:t>mediálního sektoru</w:t>
      </w:r>
      <w:r w:rsidRPr="00EB2612">
        <w:t xml:space="preserve"> jednoznačně nejrozšířenější kulturní činností prováděnou on-line (např. </w:t>
      </w:r>
      <w:r w:rsidR="00291DE1" w:rsidRPr="00EB2612">
        <w:t>poslechu hudby přes internet se v roce 2019</w:t>
      </w:r>
      <w:r w:rsidRPr="00EB2612">
        <w:t xml:space="preserve"> </w:t>
      </w:r>
      <w:r w:rsidR="00291DE1" w:rsidRPr="00EB2612">
        <w:t>věnovalo přibližně 44</w:t>
      </w:r>
      <w:r w:rsidRPr="00EB2612">
        <w:t xml:space="preserve"> % české populace). K těmto statistikám je nutné zmínit, že použitý pojem on-line periodika neodpovídá vymezení tištěných periodik dle Tiskového zákona</w:t>
      </w:r>
      <w:r w:rsidRPr="00EB2612">
        <w:rPr>
          <w:rStyle w:val="Znakapoznpodarou"/>
        </w:rPr>
        <w:footnoteReference w:id="5"/>
      </w:r>
      <w:r w:rsidRPr="00EB2612">
        <w:t xml:space="preserve"> a zahrnuje jakék</w:t>
      </w:r>
      <w:r w:rsidR="003502AC" w:rsidRPr="00EB2612">
        <w:t>oliv on-line časopisy, noviny a </w:t>
      </w:r>
      <w:r w:rsidRPr="00EB2612">
        <w:t>zpravodajské servery bez ohledu na to, zda mají přidělený kód ISSN.</w:t>
      </w:r>
    </w:p>
    <w:p w:rsidR="00BB64DB" w:rsidRPr="00EB2612" w:rsidRDefault="00BB64DB" w:rsidP="00BB64DB">
      <w:pPr>
        <w:pStyle w:val="Titulek"/>
        <w:keepNext/>
        <w:rPr>
          <w:color w:val="auto"/>
        </w:rPr>
      </w:pPr>
      <w:r w:rsidRPr="00EB2612">
        <w:rPr>
          <w:color w:val="auto"/>
          <w:sz w:val="22"/>
          <w:szCs w:val="22"/>
        </w:rPr>
        <w:t xml:space="preserve">Graf </w:t>
      </w:r>
      <w:r w:rsidR="008C2DDF" w:rsidRPr="00EB2612">
        <w:rPr>
          <w:color w:val="auto"/>
          <w:sz w:val="22"/>
          <w:szCs w:val="22"/>
        </w:rPr>
        <w:t>2</w:t>
      </w:r>
      <w:r w:rsidR="003B43D1">
        <w:rPr>
          <w:color w:val="auto"/>
          <w:sz w:val="22"/>
          <w:szCs w:val="22"/>
        </w:rPr>
        <w:t>0</w:t>
      </w:r>
      <w:r w:rsidR="002F7B33" w:rsidRPr="00EB2612">
        <w:rPr>
          <w:color w:val="auto"/>
        </w:rPr>
        <w:t xml:space="preserve"> </w:t>
      </w:r>
      <w:r w:rsidR="00864085" w:rsidRPr="008820A6">
        <w:rPr>
          <w:b w:val="0"/>
          <w:color w:val="auto"/>
          <w:sz w:val="22"/>
          <w:szCs w:val="22"/>
        </w:rPr>
        <w:t xml:space="preserve">Podíl </w:t>
      </w:r>
      <w:r w:rsidR="00864085">
        <w:rPr>
          <w:b w:val="0"/>
          <w:color w:val="auto"/>
          <w:sz w:val="22"/>
          <w:szCs w:val="22"/>
        </w:rPr>
        <w:t>osob ve věku 16 a více let využívajících internet ke</w:t>
      </w:r>
      <w:r w:rsidR="00864085" w:rsidRPr="00EB2612">
        <w:rPr>
          <w:b w:val="0"/>
          <w:color w:val="auto"/>
          <w:sz w:val="22"/>
          <w:szCs w:val="22"/>
        </w:rPr>
        <w:t xml:space="preserve"> </w:t>
      </w:r>
      <w:r w:rsidRPr="00EB2612">
        <w:rPr>
          <w:b w:val="0"/>
          <w:color w:val="auto"/>
          <w:sz w:val="22"/>
          <w:szCs w:val="22"/>
        </w:rPr>
        <w:t>čtení zpráv, novin a časopisů</w:t>
      </w:r>
    </w:p>
    <w:p w:rsidR="00BB64DB" w:rsidRPr="00EB2612" w:rsidRDefault="00943909" w:rsidP="00AA632A">
      <w:pPr>
        <w:keepNext/>
        <w:tabs>
          <w:tab w:val="left" w:pos="426"/>
        </w:tabs>
        <w:jc w:val="center"/>
      </w:pPr>
      <w:r w:rsidRPr="00EB2612">
        <w:rPr>
          <w:noProof/>
        </w:rPr>
        <w:drawing>
          <wp:inline distT="0" distB="0" distL="0" distR="0">
            <wp:extent cx="5162550" cy="1752600"/>
            <wp:effectExtent l="0" t="0" r="0" b="0"/>
            <wp:docPr id="2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64DB" w:rsidRPr="00EB2612" w:rsidRDefault="00393CDB" w:rsidP="00BB64DB">
      <w:pPr>
        <w:pStyle w:val="Titulek"/>
        <w:rPr>
          <w:b w:val="0"/>
          <w:color w:val="auto"/>
          <w:sz w:val="22"/>
          <w:szCs w:val="22"/>
        </w:rPr>
      </w:pPr>
      <w:r w:rsidRPr="00EB2612">
        <w:rPr>
          <w:b w:val="0"/>
          <w:color w:val="auto"/>
          <w:sz w:val="22"/>
          <w:szCs w:val="22"/>
        </w:rPr>
        <w:t xml:space="preserve">Zdroj: </w:t>
      </w:r>
      <w:r w:rsidR="008820A6" w:rsidRPr="00EB2612">
        <w:rPr>
          <w:b w:val="0"/>
          <w:color w:val="auto"/>
          <w:sz w:val="22"/>
          <w:szCs w:val="22"/>
        </w:rPr>
        <w:t>Výběrové šetření o informačních a komunikačních technologiích, ČSÚ</w:t>
      </w:r>
    </w:p>
    <w:p w:rsidR="00BB64DB" w:rsidRPr="00EB2612" w:rsidRDefault="00BB64DB" w:rsidP="00BB64DB">
      <w:r w:rsidRPr="00EB2612">
        <w:t>Zatí</w:t>
      </w:r>
      <w:r w:rsidR="00196B4C" w:rsidRPr="00EB2612">
        <w:t>mco uživatelé internetu čtou on-</w:t>
      </w:r>
      <w:r w:rsidRPr="00EB2612">
        <w:t xml:space="preserve">line </w:t>
      </w:r>
      <w:r w:rsidR="00291DE1" w:rsidRPr="00EB2612">
        <w:t>zpravodajství</w:t>
      </w:r>
      <w:r w:rsidRPr="00EB2612">
        <w:t xml:space="preserve"> ve </w:t>
      </w:r>
      <w:r w:rsidR="003F2F1D" w:rsidRPr="00EB2612">
        <w:t>velké</w:t>
      </w:r>
      <w:r w:rsidRPr="00EB2612">
        <w:t xml:space="preserve"> míře napříč všemi věkovými kategoriemi</w:t>
      </w:r>
      <w:r w:rsidR="003F2F1D" w:rsidRPr="00EB2612">
        <w:t xml:space="preserve"> (dokonce i v kategorii uživatelů internetu starších 65 let čte on-line zprávy </w:t>
      </w:r>
      <w:r w:rsidR="00AA632A" w:rsidRPr="00EB2612">
        <w:t>přibližně 90</w:t>
      </w:r>
      <w:r w:rsidR="003F2F1D" w:rsidRPr="00EB2612">
        <w:t xml:space="preserve"> % </w:t>
      </w:r>
      <w:r w:rsidR="00196B4C" w:rsidRPr="00EB2612">
        <w:t xml:space="preserve">on-line </w:t>
      </w:r>
      <w:r w:rsidR="003F2F1D" w:rsidRPr="00EB2612">
        <w:t>populace)</w:t>
      </w:r>
      <w:r w:rsidRPr="00EB2612">
        <w:t>,</w:t>
      </w:r>
      <w:r w:rsidR="00282CCA" w:rsidRPr="00EB2612">
        <w:t> </w:t>
      </w:r>
      <w:r w:rsidRPr="00EB2612">
        <w:t>u</w:t>
      </w:r>
      <w:r w:rsidR="00282CCA" w:rsidRPr="00EB2612">
        <w:t> </w:t>
      </w:r>
      <w:r w:rsidRPr="00EB2612">
        <w:t xml:space="preserve">celkové populace procento čtenářů on-line periodik </w:t>
      </w:r>
      <w:r w:rsidR="0059779F" w:rsidRPr="00EB2612">
        <w:t>s přibývajícím věkem</w:t>
      </w:r>
      <w:r w:rsidR="003F2F1D" w:rsidRPr="00EB2612">
        <w:t xml:space="preserve"> výrazně</w:t>
      </w:r>
      <w:r w:rsidR="0059779F" w:rsidRPr="00EB2612">
        <w:t xml:space="preserve"> </w:t>
      </w:r>
      <w:r w:rsidRPr="00EB2612">
        <w:t>klesá.</w:t>
      </w:r>
      <w:r w:rsidR="00E957EC" w:rsidRPr="00EB2612">
        <w:t xml:space="preserve"> </w:t>
      </w:r>
      <w:r w:rsidRPr="00EB2612">
        <w:t>To</w:t>
      </w:r>
      <w:r w:rsidR="00313494" w:rsidRPr="00EB2612">
        <w:t> </w:t>
      </w:r>
      <w:r w:rsidRPr="00EB2612">
        <w:t>však</w:t>
      </w:r>
      <w:r w:rsidR="00313494" w:rsidRPr="00EB2612">
        <w:t> </w:t>
      </w:r>
      <w:r w:rsidRPr="00EB2612">
        <w:t xml:space="preserve">souvisí s tím, že procento uživatelů internetu </w:t>
      </w:r>
      <w:r w:rsidR="00196B4C" w:rsidRPr="00EB2612">
        <w:t xml:space="preserve">všeobecně negativně koreluje s věkem </w:t>
      </w:r>
      <w:r w:rsidRPr="00EB2612">
        <w:t>jednotlivců.</w:t>
      </w:r>
      <w:r w:rsidR="009A75F3" w:rsidRPr="00EB2612">
        <w:t xml:space="preserve"> </w:t>
      </w:r>
      <w:r w:rsidR="009A75F3" w:rsidRPr="00EB2612">
        <w:lastRenderedPageBreak/>
        <w:t>Výše</w:t>
      </w:r>
      <w:r w:rsidR="008B64EB" w:rsidRPr="00EB2612">
        <w:t> </w:t>
      </w:r>
      <w:r w:rsidR="009A75F3" w:rsidRPr="00EB2612">
        <w:t>zm</w:t>
      </w:r>
      <w:r w:rsidR="003B43D1">
        <w:t>íněný trend je patrný z Grafu 21</w:t>
      </w:r>
      <w:r w:rsidR="009A75F3" w:rsidRPr="00EB2612">
        <w:t xml:space="preserve">, který ukazuje, že zájem o četbu on-line periodik je </w:t>
      </w:r>
      <w:r w:rsidR="007D3651" w:rsidRPr="00EB2612">
        <w:t>vysoký (</w:t>
      </w:r>
      <w:r w:rsidR="00AA632A" w:rsidRPr="00EB2612">
        <w:t>okolo 90</w:t>
      </w:r>
      <w:r w:rsidR="007D3651" w:rsidRPr="00EB2612">
        <w:t xml:space="preserve"> %) ve</w:t>
      </w:r>
      <w:r w:rsidR="009A75F3" w:rsidRPr="00EB2612">
        <w:t xml:space="preserve"> všech věkových kategorií uživatelů internetu. </w:t>
      </w:r>
      <w:r w:rsidRPr="00EB2612">
        <w:t xml:space="preserve">Tím se </w:t>
      </w:r>
      <w:r w:rsidR="009A75F3" w:rsidRPr="00EB2612">
        <w:t xml:space="preserve">tato aktivita </w:t>
      </w:r>
      <w:r w:rsidRPr="00EB2612">
        <w:t xml:space="preserve">liší </w:t>
      </w:r>
      <w:r w:rsidR="009A75F3" w:rsidRPr="00EB2612">
        <w:t xml:space="preserve">od jiných sledovaných kulturních </w:t>
      </w:r>
      <w:r w:rsidR="007D3651" w:rsidRPr="00EB2612">
        <w:t xml:space="preserve">činností </w:t>
      </w:r>
      <w:r w:rsidR="009A75F3" w:rsidRPr="00EB2612">
        <w:t xml:space="preserve">prováděných přes internet (např. </w:t>
      </w:r>
      <w:r w:rsidR="00AA632A" w:rsidRPr="00EB2612">
        <w:t>hraní videoher</w:t>
      </w:r>
      <w:r w:rsidR="009A75F3" w:rsidRPr="00EB2612">
        <w:t xml:space="preserve">), u kterých obliba mezi uživateli internetu s jejich </w:t>
      </w:r>
      <w:r w:rsidR="0059779F" w:rsidRPr="00EB2612">
        <w:t>přibývajícím</w:t>
      </w:r>
      <w:r w:rsidRPr="00EB2612">
        <w:t xml:space="preserve"> věkem </w:t>
      </w:r>
      <w:r w:rsidR="009A75F3" w:rsidRPr="00EB2612">
        <w:t>klesá.</w:t>
      </w:r>
    </w:p>
    <w:p w:rsidR="00BB64DB" w:rsidRPr="003B43D1" w:rsidRDefault="003F593B" w:rsidP="003B43D1">
      <w:pPr>
        <w:pStyle w:val="Titulek"/>
        <w:keepNext/>
        <w:rPr>
          <w:color w:val="auto"/>
          <w:sz w:val="22"/>
          <w:szCs w:val="22"/>
        </w:rPr>
      </w:pPr>
      <w:r w:rsidRPr="00EB2612">
        <w:rPr>
          <w:color w:val="auto"/>
          <w:sz w:val="22"/>
          <w:szCs w:val="22"/>
        </w:rPr>
        <w:t>Graf 2</w:t>
      </w:r>
      <w:r>
        <w:rPr>
          <w:color w:val="auto"/>
          <w:sz w:val="22"/>
          <w:szCs w:val="22"/>
        </w:rPr>
        <w:t>1</w:t>
      </w:r>
      <w:r w:rsidRPr="00EB2612">
        <w:rPr>
          <w:color w:val="auto"/>
        </w:rPr>
        <w:t xml:space="preserve"> </w:t>
      </w:r>
      <w:r>
        <w:rPr>
          <w:b w:val="0"/>
          <w:color w:val="auto"/>
          <w:sz w:val="22"/>
          <w:szCs w:val="22"/>
        </w:rPr>
        <w:t xml:space="preserve">Podíl osob ve věku 16 a více let využívajících internet </w:t>
      </w:r>
      <w:r w:rsidRPr="00EB2612">
        <w:rPr>
          <w:b w:val="0"/>
          <w:color w:val="auto"/>
          <w:sz w:val="22"/>
          <w:szCs w:val="22"/>
        </w:rPr>
        <w:t>k četbě on-line zpráv, novin a časopisů v roce 201</w:t>
      </w:r>
      <w:r>
        <w:rPr>
          <w:b w:val="0"/>
          <w:color w:val="auto"/>
          <w:sz w:val="22"/>
          <w:szCs w:val="22"/>
        </w:rPr>
        <w:t>9</w:t>
      </w:r>
    </w:p>
    <w:p w:rsidR="00BB64DB" w:rsidRPr="00EB2612" w:rsidRDefault="003B43D1" w:rsidP="00BB64DB">
      <w:pPr>
        <w:keepNext/>
      </w:pPr>
      <w:r w:rsidRPr="003B43D1">
        <w:rPr>
          <w:noProof/>
        </w:rPr>
        <w:drawing>
          <wp:inline distT="0" distB="0" distL="0" distR="0">
            <wp:extent cx="6172200" cy="2133600"/>
            <wp:effectExtent l="0" t="0" r="0" b="0"/>
            <wp:docPr id="1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8820A6" w:rsidRPr="00EB2612">
        <w:rPr>
          <w:b w:val="0"/>
          <w:color w:val="auto"/>
          <w:sz w:val="22"/>
          <w:szCs w:val="22"/>
        </w:rPr>
        <w:t>Výběrové šetření o informačních a komunikačních technologiích, ČSÚ</w:t>
      </w:r>
    </w:p>
    <w:p w:rsidR="00BB64DB" w:rsidRPr="00EB2612" w:rsidRDefault="003204A0" w:rsidP="00AA632A">
      <w:pPr>
        <w:tabs>
          <w:tab w:val="left" w:pos="851"/>
        </w:tabs>
      </w:pPr>
      <w:r w:rsidRPr="00EB2612">
        <w:t xml:space="preserve">Podle mezinárodní studie </w:t>
      </w:r>
      <w:r w:rsidRPr="00EB2612">
        <w:rPr>
          <w:i/>
        </w:rPr>
        <w:t>Digital News Report</w:t>
      </w:r>
      <w:r w:rsidRPr="00EB2612">
        <w:t>, kterou vypracoval Reuters Instit</w:t>
      </w:r>
      <w:r w:rsidR="00FF5771" w:rsidRPr="00EB2612">
        <w:t xml:space="preserve">ute, existuje </w:t>
      </w:r>
      <w:r w:rsidR="006761D5" w:rsidRPr="00EB2612">
        <w:t>v</w:t>
      </w:r>
      <w:r w:rsidR="00FF5771" w:rsidRPr="00EB2612">
        <w:t> </w:t>
      </w:r>
      <w:r w:rsidR="006761D5" w:rsidRPr="00EB2612">
        <w:t>ČR</w:t>
      </w:r>
      <w:r w:rsidR="00FF5771" w:rsidRPr="00EB2612">
        <w:t xml:space="preserve"> všeobecně nízká</w:t>
      </w:r>
      <w:r w:rsidRPr="00EB2612">
        <w:t xml:space="preserve"> </w:t>
      </w:r>
      <w:r w:rsidR="00FF5771" w:rsidRPr="00EB2612">
        <w:t xml:space="preserve">ochota </w:t>
      </w:r>
      <w:r w:rsidRPr="00EB2612">
        <w:t>alespoň nějakou formou</w:t>
      </w:r>
      <w:r w:rsidR="00FF5771" w:rsidRPr="00EB2612">
        <w:t xml:space="preserve"> za online zpravodajství platit a v rámci mezinárodního srovnání je takřka nejnižší v Evropě. </w:t>
      </w:r>
      <w:r w:rsidR="000114A4" w:rsidRPr="00EB2612">
        <w:t>V</w:t>
      </w:r>
      <w:r w:rsidR="00FF5771" w:rsidRPr="00EB2612">
        <w:t xml:space="preserve"> roce </w:t>
      </w:r>
      <w:r w:rsidR="00191AF3" w:rsidRPr="00EB2612">
        <w:t>2019</w:t>
      </w:r>
      <w:r w:rsidR="00FF5771" w:rsidRPr="00EB2612">
        <w:t xml:space="preserve"> plat</w:t>
      </w:r>
      <w:r w:rsidR="00191AF3" w:rsidRPr="00EB2612">
        <w:t xml:space="preserve">ilo </w:t>
      </w:r>
      <w:r w:rsidR="002A45B7">
        <w:t xml:space="preserve">v ČR </w:t>
      </w:r>
      <w:r w:rsidR="00191AF3" w:rsidRPr="00EB2612">
        <w:t>za online zprávy přibližně 7</w:t>
      </w:r>
      <w:r w:rsidRPr="00EB2612">
        <w:t xml:space="preserve"> % </w:t>
      </w:r>
      <w:r w:rsidR="00B848A3" w:rsidRPr="00EB2612">
        <w:t>uživatelů internetu</w:t>
      </w:r>
      <w:r w:rsidR="00610A24" w:rsidRPr="00EB2612">
        <w:t xml:space="preserve">. </w:t>
      </w:r>
      <w:r w:rsidR="00FF5771" w:rsidRPr="00EB2612">
        <w:t xml:space="preserve">Z dalších důležitých trendů spojených s online četbou zpráv je vhodné zmínit rostoucí popularitu chytrých telefonů </w:t>
      </w:r>
      <w:r w:rsidR="00610A24" w:rsidRPr="00EB2612">
        <w:t>a k</w:t>
      </w:r>
      <w:r w:rsidR="00961DC9" w:rsidRPr="00EB2612">
        <w:t xml:space="preserve">lesající míru využití </w:t>
      </w:r>
      <w:r w:rsidR="001132C6" w:rsidRPr="00EB2612">
        <w:t>počítačů</w:t>
      </w:r>
      <w:r w:rsidR="00961DC9" w:rsidRPr="00EB2612">
        <w:t xml:space="preserve"> </w:t>
      </w:r>
      <w:r w:rsidR="00610A24" w:rsidRPr="00EB2612">
        <w:t>p</w:t>
      </w:r>
      <w:r w:rsidR="00961DC9" w:rsidRPr="00EB2612">
        <w:t>r</w:t>
      </w:r>
      <w:r w:rsidR="00191AF3" w:rsidRPr="00EB2612">
        <w:t xml:space="preserve">o četbu zpráv. </w:t>
      </w:r>
      <w:r w:rsidR="00807FC7" w:rsidRPr="00EB2612">
        <w:t>Zatímco v roce 2017 používalo smartphone k četbě online zpráv 40 % české populace, v roce 2019 to již byla více než polovina. V</w:t>
      </w:r>
      <w:r w:rsidR="00610A24" w:rsidRPr="00EB2612">
        <w:t> </w:t>
      </w:r>
      <w:r w:rsidR="000114A4" w:rsidRPr="00EB2612">
        <w:t>ČR</w:t>
      </w:r>
      <w:r w:rsidR="00610A24" w:rsidRPr="00EB2612">
        <w:t xml:space="preserve"> </w:t>
      </w:r>
      <w:r w:rsidR="00807FC7" w:rsidRPr="00EB2612">
        <w:t xml:space="preserve">však </w:t>
      </w:r>
      <w:r w:rsidR="00610A24" w:rsidRPr="00EB2612">
        <w:t>zůstává stále dominantním zař</w:t>
      </w:r>
      <w:r w:rsidR="005950FA" w:rsidRPr="00EB2612">
        <w:t>ízením pro četbu zpráv počítač –</w:t>
      </w:r>
      <w:r w:rsidR="00961DC9" w:rsidRPr="00EB2612">
        <w:t xml:space="preserve"> </w:t>
      </w:r>
      <w:r w:rsidR="00610A24" w:rsidRPr="00EB2612">
        <w:t>v roce 201</w:t>
      </w:r>
      <w:r w:rsidR="00191AF3" w:rsidRPr="00EB2612">
        <w:t>9 jej pro četbu zpráv využilo 70</w:t>
      </w:r>
      <w:r w:rsidR="00610A24" w:rsidRPr="00EB2612">
        <w:t xml:space="preserve"> % populace s</w:t>
      </w:r>
      <w:r w:rsidR="003502AC" w:rsidRPr="00EB2612">
        <w:t> </w:t>
      </w:r>
      <w:r w:rsidR="00610A24" w:rsidRPr="00EB2612">
        <w:t>připojením k</w:t>
      </w:r>
      <w:r w:rsidR="00CC15C7" w:rsidRPr="00EB2612">
        <w:t> </w:t>
      </w:r>
      <w:r w:rsidR="00E7309F" w:rsidRPr="00EB2612">
        <w:t>internetu (Fletcher, 2019</w:t>
      </w:r>
      <w:r w:rsidR="00610A24" w:rsidRPr="00EB2612">
        <w:t>). Další návyky českých spotřebitelů v souvislosti s onlin</w:t>
      </w:r>
      <w:r w:rsidR="003B43D1">
        <w:t>e četbou zpráv zachycuje Graf 22</w:t>
      </w:r>
      <w:r w:rsidR="00610A24" w:rsidRPr="00EB2612">
        <w:t>.</w:t>
      </w:r>
    </w:p>
    <w:p w:rsidR="00BB64DB" w:rsidRPr="00EB2612" w:rsidRDefault="00BB64DB" w:rsidP="00FF5771">
      <w:pPr>
        <w:pStyle w:val="Titulek"/>
        <w:keepNext/>
        <w:rPr>
          <w:b w:val="0"/>
          <w:color w:val="auto"/>
          <w:sz w:val="22"/>
          <w:szCs w:val="22"/>
        </w:rPr>
      </w:pPr>
      <w:r w:rsidRPr="00EB2612">
        <w:rPr>
          <w:color w:val="auto"/>
          <w:sz w:val="22"/>
          <w:szCs w:val="22"/>
        </w:rPr>
        <w:t xml:space="preserve">Graf </w:t>
      </w:r>
      <w:r w:rsidR="003B43D1">
        <w:rPr>
          <w:color w:val="auto"/>
          <w:sz w:val="22"/>
          <w:szCs w:val="22"/>
        </w:rPr>
        <w:t>22</w:t>
      </w:r>
      <w:r w:rsidR="002F7B33" w:rsidRPr="00EB2612">
        <w:rPr>
          <w:color w:val="auto"/>
          <w:sz w:val="22"/>
          <w:szCs w:val="22"/>
        </w:rPr>
        <w:t xml:space="preserve"> </w:t>
      </w:r>
      <w:r w:rsidR="006155F2">
        <w:rPr>
          <w:b w:val="0"/>
          <w:color w:val="auto"/>
          <w:sz w:val="22"/>
          <w:szCs w:val="22"/>
        </w:rPr>
        <w:t xml:space="preserve">Podíl osob </w:t>
      </w:r>
      <w:r w:rsidR="003F593B">
        <w:rPr>
          <w:b w:val="0"/>
          <w:color w:val="auto"/>
          <w:sz w:val="22"/>
          <w:szCs w:val="22"/>
        </w:rPr>
        <w:t>využívajících</w:t>
      </w:r>
      <w:r w:rsidR="006155F2">
        <w:rPr>
          <w:b w:val="0"/>
          <w:color w:val="auto"/>
          <w:sz w:val="22"/>
          <w:szCs w:val="22"/>
        </w:rPr>
        <w:t xml:space="preserve"> internet</w:t>
      </w:r>
      <w:r w:rsidR="00FF5771" w:rsidRPr="00EB2612">
        <w:rPr>
          <w:b w:val="0"/>
          <w:color w:val="auto"/>
          <w:sz w:val="22"/>
          <w:szCs w:val="22"/>
        </w:rPr>
        <w:t xml:space="preserve"> </w:t>
      </w:r>
      <w:r w:rsidR="006155F2">
        <w:rPr>
          <w:b w:val="0"/>
          <w:color w:val="auto"/>
          <w:sz w:val="22"/>
          <w:szCs w:val="22"/>
        </w:rPr>
        <w:t>k vybraným aktivitám (pouze osoby používající internet</w:t>
      </w:r>
      <w:r w:rsidR="0088482B">
        <w:rPr>
          <w:b w:val="0"/>
          <w:color w:val="auto"/>
          <w:sz w:val="22"/>
          <w:szCs w:val="22"/>
        </w:rPr>
        <w:t>)</w:t>
      </w:r>
    </w:p>
    <w:p w:rsidR="00FF5771" w:rsidRPr="00EB2612" w:rsidRDefault="002726A6" w:rsidP="00FF5771">
      <w:pPr>
        <w:rPr>
          <w:lang w:eastAsia="en-US"/>
        </w:rPr>
      </w:pPr>
      <w:r w:rsidRPr="00EB2612">
        <w:rPr>
          <w:noProof/>
        </w:rPr>
        <w:drawing>
          <wp:inline distT="0" distB="0" distL="0" distR="0">
            <wp:extent cx="5876925" cy="1800225"/>
            <wp:effectExtent l="0" t="0" r="0" b="0"/>
            <wp:docPr id="10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B64DB" w:rsidRPr="00EB2612" w:rsidRDefault="001B5EAE" w:rsidP="00BB64DB">
      <w:pPr>
        <w:pStyle w:val="Titulek"/>
        <w:rPr>
          <w:b w:val="0"/>
          <w:color w:val="auto"/>
          <w:sz w:val="22"/>
          <w:szCs w:val="22"/>
        </w:rPr>
      </w:pPr>
      <w:r w:rsidRPr="00EB2612">
        <w:rPr>
          <w:b w:val="0"/>
          <w:color w:val="auto"/>
          <w:sz w:val="22"/>
          <w:szCs w:val="22"/>
        </w:rPr>
        <w:t xml:space="preserve">Zdroj: </w:t>
      </w:r>
      <w:r w:rsidR="00610A24" w:rsidRPr="00EB2612">
        <w:rPr>
          <w:b w:val="0"/>
          <w:color w:val="auto"/>
          <w:sz w:val="22"/>
          <w:szCs w:val="22"/>
        </w:rPr>
        <w:t>Digital News Report, Reuters Institute</w:t>
      </w:r>
    </w:p>
    <w:p w:rsidR="00610A24" w:rsidRPr="00EB2612" w:rsidRDefault="00610A24" w:rsidP="00610A24">
      <w:pPr>
        <w:rPr>
          <w:lang w:eastAsia="en-US"/>
        </w:rPr>
      </w:pPr>
      <w:r w:rsidRPr="00EB2612">
        <w:rPr>
          <w:lang w:eastAsia="en-US"/>
        </w:rPr>
        <w:t>S rostoucí oblibou internetového zpravodajství roste také obliba sledování zpravodajství na sociálních sítí</w:t>
      </w:r>
      <w:r w:rsidR="003F593B">
        <w:rPr>
          <w:lang w:eastAsia="en-US"/>
        </w:rPr>
        <w:t>ch</w:t>
      </w:r>
      <w:r w:rsidRPr="00EB2612">
        <w:rPr>
          <w:lang w:eastAsia="en-US"/>
        </w:rPr>
        <w:t>. V roli editora zde vystupují uživatelé sítě, kteří sdílí své p</w:t>
      </w:r>
      <w:r w:rsidR="00961DC9" w:rsidRPr="00EB2612">
        <w:rPr>
          <w:lang w:eastAsia="en-US"/>
        </w:rPr>
        <w:t>říspěvky s ostatními uživateli (</w:t>
      </w:r>
      <w:r w:rsidRPr="00EB2612">
        <w:rPr>
          <w:lang w:eastAsia="en-US"/>
        </w:rPr>
        <w:t xml:space="preserve">většinou s okruhem </w:t>
      </w:r>
      <w:r w:rsidRPr="00EB2612">
        <w:rPr>
          <w:lang w:eastAsia="en-US"/>
        </w:rPr>
        <w:lastRenderedPageBreak/>
        <w:t>svých přátel či sledujících uživatelů</w:t>
      </w:r>
      <w:r w:rsidR="00961DC9" w:rsidRPr="00EB2612">
        <w:rPr>
          <w:lang w:eastAsia="en-US"/>
        </w:rPr>
        <w:t>)</w:t>
      </w:r>
      <w:r w:rsidRPr="00EB2612">
        <w:rPr>
          <w:lang w:eastAsia="en-US"/>
        </w:rPr>
        <w:t xml:space="preserve">. Populární osobnosti mají pak velmi široký dosah svých příspěvků (v řádech několika tisíců uživatelů). Podle již zmíněné mezinárodní studie </w:t>
      </w:r>
      <w:r w:rsidRPr="00EB2612">
        <w:rPr>
          <w:i/>
          <w:lang w:eastAsia="en-US"/>
        </w:rPr>
        <w:t>Digital News Report</w:t>
      </w:r>
      <w:r w:rsidRPr="00EB2612">
        <w:rPr>
          <w:lang w:eastAsia="en-US"/>
        </w:rPr>
        <w:t>, která se zaměřovala na internetovou populaci převážně v evropských zemích, se zejména pro mladší ročníky stávají sociální sítě velmi důležitým zdrojem ší</w:t>
      </w:r>
      <w:r w:rsidR="005950FA" w:rsidRPr="00EB2612">
        <w:rPr>
          <w:lang w:eastAsia="en-US"/>
        </w:rPr>
        <w:t>ření zpráv. Věková skupina 18–</w:t>
      </w:r>
      <w:r w:rsidR="007E4B4F" w:rsidRPr="00EB2612">
        <w:rPr>
          <w:lang w:eastAsia="en-US"/>
        </w:rPr>
        <w:t>24 let dokonce preferuje</w:t>
      </w:r>
      <w:r w:rsidRPr="00EB2612">
        <w:rPr>
          <w:lang w:eastAsia="en-US"/>
        </w:rPr>
        <w:t xml:space="preserve"> sociální sítě jako zpravodajský zdroj před televizí i ostatními médii. </w:t>
      </w:r>
      <w:r w:rsidR="007738C7" w:rsidRPr="00EB2612">
        <w:rPr>
          <w:lang w:eastAsia="en-US"/>
        </w:rPr>
        <w:t xml:space="preserve">Sociální sítě jsou důležitým zdrojem informací také v Čechách – jako zdroj zpravodajství využilo sociální sítě v roce 2020 o 8 p. b. více uživatelů internetu než v roce 2015. </w:t>
      </w:r>
      <w:r w:rsidR="008B0CC3" w:rsidRPr="00EB2612">
        <w:rPr>
          <w:lang w:eastAsia="en-US"/>
        </w:rPr>
        <w:t>Nejčastěji jsou k četbě zpráv v </w:t>
      </w:r>
      <w:r w:rsidR="007738C7" w:rsidRPr="00EB2612">
        <w:rPr>
          <w:lang w:eastAsia="en-US"/>
        </w:rPr>
        <w:t>Čechách</w:t>
      </w:r>
      <w:r w:rsidR="008B0CC3" w:rsidRPr="00EB2612">
        <w:rPr>
          <w:lang w:eastAsia="en-US"/>
        </w:rPr>
        <w:t xml:space="preserve"> využívány</w:t>
      </w:r>
      <w:r w:rsidR="007738C7" w:rsidRPr="00EB2612">
        <w:rPr>
          <w:lang w:eastAsia="en-US"/>
        </w:rPr>
        <w:t xml:space="preserve"> zpravodajské weby, které </w:t>
      </w:r>
      <w:r w:rsidR="008B0CC3" w:rsidRPr="00EB2612">
        <w:rPr>
          <w:lang w:eastAsia="en-US"/>
        </w:rPr>
        <w:t>sleduje</w:t>
      </w:r>
      <w:r w:rsidR="007738C7" w:rsidRPr="00EB2612">
        <w:rPr>
          <w:lang w:eastAsia="en-US"/>
        </w:rPr>
        <w:t xml:space="preserve"> 88 </w:t>
      </w:r>
      <w:r w:rsidR="007738C7" w:rsidRPr="00EB2612">
        <w:t>% uživatelů internetu a televizní zpravodajství, které si pouští 76 % uži</w:t>
      </w:r>
      <w:r w:rsidR="002A45B7">
        <w:t>vatelů internetu (</w:t>
      </w:r>
      <w:proofErr w:type="spellStart"/>
      <w:r w:rsidR="002A45B7">
        <w:t>Fletcher</w:t>
      </w:r>
      <w:proofErr w:type="spellEnd"/>
      <w:r w:rsidR="002A45B7">
        <w:t>, 2017</w:t>
      </w:r>
      <w:r w:rsidR="007738C7" w:rsidRPr="00EB2612">
        <w:t xml:space="preserve">, </w:t>
      </w:r>
      <w:proofErr w:type="spellStart"/>
      <w:r w:rsidR="007738C7" w:rsidRPr="00EB2612">
        <w:t>Reuters</w:t>
      </w:r>
      <w:proofErr w:type="spellEnd"/>
      <w:r w:rsidR="007738C7" w:rsidRPr="00EB2612">
        <w:t xml:space="preserve"> Institute, 2020)</w:t>
      </w:r>
      <w:r w:rsidR="007738C7" w:rsidRPr="00EB2612">
        <w:rPr>
          <w:lang w:eastAsia="en-US"/>
        </w:rPr>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2</w:t>
      </w:r>
      <w:r w:rsidR="0088482B">
        <w:rPr>
          <w:color w:val="auto"/>
          <w:sz w:val="22"/>
          <w:szCs w:val="22"/>
        </w:rPr>
        <w:t>3</w:t>
      </w:r>
      <w:r w:rsidR="002F7B33" w:rsidRPr="00EB2612">
        <w:rPr>
          <w:b w:val="0"/>
          <w:color w:val="auto"/>
          <w:sz w:val="22"/>
          <w:szCs w:val="22"/>
        </w:rPr>
        <w:t xml:space="preserve"> </w:t>
      </w:r>
      <w:r w:rsidR="007738C7" w:rsidRPr="00EB2612">
        <w:rPr>
          <w:b w:val="0"/>
          <w:color w:val="auto"/>
          <w:sz w:val="22"/>
          <w:szCs w:val="22"/>
        </w:rPr>
        <w:t>Míra využití v</w:t>
      </w:r>
      <w:r w:rsidR="007E4B4F" w:rsidRPr="00EB2612">
        <w:rPr>
          <w:b w:val="0"/>
          <w:color w:val="auto"/>
          <w:sz w:val="22"/>
          <w:szCs w:val="22"/>
        </w:rPr>
        <w:t>ybran</w:t>
      </w:r>
      <w:r w:rsidR="007738C7" w:rsidRPr="00EB2612">
        <w:rPr>
          <w:b w:val="0"/>
          <w:color w:val="auto"/>
          <w:sz w:val="22"/>
          <w:szCs w:val="22"/>
        </w:rPr>
        <w:t>ých</w:t>
      </w:r>
      <w:r w:rsidR="007E4B4F" w:rsidRPr="00EB2612">
        <w:rPr>
          <w:b w:val="0"/>
          <w:color w:val="auto"/>
          <w:sz w:val="22"/>
          <w:szCs w:val="22"/>
        </w:rPr>
        <w:t xml:space="preserve"> </w:t>
      </w:r>
      <w:r w:rsidR="008B0CC3" w:rsidRPr="00EB2612">
        <w:rPr>
          <w:b w:val="0"/>
          <w:color w:val="auto"/>
          <w:sz w:val="22"/>
          <w:szCs w:val="22"/>
        </w:rPr>
        <w:t>médií k četbě zpráv</w:t>
      </w:r>
      <w:r w:rsidR="007E4B4F" w:rsidRPr="00EB2612">
        <w:rPr>
          <w:b w:val="0"/>
          <w:color w:val="auto"/>
          <w:sz w:val="22"/>
          <w:szCs w:val="22"/>
        </w:rPr>
        <w:t xml:space="preserve"> v  ČR</w:t>
      </w:r>
      <w:r w:rsidR="0088482B">
        <w:rPr>
          <w:b w:val="0"/>
          <w:color w:val="auto"/>
          <w:sz w:val="22"/>
          <w:szCs w:val="22"/>
        </w:rPr>
        <w:t xml:space="preserve"> (pouze osoby používající internet)</w:t>
      </w:r>
    </w:p>
    <w:p w:rsidR="00BB64DB" w:rsidRPr="00EB2612" w:rsidRDefault="007E4B4F" w:rsidP="00610A24">
      <w:pPr>
        <w:rPr>
          <w:lang w:eastAsia="en-US"/>
        </w:rPr>
      </w:pPr>
      <w:r w:rsidRPr="00EB2612">
        <w:rPr>
          <w:noProof/>
        </w:rPr>
        <w:drawing>
          <wp:inline distT="0" distB="0" distL="0" distR="0">
            <wp:extent cx="6010275" cy="1666875"/>
            <wp:effectExtent l="0" t="0" r="0" b="0"/>
            <wp:docPr id="9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B64DB" w:rsidRPr="00EB2612" w:rsidRDefault="00857BB4" w:rsidP="00BB64DB">
      <w:pPr>
        <w:pStyle w:val="Titulek"/>
        <w:rPr>
          <w:b w:val="0"/>
          <w:color w:val="auto"/>
          <w:sz w:val="22"/>
          <w:szCs w:val="22"/>
        </w:rPr>
      </w:pPr>
      <w:r w:rsidRPr="00EB2612">
        <w:rPr>
          <w:b w:val="0"/>
          <w:color w:val="auto"/>
          <w:sz w:val="22"/>
          <w:szCs w:val="22"/>
        </w:rPr>
        <w:t xml:space="preserve">Zdroj: </w:t>
      </w:r>
      <w:r w:rsidR="00610A24" w:rsidRPr="00EB2612">
        <w:rPr>
          <w:b w:val="0"/>
          <w:color w:val="auto"/>
          <w:sz w:val="22"/>
          <w:szCs w:val="22"/>
        </w:rPr>
        <w:t>Digital News Report, Reuters Institute</w:t>
      </w:r>
    </w:p>
    <w:p w:rsidR="00AF1D7D" w:rsidRPr="00EB2612" w:rsidRDefault="00AF1D7D" w:rsidP="00921B50">
      <w:r w:rsidRPr="00EB2612">
        <w:t>I přesto, že čtenost</w:t>
      </w:r>
      <w:r w:rsidR="00310821" w:rsidRPr="00EB2612">
        <w:rPr>
          <w:rStyle w:val="Znakapoznpodarou"/>
        </w:rPr>
        <w:footnoteReference w:id="6"/>
      </w:r>
      <w:r w:rsidR="00310821" w:rsidRPr="00EB2612">
        <w:t xml:space="preserve"> </w:t>
      </w:r>
      <w:r w:rsidRPr="00EB2612">
        <w:t>tištěných periodik v České republice dlouhodobě mírně klesá</w:t>
      </w:r>
      <w:r w:rsidR="001B1812" w:rsidRPr="00EB2612">
        <w:t xml:space="preserve"> (mezi lety 2015 a 2020</w:t>
      </w:r>
      <w:r w:rsidR="00562394" w:rsidRPr="00EB2612">
        <w:t xml:space="preserve"> </w:t>
      </w:r>
      <w:r w:rsidR="001B1812" w:rsidRPr="00EB2612">
        <w:t>o</w:t>
      </w:r>
      <w:r w:rsidR="00362010">
        <w:t> </w:t>
      </w:r>
      <w:r w:rsidR="001B1812" w:rsidRPr="00EB2612">
        <w:t>cca 6 p. b.</w:t>
      </w:r>
      <w:r w:rsidR="00EF4907" w:rsidRPr="00EB2612">
        <w:t xml:space="preserve"> </w:t>
      </w:r>
      <w:proofErr w:type="gramStart"/>
      <w:r w:rsidR="00EF4907" w:rsidRPr="00EB2612">
        <w:t>celkové</w:t>
      </w:r>
      <w:proofErr w:type="gramEnd"/>
      <w:r w:rsidR="00EF4907" w:rsidRPr="00EB2612">
        <w:t xml:space="preserve"> čtenosti)</w:t>
      </w:r>
      <w:r w:rsidRPr="00EB2612">
        <w:t xml:space="preserve">, </w:t>
      </w:r>
      <w:r w:rsidR="001132C6" w:rsidRPr="00EB2612">
        <w:t>udržuje</w:t>
      </w:r>
      <w:r w:rsidRPr="00EB2612">
        <w:t xml:space="preserve"> si stále poměrně velký z</w:t>
      </w:r>
      <w:r w:rsidR="00D52621" w:rsidRPr="00EB2612">
        <w:t xml:space="preserve">ásah populace (okolo </w:t>
      </w:r>
      <w:r w:rsidR="001B1812" w:rsidRPr="00EB2612">
        <w:t>7,4</w:t>
      </w:r>
      <w:r w:rsidR="00D52621" w:rsidRPr="00EB2612">
        <w:t xml:space="preserve"> mil. osob ve sledované populaci</w:t>
      </w:r>
      <w:r w:rsidR="00562394" w:rsidRPr="00EB2612">
        <w:t>).</w:t>
      </w:r>
      <w:r w:rsidRPr="00EB2612">
        <w:t xml:space="preserve"> Podle dat pravidelného výzkumu MEDIA projekt</w:t>
      </w:r>
      <w:r w:rsidR="00921B50" w:rsidRPr="00EB2612">
        <w:t xml:space="preserve">u </w:t>
      </w:r>
      <w:r w:rsidR="00D52621" w:rsidRPr="00EB2612">
        <w:t>zkoumajícího</w:t>
      </w:r>
      <w:r w:rsidR="00921B50" w:rsidRPr="00EB2612">
        <w:t xml:space="preserve"> populaci ve věku </w:t>
      </w:r>
      <w:r w:rsidR="005950FA" w:rsidRPr="00EB2612">
        <w:br/>
      </w:r>
      <w:r w:rsidR="00921B50" w:rsidRPr="00EB2612">
        <w:t>12</w:t>
      </w:r>
      <w:r w:rsidR="005950FA" w:rsidRPr="00EB2612">
        <w:t>–</w:t>
      </w:r>
      <w:r w:rsidR="00921B50" w:rsidRPr="00EB2612">
        <w:t>79 let</w:t>
      </w:r>
      <w:r w:rsidR="001B1812" w:rsidRPr="00EB2612">
        <w:t xml:space="preserve"> četlo v prvním</w:t>
      </w:r>
      <w:r w:rsidR="00562394" w:rsidRPr="00EB2612">
        <w:t xml:space="preserve"> a </w:t>
      </w:r>
      <w:r w:rsidR="001B1812" w:rsidRPr="00EB2612">
        <w:t>druhém čtvrtletí roku 2020 tištěná periodika 84</w:t>
      </w:r>
      <w:r w:rsidR="00921B50" w:rsidRPr="00EB2612">
        <w:t xml:space="preserve"> % populace. Nejčtenějšími typy tisku dle periody byly d</w:t>
      </w:r>
      <w:r w:rsidR="009148D6" w:rsidRPr="00EB2612">
        <w:t xml:space="preserve">eníky a </w:t>
      </w:r>
      <w:r w:rsidR="00262FF7" w:rsidRPr="00EB2612">
        <w:t>měsíčníky</w:t>
      </w:r>
      <w:r w:rsidR="009148D6" w:rsidRPr="00EB2612">
        <w:t xml:space="preserve">, které četlo </w:t>
      </w:r>
      <w:r w:rsidR="00262FF7" w:rsidRPr="00EB2612">
        <w:t>58</w:t>
      </w:r>
      <w:r w:rsidR="00921B50" w:rsidRPr="00EB2612">
        <w:t xml:space="preserve"> %</w:t>
      </w:r>
      <w:r w:rsidR="00262FF7" w:rsidRPr="00EB2612">
        <w:t>, respektive 56</w:t>
      </w:r>
      <w:r w:rsidR="00562394" w:rsidRPr="00EB2612">
        <w:t xml:space="preserve"> % </w:t>
      </w:r>
      <w:r w:rsidR="00921B50" w:rsidRPr="00EB2612">
        <w:t xml:space="preserve"> populace. </w:t>
      </w:r>
      <w:r w:rsidR="00262FF7" w:rsidRPr="00EB2612">
        <w:t>Týdeníky pak četlo 55</w:t>
      </w:r>
      <w:r w:rsidR="00921B50" w:rsidRPr="00EB2612">
        <w:t xml:space="preserve"> % a</w:t>
      </w:r>
      <w:r w:rsidR="009F6C58" w:rsidRPr="00EB2612">
        <w:t> </w:t>
      </w:r>
      <w:r w:rsidR="003F593B" w:rsidRPr="00EB2612">
        <w:t>čtrnáctideníky</w:t>
      </w:r>
      <w:r w:rsidR="00262FF7" w:rsidRPr="00EB2612">
        <w:t xml:space="preserve"> 46</w:t>
      </w:r>
      <w:r w:rsidR="00CC15C7" w:rsidRPr="00EB2612">
        <w:t> </w:t>
      </w:r>
      <w:r w:rsidR="00921B50" w:rsidRPr="00EB2612">
        <w:t>% populace.</w:t>
      </w:r>
      <w:r w:rsidR="00C519D0">
        <w:t xml:space="preserve"> Podíl jednotlivých typů periodik mohl být ovlivněn také celkovým počtem dostupných titulů – na pultech obchodů bylo např. k dostání více deníků než čtrnáctideníků.</w:t>
      </w:r>
      <w:r w:rsidR="00921B50" w:rsidRPr="00EB2612">
        <w:t xml:space="preserve"> Přehledné porovnání </w:t>
      </w:r>
      <w:proofErr w:type="spellStart"/>
      <w:r w:rsidR="00921B50" w:rsidRPr="00EB2612">
        <w:t>čtenosti</w:t>
      </w:r>
      <w:proofErr w:type="spellEnd"/>
      <w:r w:rsidR="00921B50" w:rsidRPr="00EB2612">
        <w:t xml:space="preserve"> tisku pod</w:t>
      </w:r>
      <w:r w:rsidR="008C2DDF" w:rsidRPr="00EB2612">
        <w:t>le periody vydání nabízí Gr</w:t>
      </w:r>
      <w:r w:rsidR="0088482B">
        <w:t>af 24</w:t>
      </w:r>
      <w:r w:rsidR="00921B50" w:rsidRPr="00EB2612">
        <w:t>.</w:t>
      </w:r>
    </w:p>
    <w:p w:rsidR="00E92B7F" w:rsidRPr="00EB2612" w:rsidRDefault="00E92B7F" w:rsidP="00E92B7F">
      <w:pPr>
        <w:pStyle w:val="Titulek"/>
        <w:keepNext/>
        <w:jc w:val="left"/>
        <w:rPr>
          <w:color w:val="auto"/>
          <w:sz w:val="22"/>
          <w:szCs w:val="22"/>
        </w:rPr>
      </w:pPr>
      <w:r w:rsidRPr="00EB2612">
        <w:rPr>
          <w:color w:val="auto"/>
          <w:sz w:val="22"/>
          <w:szCs w:val="22"/>
        </w:rPr>
        <w:t xml:space="preserve">Graf </w:t>
      </w:r>
      <w:r w:rsidR="0088482B">
        <w:rPr>
          <w:color w:val="auto"/>
          <w:sz w:val="22"/>
          <w:szCs w:val="22"/>
        </w:rPr>
        <w:t>24</w:t>
      </w:r>
      <w:r w:rsidR="002F7B33" w:rsidRPr="00EB2612">
        <w:rPr>
          <w:color w:val="auto"/>
          <w:sz w:val="22"/>
          <w:szCs w:val="22"/>
        </w:rPr>
        <w:t xml:space="preserve"> </w:t>
      </w:r>
      <w:r w:rsidR="00D52621" w:rsidRPr="00EB2612">
        <w:rPr>
          <w:b w:val="0"/>
          <w:color w:val="auto"/>
          <w:sz w:val="22"/>
          <w:szCs w:val="22"/>
        </w:rPr>
        <w:t xml:space="preserve">Podíl </w:t>
      </w:r>
      <w:r w:rsidR="001132C6" w:rsidRPr="00EB2612">
        <w:rPr>
          <w:b w:val="0"/>
          <w:color w:val="auto"/>
          <w:sz w:val="22"/>
          <w:szCs w:val="22"/>
        </w:rPr>
        <w:t>osob</w:t>
      </w:r>
      <w:r w:rsidR="0088482B">
        <w:rPr>
          <w:b w:val="0"/>
          <w:color w:val="auto"/>
          <w:sz w:val="22"/>
          <w:szCs w:val="22"/>
        </w:rPr>
        <w:t xml:space="preserve"> ve věku 12</w:t>
      </w:r>
      <w:r w:rsidR="0088482B" w:rsidRPr="0088482B">
        <w:rPr>
          <w:b w:val="0"/>
          <w:color w:val="auto"/>
          <w:sz w:val="22"/>
          <w:szCs w:val="22"/>
        </w:rPr>
        <w:t>–79 let</w:t>
      </w:r>
      <w:r w:rsidR="001132C6" w:rsidRPr="00EB2612">
        <w:rPr>
          <w:b w:val="0"/>
          <w:color w:val="auto"/>
          <w:sz w:val="22"/>
          <w:szCs w:val="22"/>
        </w:rPr>
        <w:t>, které</w:t>
      </w:r>
      <w:r w:rsidR="00262FF7" w:rsidRPr="00EB2612">
        <w:rPr>
          <w:b w:val="0"/>
          <w:color w:val="auto"/>
          <w:sz w:val="22"/>
          <w:szCs w:val="22"/>
        </w:rPr>
        <w:t xml:space="preserve"> v 1. a 2. čtvrtletí 2020</w:t>
      </w:r>
      <w:r w:rsidR="00D52621" w:rsidRPr="00EB2612">
        <w:rPr>
          <w:b w:val="0"/>
          <w:color w:val="auto"/>
          <w:sz w:val="22"/>
          <w:szCs w:val="22"/>
        </w:rPr>
        <w:t xml:space="preserve"> četly vybrané typy periodik</w:t>
      </w:r>
    </w:p>
    <w:p w:rsidR="00AF1D7D" w:rsidRPr="00EB2612" w:rsidRDefault="00E83728" w:rsidP="00AF1D7D">
      <w:pPr>
        <w:rPr>
          <w:lang w:eastAsia="en-US"/>
        </w:rPr>
      </w:pPr>
      <w:r w:rsidRPr="00EB2612">
        <w:rPr>
          <w:noProof/>
        </w:rPr>
        <w:drawing>
          <wp:inline distT="0" distB="0" distL="0" distR="0">
            <wp:extent cx="5257800" cy="1657350"/>
            <wp:effectExtent l="0" t="0" r="0" b="0"/>
            <wp:docPr id="11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B6787" w:rsidRPr="00EB2612" w:rsidRDefault="00E92B7F" w:rsidP="00E92B7F">
      <w:pPr>
        <w:pStyle w:val="Titulek"/>
        <w:jc w:val="left"/>
        <w:rPr>
          <w:b w:val="0"/>
          <w:color w:val="auto"/>
          <w:sz w:val="22"/>
          <w:szCs w:val="22"/>
        </w:rPr>
      </w:pPr>
      <w:r w:rsidRPr="00EB2612">
        <w:rPr>
          <w:b w:val="0"/>
          <w:color w:val="auto"/>
          <w:sz w:val="22"/>
          <w:szCs w:val="22"/>
        </w:rPr>
        <w:lastRenderedPageBreak/>
        <w:t xml:space="preserve">Zdroj: </w:t>
      </w:r>
      <w:r w:rsidR="003F593B">
        <w:rPr>
          <w:b w:val="0"/>
          <w:color w:val="auto"/>
          <w:sz w:val="22"/>
          <w:szCs w:val="22"/>
        </w:rPr>
        <w:t xml:space="preserve">MEDIA PROJEKT, STEM MARK </w:t>
      </w:r>
      <w:r w:rsidR="003F593B" w:rsidRPr="003F593B">
        <w:rPr>
          <w:b w:val="0"/>
          <w:color w:val="auto"/>
          <w:sz w:val="22"/>
          <w:szCs w:val="22"/>
        </w:rPr>
        <w:t>–</w:t>
      </w:r>
      <w:r w:rsidR="00AF1D7D" w:rsidRPr="00EB2612">
        <w:rPr>
          <w:b w:val="0"/>
          <w:color w:val="auto"/>
          <w:sz w:val="22"/>
          <w:szCs w:val="22"/>
        </w:rPr>
        <w:t xml:space="preserve"> MEDIAN</w:t>
      </w:r>
    </w:p>
    <w:p w:rsidR="006C1C47" w:rsidRPr="00EB2612" w:rsidRDefault="00166697" w:rsidP="006C1C47">
      <w:pPr>
        <w:rPr>
          <w:lang w:eastAsia="en-US"/>
        </w:rPr>
      </w:pPr>
      <w:r w:rsidRPr="00EB2612">
        <w:rPr>
          <w:lang w:eastAsia="en-US"/>
        </w:rPr>
        <w:t>Tištěná média si udržovala své čtenáře také při první vlně koronavirové krize. Podle šetření MP CAPI, které probíhalo v průběhu května a června</w:t>
      </w:r>
      <w:r w:rsidR="008B0CC3" w:rsidRPr="00EB2612">
        <w:rPr>
          <w:lang w:eastAsia="en-US"/>
        </w:rPr>
        <w:t xml:space="preserve"> 2020</w:t>
      </w:r>
      <w:r w:rsidRPr="00EB2612">
        <w:rPr>
          <w:lang w:eastAsia="en-US"/>
        </w:rPr>
        <w:t xml:space="preserve"> prostřednictvím online rozhovorů, se </w:t>
      </w:r>
      <w:proofErr w:type="spellStart"/>
      <w:r w:rsidRPr="00EB2612">
        <w:rPr>
          <w:lang w:eastAsia="en-US"/>
        </w:rPr>
        <w:t>čtenost</w:t>
      </w:r>
      <w:proofErr w:type="spellEnd"/>
      <w:r w:rsidRPr="00EB2612">
        <w:rPr>
          <w:lang w:eastAsia="en-US"/>
        </w:rPr>
        <w:t xml:space="preserve"> </w:t>
      </w:r>
      <w:r w:rsidR="00EC5C84">
        <w:rPr>
          <w:lang w:eastAsia="en-US"/>
        </w:rPr>
        <w:t xml:space="preserve">tisku </w:t>
      </w:r>
      <w:r w:rsidRPr="00EB2612">
        <w:rPr>
          <w:lang w:eastAsia="en-US"/>
        </w:rPr>
        <w:t xml:space="preserve">v populaci během první vlny koronavirové krize (v době trvání nouzového stavu) mírně zvýšila. </w:t>
      </w:r>
      <w:r w:rsidR="008B0CC3" w:rsidRPr="00EB2612">
        <w:rPr>
          <w:lang w:eastAsia="en-US"/>
        </w:rPr>
        <w:t>Jednalo se však o</w:t>
      </w:r>
      <w:r w:rsidR="00362010">
        <w:rPr>
          <w:lang w:eastAsia="en-US"/>
        </w:rPr>
        <w:t> </w:t>
      </w:r>
      <w:r w:rsidR="008B0CC3" w:rsidRPr="00EB2612">
        <w:rPr>
          <w:lang w:eastAsia="en-US"/>
        </w:rPr>
        <w:t xml:space="preserve">nárůst spíše nepatrný - </w:t>
      </w:r>
      <w:r w:rsidRPr="00EB2612">
        <w:rPr>
          <w:lang w:eastAsia="en-US"/>
        </w:rPr>
        <w:t xml:space="preserve">16 </w:t>
      </w:r>
      <w:r w:rsidRPr="00EB2612">
        <w:t xml:space="preserve">% obyvatel </w:t>
      </w:r>
      <w:r w:rsidR="008B0CC3" w:rsidRPr="00EB2612">
        <w:t xml:space="preserve">četlo </w:t>
      </w:r>
      <w:r w:rsidR="00EC5C84">
        <w:t xml:space="preserve">tisk </w:t>
      </w:r>
      <w:r w:rsidR="008B0CC3" w:rsidRPr="00EB2612">
        <w:t xml:space="preserve">během krize </w:t>
      </w:r>
      <w:r w:rsidRPr="00EB2612">
        <w:t>m</w:t>
      </w:r>
      <w:r w:rsidR="008B0CC3" w:rsidRPr="00EB2612">
        <w:t>éně a</w:t>
      </w:r>
      <w:r w:rsidRPr="00EB2612">
        <w:t xml:space="preserve"> 17 %</w:t>
      </w:r>
      <w:r w:rsidR="008B0CC3" w:rsidRPr="00EB2612">
        <w:t xml:space="preserve"> </w:t>
      </w:r>
      <w:r w:rsidRPr="00EB2612">
        <w:t>četlo více nebo mnohem více</w:t>
      </w:r>
      <w:r w:rsidR="008B0CC3" w:rsidRPr="00EB2612">
        <w:t xml:space="preserve"> než předtím</w:t>
      </w:r>
      <w:r w:rsidRPr="00EB2612">
        <w:t>. Více než po</w:t>
      </w:r>
      <w:r w:rsidR="008B0CC3" w:rsidRPr="00EB2612">
        <w:t>lovina obyvatel pak četla ve stejné míře jako před krizí</w:t>
      </w:r>
      <w:r w:rsidRPr="00EB2612">
        <w:t xml:space="preserve"> a 16 % osob nečetl</w:t>
      </w:r>
      <w:r w:rsidR="008B0CC3" w:rsidRPr="00EB2612">
        <w:t>o</w:t>
      </w:r>
      <w:r w:rsidRPr="00EB2612">
        <w:t xml:space="preserve"> vůbec.</w:t>
      </w:r>
      <w:r w:rsidR="008B0CC3" w:rsidRPr="00EB2612">
        <w:t xml:space="preserve"> </w:t>
      </w:r>
    </w:p>
    <w:p w:rsidR="006C1C47" w:rsidRDefault="006C1C47" w:rsidP="00C519D0">
      <w:pPr>
        <w:pStyle w:val="Titulek"/>
        <w:keepNext/>
        <w:jc w:val="left"/>
        <w:rPr>
          <w:b w:val="0"/>
          <w:color w:val="auto"/>
          <w:sz w:val="22"/>
          <w:szCs w:val="22"/>
        </w:rPr>
      </w:pPr>
      <w:r w:rsidRPr="0088482B">
        <w:rPr>
          <w:color w:val="auto"/>
          <w:sz w:val="22"/>
          <w:szCs w:val="22"/>
        </w:rPr>
        <w:t xml:space="preserve">Graf </w:t>
      </w:r>
      <w:r w:rsidR="0088482B" w:rsidRPr="0088482B">
        <w:rPr>
          <w:color w:val="auto"/>
          <w:sz w:val="22"/>
          <w:szCs w:val="22"/>
        </w:rPr>
        <w:t>25</w:t>
      </w:r>
      <w:r w:rsidRPr="00EB2612">
        <w:rPr>
          <w:b w:val="0"/>
          <w:color w:val="auto"/>
          <w:sz w:val="22"/>
          <w:szCs w:val="22"/>
        </w:rPr>
        <w:t xml:space="preserve"> Změny chování v souvislosti s četbou tisku v období </w:t>
      </w:r>
      <w:proofErr w:type="spellStart"/>
      <w:r w:rsidRPr="00EB2612">
        <w:rPr>
          <w:b w:val="0"/>
          <w:color w:val="auto"/>
          <w:sz w:val="22"/>
          <w:szCs w:val="22"/>
        </w:rPr>
        <w:t>koronavirové</w:t>
      </w:r>
      <w:proofErr w:type="spellEnd"/>
      <w:r w:rsidRPr="00EB2612">
        <w:rPr>
          <w:b w:val="0"/>
          <w:color w:val="auto"/>
          <w:sz w:val="22"/>
          <w:szCs w:val="22"/>
        </w:rPr>
        <w:t xml:space="preserve"> krize </w:t>
      </w:r>
      <w:r w:rsidR="00166697" w:rsidRPr="00EB2612">
        <w:rPr>
          <w:b w:val="0"/>
          <w:color w:val="auto"/>
          <w:sz w:val="22"/>
          <w:szCs w:val="22"/>
        </w:rPr>
        <w:t>(první vlna</w:t>
      </w:r>
      <w:r w:rsidR="00EC5C84">
        <w:rPr>
          <w:b w:val="0"/>
          <w:color w:val="auto"/>
          <w:sz w:val="22"/>
          <w:szCs w:val="22"/>
        </w:rPr>
        <w:t xml:space="preserve"> – jaro 2019</w:t>
      </w:r>
      <w:r w:rsidRPr="00EB2612">
        <w:rPr>
          <w:b w:val="0"/>
          <w:color w:val="auto"/>
          <w:sz w:val="22"/>
          <w:szCs w:val="22"/>
        </w:rPr>
        <w:t>)</w:t>
      </w:r>
    </w:p>
    <w:p w:rsidR="00C519D0" w:rsidRPr="00C519D0" w:rsidRDefault="00C519D0" w:rsidP="00C519D0">
      <w:pPr>
        <w:jc w:val="center"/>
        <w:rPr>
          <w:lang w:eastAsia="en-US"/>
        </w:rPr>
      </w:pPr>
      <w:r w:rsidRPr="00C519D0">
        <w:rPr>
          <w:noProof/>
        </w:rPr>
        <w:drawing>
          <wp:inline distT="0" distB="0" distL="0" distR="0">
            <wp:extent cx="3679545" cy="1872691"/>
            <wp:effectExtent l="0" t="0" r="0" b="0"/>
            <wp:docPr id="12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2382B" w:rsidRPr="00EB2612" w:rsidRDefault="006C1C47" w:rsidP="006C1C47">
      <w:pPr>
        <w:pStyle w:val="Titulek"/>
        <w:rPr>
          <w:b w:val="0"/>
          <w:color w:val="auto"/>
          <w:sz w:val="22"/>
          <w:szCs w:val="22"/>
        </w:rPr>
      </w:pPr>
      <w:r w:rsidRPr="00EB2612">
        <w:rPr>
          <w:b w:val="0"/>
          <w:color w:val="auto"/>
          <w:sz w:val="22"/>
          <w:szCs w:val="22"/>
        </w:rPr>
        <w:t xml:space="preserve">Zdroj: </w:t>
      </w:r>
      <w:r w:rsidR="008B0CC3" w:rsidRPr="00EB2612">
        <w:rPr>
          <w:b w:val="0"/>
          <w:color w:val="auto"/>
          <w:sz w:val="22"/>
          <w:szCs w:val="22"/>
        </w:rPr>
        <w:t xml:space="preserve">MP CAPI, STEM MARK </w:t>
      </w:r>
      <w:r w:rsidR="003F593B">
        <w:rPr>
          <w:b w:val="0"/>
          <w:color w:val="auto"/>
          <w:sz w:val="22"/>
          <w:szCs w:val="22"/>
        </w:rPr>
        <w:t xml:space="preserve">- </w:t>
      </w:r>
      <w:r w:rsidR="008B0CC3" w:rsidRPr="00EB2612">
        <w:rPr>
          <w:b w:val="0"/>
          <w:color w:val="auto"/>
          <w:sz w:val="22"/>
          <w:szCs w:val="22"/>
        </w:rPr>
        <w:t>MEDIAN</w:t>
      </w:r>
      <w:r w:rsidR="008B0CC3" w:rsidRPr="00EB2612">
        <w:t xml:space="preserve"> </w:t>
      </w:r>
      <w:r w:rsidR="00B2382B" w:rsidRPr="00EB2612">
        <w:br w:type="page"/>
      </w:r>
    </w:p>
    <w:p w:rsidR="00BB64DB" w:rsidRPr="00EB2612" w:rsidRDefault="00BB64DB" w:rsidP="00694914">
      <w:pPr>
        <w:pStyle w:val="Nadpis1"/>
        <w:numPr>
          <w:ilvl w:val="0"/>
          <w:numId w:val="17"/>
        </w:numPr>
      </w:pPr>
      <w:bookmarkStart w:id="54" w:name="_Toc430189800"/>
      <w:bookmarkStart w:id="55" w:name="_Toc55384431"/>
      <w:r w:rsidRPr="00EB2612">
        <w:lastRenderedPageBreak/>
        <w:t>FILM A HUDBA</w:t>
      </w:r>
      <w:bookmarkEnd w:id="54"/>
      <w:bookmarkEnd w:id="55"/>
    </w:p>
    <w:p w:rsidR="00D862DB" w:rsidRPr="00EB2612" w:rsidRDefault="00D862DB" w:rsidP="00D862DB">
      <w:r w:rsidRPr="00EB2612">
        <w:t>Hudební nosič CD, který započal na konci minulého století digitální revoluci v hudebním průmyslu, oslavil v roce 2019 již 40 let působení na trhu. Na velkou oslavu to však není - fyzické nosiče se na začátku druhé dekády pomalu vytrácí z domácností a stávají se fenoménem pro zapálenější hudební fanoušky. Fanoušci fyzických nosičů však volí stále častěji spíše vinylové desky, jejichž prodeje každoročně rostou. Celosvětový trh s nahrávkami táhnou příjmy ze streamingu, zatímco příjmy ze stažených nahrávek za poplatek se každoročně snižují. Významnou část příjmů tvoří každoročně také poplatky za provozovací práva (IFPI, 2020).</w:t>
      </w:r>
    </w:p>
    <w:p w:rsidR="00BB64DB" w:rsidRPr="00EB2612" w:rsidRDefault="00BB64DB" w:rsidP="00BB64DB">
      <w:pPr>
        <w:ind w:firstLine="708"/>
      </w:pPr>
      <w:r w:rsidRPr="00EB2612">
        <w:t>Pro ekonomickou analýzu hudebního průmyslu jako celku by bylo vhodné zohlednit do</w:t>
      </w:r>
      <w:r w:rsidR="000E0D24" w:rsidRPr="00EB2612">
        <w:t> </w:t>
      </w:r>
      <w:r w:rsidRPr="00EB2612">
        <w:t>prezentovaných ukazatelů také tr</w:t>
      </w:r>
      <w:r w:rsidR="001B23C7" w:rsidRPr="00EB2612">
        <w:t>žby z živých vystoupení,</w:t>
      </w:r>
      <w:r w:rsidR="005E6744" w:rsidRPr="00EB2612">
        <w:t xml:space="preserve"> které </w:t>
      </w:r>
      <w:r w:rsidR="001C7E8B" w:rsidRPr="00EB2612">
        <w:t>jsou důležitým zdrojem</w:t>
      </w:r>
      <w:r w:rsidR="001B23C7" w:rsidRPr="00EB2612">
        <w:t xml:space="preserve"> příjmů interpretů</w:t>
      </w:r>
      <w:r w:rsidR="001C4AB2" w:rsidRPr="00EB2612">
        <w:t>.</w:t>
      </w:r>
      <w:r w:rsidRPr="00EB2612">
        <w:t xml:space="preserve"> Vzhledem k velmi úzkému vymezení hudební oblasti</w:t>
      </w:r>
      <w:r w:rsidR="003C7985" w:rsidRPr="00EB2612">
        <w:t xml:space="preserve"> </w:t>
      </w:r>
      <w:r w:rsidRPr="00EB2612">
        <w:t xml:space="preserve">v rámci </w:t>
      </w:r>
      <w:r w:rsidR="003C7985" w:rsidRPr="00EB2612">
        <w:t>výchozího trojsektorového členění kultury</w:t>
      </w:r>
      <w:r w:rsidRPr="00EB2612">
        <w:t xml:space="preserve"> </w:t>
      </w:r>
      <w:r w:rsidR="00CF3AF7" w:rsidRPr="00EB2612">
        <w:t>jsou však v této publikaci</w:t>
      </w:r>
      <w:r w:rsidRPr="00EB2612">
        <w:t xml:space="preserve"> </w:t>
      </w:r>
      <w:r w:rsidR="00EE504E" w:rsidRPr="00EB2612">
        <w:t>příjmy</w:t>
      </w:r>
      <w:r w:rsidRPr="00EB2612">
        <w:t xml:space="preserve"> z živých hudebních vystoupení ponechány mimo oblast zájmu analýzy.</w:t>
      </w:r>
    </w:p>
    <w:p w:rsidR="004E4988" w:rsidRPr="00EB2612" w:rsidRDefault="00B973C2" w:rsidP="00BB64DB">
      <w:pPr>
        <w:ind w:firstLine="708"/>
      </w:pPr>
      <w:r w:rsidRPr="00EB2612">
        <w:t>Stejně jako hudební nahrávky js</w:t>
      </w:r>
      <w:r w:rsidR="00D862DB" w:rsidRPr="00EB2612">
        <w:t>ou také audiovizuální díla stále</w:t>
      </w:r>
      <w:r w:rsidRPr="00EB2612">
        <w:t xml:space="preserve"> častěji </w:t>
      </w:r>
      <w:r w:rsidR="00A00CD9" w:rsidRPr="00EB2612">
        <w:t xml:space="preserve">vyhledávána </w:t>
      </w:r>
      <w:r w:rsidR="003F593B" w:rsidRPr="00EB2612">
        <w:t>prostřednictvím</w:t>
      </w:r>
      <w:r w:rsidR="00A00CD9" w:rsidRPr="00EB2612">
        <w:t xml:space="preserve"> strea</w:t>
      </w:r>
      <w:r w:rsidR="00D862DB" w:rsidRPr="00EB2612">
        <w:t xml:space="preserve">mingových platforem. To se </w:t>
      </w:r>
      <w:r w:rsidR="00A00CD9" w:rsidRPr="00EB2612">
        <w:t>promítá do ekonomických výkonů subjektů v rámci jednotlivých dílčích oblastí filmového průmyslu. Podle údajů Evropské audiovizuální laboratoře je jediným rostoucím segmentem v oblasti audiovize právě streaming (</w:t>
      </w:r>
      <w:r w:rsidR="00D27CF3">
        <w:t>zpřístupnění audiovizuálního obsahu na on-line platformě</w:t>
      </w:r>
      <w:r w:rsidR="00A00CD9" w:rsidRPr="00EB2612">
        <w:t>)</w:t>
      </w:r>
      <w:r w:rsidR="001C7E8B" w:rsidRPr="00EB2612">
        <w:t>,</w:t>
      </w:r>
      <w:r w:rsidR="00A00CD9" w:rsidRPr="00EB2612">
        <w:t xml:space="preserve"> zatímco příjmy z pokladen kinosálů</w:t>
      </w:r>
      <w:r w:rsidR="00D27CF3">
        <w:t xml:space="preserve"> na evropském trhu</w:t>
      </w:r>
      <w:r w:rsidR="00A00CD9" w:rsidRPr="00EB2612">
        <w:t xml:space="preserve"> stagnují a fyzické nosiče se pomalu vytrácí z</w:t>
      </w:r>
      <w:r w:rsidR="001C7E8B" w:rsidRPr="00EB2612">
        <w:t> </w:t>
      </w:r>
      <w:r w:rsidR="00A00CD9" w:rsidRPr="00EB2612">
        <w:t>trhu</w:t>
      </w:r>
      <w:r w:rsidR="001C7E8B" w:rsidRPr="00EB2612">
        <w:t xml:space="preserve"> (EAO, 2020)</w:t>
      </w:r>
      <w:r w:rsidR="00A00CD9" w:rsidRPr="00EB2612">
        <w:t>.</w:t>
      </w:r>
    </w:p>
    <w:p w:rsidR="00CB6787" w:rsidRPr="00EB2612" w:rsidRDefault="00A00CD9" w:rsidP="00BB64DB">
      <w:pPr>
        <w:ind w:firstLine="708"/>
      </w:pPr>
      <w:r w:rsidRPr="00EB2612">
        <w:t xml:space="preserve">Služby </w:t>
      </w:r>
      <w:r w:rsidR="00DE2D5D" w:rsidRPr="00EB2612">
        <w:t xml:space="preserve">pro </w:t>
      </w:r>
      <w:r w:rsidR="007B45A4" w:rsidRPr="00EB2612">
        <w:t xml:space="preserve">internetové </w:t>
      </w:r>
      <w:r w:rsidR="00DE2D5D" w:rsidRPr="00EB2612">
        <w:t>přehrávání filmu</w:t>
      </w:r>
      <w:r w:rsidR="007538BC">
        <w:t xml:space="preserve"> a videa</w:t>
      </w:r>
      <w:r w:rsidR="00DE2D5D" w:rsidRPr="00EB2612">
        <w:t xml:space="preserve"> jsou oblíbené také v České republice a jsou využívány dokonce častěji než digitální služby pro po</w:t>
      </w:r>
      <w:r w:rsidR="00E03492" w:rsidRPr="00EB2612">
        <w:t>slech hudby. Jak ukazuje Graf 26</w:t>
      </w:r>
      <w:r w:rsidRPr="00EB2612">
        <w:t>, v roce 2019</w:t>
      </w:r>
      <w:r w:rsidR="00DE2D5D" w:rsidRPr="00EB2612">
        <w:t xml:space="preserve"> využilo internet pro sledo</w:t>
      </w:r>
      <w:r w:rsidR="007B45A4" w:rsidRPr="00EB2612">
        <w:t>vání filmů či videa přibližně 51</w:t>
      </w:r>
      <w:r w:rsidR="00DE2D5D" w:rsidRPr="00EB2612">
        <w:t xml:space="preserve"> % populace starš</w:t>
      </w:r>
      <w:r w:rsidR="000F6B80" w:rsidRPr="00EB2612">
        <w:t>í 16 let (5</w:t>
      </w:r>
      <w:r w:rsidR="007B45A4" w:rsidRPr="00EB2612">
        <w:t>4</w:t>
      </w:r>
      <w:r w:rsidR="00DE2D5D" w:rsidRPr="00EB2612">
        <w:t xml:space="preserve"> % mužů</w:t>
      </w:r>
      <w:r w:rsidR="000F6B80" w:rsidRPr="00EB2612">
        <w:t xml:space="preserve"> a </w:t>
      </w:r>
      <w:r w:rsidR="007B45A4" w:rsidRPr="00EB2612">
        <w:t>48</w:t>
      </w:r>
      <w:r w:rsidR="00DE2D5D" w:rsidRPr="00EB2612">
        <w:t xml:space="preserve"> % žen), zatímco pro poslech</w:t>
      </w:r>
      <w:r w:rsidR="007B45A4" w:rsidRPr="00EB2612">
        <w:t xml:space="preserve"> hudby pouze 46</w:t>
      </w:r>
      <w:r w:rsidR="0029010F" w:rsidRPr="00EB2612">
        <w:t> </w:t>
      </w:r>
      <w:r w:rsidR="007B45A4" w:rsidRPr="00EB2612">
        <w:t>% sledované populace (49</w:t>
      </w:r>
      <w:r w:rsidR="00AE42D9" w:rsidRPr="00EB2612">
        <w:t xml:space="preserve"> %</w:t>
      </w:r>
      <w:r w:rsidR="007B45A4" w:rsidRPr="00EB2612">
        <w:t xml:space="preserve"> mužů a 44</w:t>
      </w:r>
      <w:r w:rsidR="00AE42D9" w:rsidRPr="00EB2612">
        <w:t xml:space="preserve"> % žen).</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2</w:t>
      </w:r>
      <w:r w:rsidR="00E03492" w:rsidRPr="00EB2612">
        <w:rPr>
          <w:color w:val="auto"/>
          <w:sz w:val="22"/>
          <w:szCs w:val="22"/>
        </w:rPr>
        <w:t>6</w:t>
      </w:r>
      <w:r w:rsidRPr="00EB2612">
        <w:rPr>
          <w:b w:val="0"/>
          <w:color w:val="auto"/>
          <w:sz w:val="22"/>
          <w:szCs w:val="22"/>
        </w:rPr>
        <w:t xml:space="preserve"> </w:t>
      </w:r>
      <w:r w:rsidR="00D52621" w:rsidRPr="00EB2612">
        <w:rPr>
          <w:b w:val="0"/>
          <w:color w:val="auto"/>
          <w:sz w:val="22"/>
          <w:szCs w:val="22"/>
        </w:rPr>
        <w:t xml:space="preserve">Podíl osob </w:t>
      </w:r>
      <w:r w:rsidR="007538BC">
        <w:rPr>
          <w:b w:val="0"/>
          <w:color w:val="auto"/>
          <w:sz w:val="22"/>
          <w:szCs w:val="22"/>
        </w:rPr>
        <w:t>ve věku</w:t>
      </w:r>
      <w:r w:rsidR="0088482B">
        <w:rPr>
          <w:b w:val="0"/>
          <w:color w:val="auto"/>
          <w:sz w:val="22"/>
          <w:szCs w:val="22"/>
        </w:rPr>
        <w:t xml:space="preserve"> 16</w:t>
      </w:r>
      <w:r w:rsidR="007538BC">
        <w:rPr>
          <w:b w:val="0"/>
          <w:color w:val="auto"/>
          <w:sz w:val="22"/>
          <w:szCs w:val="22"/>
        </w:rPr>
        <w:t xml:space="preserve"> a více</w:t>
      </w:r>
      <w:r w:rsidR="0088482B">
        <w:rPr>
          <w:b w:val="0"/>
          <w:color w:val="auto"/>
          <w:sz w:val="22"/>
          <w:szCs w:val="22"/>
        </w:rPr>
        <w:t xml:space="preserve"> let </w:t>
      </w:r>
      <w:r w:rsidR="00D52621" w:rsidRPr="00EB2612">
        <w:rPr>
          <w:b w:val="0"/>
          <w:color w:val="auto"/>
          <w:sz w:val="22"/>
          <w:szCs w:val="22"/>
        </w:rPr>
        <w:t>využívajících internet</w:t>
      </w:r>
      <w:r w:rsidRPr="00EB2612">
        <w:rPr>
          <w:b w:val="0"/>
          <w:color w:val="auto"/>
          <w:sz w:val="22"/>
          <w:szCs w:val="22"/>
        </w:rPr>
        <w:t xml:space="preserve"> k</w:t>
      </w:r>
      <w:r w:rsidR="007E1B9D" w:rsidRPr="00EB2612">
        <w:rPr>
          <w:b w:val="0"/>
          <w:color w:val="auto"/>
          <w:sz w:val="22"/>
          <w:szCs w:val="22"/>
        </w:rPr>
        <w:t> poslechu hudby a sled</w:t>
      </w:r>
      <w:r w:rsidR="007B0332" w:rsidRPr="00EB2612">
        <w:rPr>
          <w:b w:val="0"/>
          <w:color w:val="auto"/>
          <w:sz w:val="22"/>
          <w:szCs w:val="22"/>
        </w:rPr>
        <w:t>ování filmů či videa v roce 2019</w:t>
      </w:r>
      <w:r w:rsidR="007E1B9D" w:rsidRPr="00EB2612">
        <w:rPr>
          <w:b w:val="0"/>
          <w:color w:val="auto"/>
          <w:sz w:val="22"/>
          <w:szCs w:val="22"/>
        </w:rPr>
        <w:t xml:space="preserve"> podle pohlaví</w:t>
      </w:r>
    </w:p>
    <w:p w:rsidR="00FF5022" w:rsidRPr="00EB2612" w:rsidRDefault="00D862DB" w:rsidP="00CD5C9C">
      <w:pPr>
        <w:jc w:val="center"/>
        <w:rPr>
          <w:lang w:eastAsia="en-US"/>
        </w:rPr>
      </w:pPr>
      <w:r w:rsidRPr="00EB2612">
        <w:rPr>
          <w:noProof/>
        </w:rPr>
        <w:drawing>
          <wp:inline distT="0" distB="0" distL="0" distR="0">
            <wp:extent cx="4572000" cy="2162175"/>
            <wp:effectExtent l="0" t="0" r="0" b="0"/>
            <wp:docPr id="2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B64DB" w:rsidRPr="00EB2612" w:rsidRDefault="00612473" w:rsidP="00BB64DB">
      <w:pPr>
        <w:pStyle w:val="Titulek"/>
        <w:rPr>
          <w:b w:val="0"/>
          <w:color w:val="auto"/>
          <w:sz w:val="22"/>
          <w:szCs w:val="22"/>
        </w:rPr>
      </w:pPr>
      <w:r w:rsidRPr="00EB2612">
        <w:rPr>
          <w:b w:val="0"/>
          <w:color w:val="auto"/>
          <w:sz w:val="22"/>
          <w:szCs w:val="22"/>
        </w:rPr>
        <w:t xml:space="preserve">Zdroj: </w:t>
      </w:r>
      <w:r w:rsidR="00D862DB" w:rsidRPr="00EB2612">
        <w:rPr>
          <w:b w:val="0"/>
          <w:color w:val="auto"/>
          <w:sz w:val="22"/>
          <w:szCs w:val="22"/>
        </w:rPr>
        <w:t>Výběrové šetření o informačních a komunikačních technologiích</w:t>
      </w:r>
      <w:r w:rsidR="002A0381" w:rsidRPr="00EB2612">
        <w:rPr>
          <w:b w:val="0"/>
          <w:color w:val="auto"/>
          <w:sz w:val="22"/>
          <w:szCs w:val="22"/>
        </w:rPr>
        <w:t xml:space="preserve">, </w:t>
      </w:r>
      <w:r w:rsidRPr="00EB2612">
        <w:rPr>
          <w:b w:val="0"/>
          <w:color w:val="auto"/>
          <w:sz w:val="22"/>
          <w:szCs w:val="22"/>
        </w:rPr>
        <w:t>ČSÚ</w:t>
      </w:r>
    </w:p>
    <w:p w:rsidR="00BB64DB" w:rsidRPr="00EB2612" w:rsidRDefault="00BB64DB" w:rsidP="00BB64DB">
      <w:r w:rsidRPr="00EB2612">
        <w:t>Využívání internetu k přehrávání filmů, videa a hudby se také liší podle věkových kategorií, jak</w:t>
      </w:r>
      <w:r w:rsidR="008B64EB" w:rsidRPr="00EB2612">
        <w:t> </w:t>
      </w:r>
      <w:r w:rsidRPr="00EB2612">
        <w:t>ukazuje Graf</w:t>
      </w:r>
      <w:r w:rsidR="009F6C58" w:rsidRPr="00EB2612">
        <w:t> </w:t>
      </w:r>
      <w:r w:rsidR="004F4DFA" w:rsidRPr="00EB2612">
        <w:t>2</w:t>
      </w:r>
      <w:r w:rsidR="00E03492" w:rsidRPr="00EB2612">
        <w:t>7</w:t>
      </w:r>
      <w:r w:rsidRPr="00EB2612">
        <w:t xml:space="preserve">. </w:t>
      </w:r>
      <w:r w:rsidR="001132C6" w:rsidRPr="00EB2612">
        <w:t>Ve věku</w:t>
      </w:r>
      <w:r w:rsidR="0029010F" w:rsidRPr="00EB2612">
        <w:t xml:space="preserve"> 16</w:t>
      </w:r>
      <w:r w:rsidRPr="00EB2612">
        <w:rPr>
          <w:i/>
          <w:iCs/>
        </w:rPr>
        <w:t>–</w:t>
      </w:r>
      <w:r w:rsidRPr="00EB2612">
        <w:t xml:space="preserve">24 let využilo internet </w:t>
      </w:r>
      <w:r w:rsidR="0098125B" w:rsidRPr="00EB2612">
        <w:t xml:space="preserve">ke sledování filmů a </w:t>
      </w:r>
      <w:r w:rsidR="007C0993" w:rsidRPr="00EB2612">
        <w:t xml:space="preserve">videa </w:t>
      </w:r>
      <w:r w:rsidR="00C10234" w:rsidRPr="00EB2612">
        <w:t>91 % a k</w:t>
      </w:r>
      <w:r w:rsidR="007C0993" w:rsidRPr="00EB2612">
        <w:t xml:space="preserve"> poslechu hudby </w:t>
      </w:r>
      <w:r w:rsidR="00C10234" w:rsidRPr="00EB2612">
        <w:t>84</w:t>
      </w:r>
      <w:r w:rsidR="0098125B" w:rsidRPr="00EB2612">
        <w:t xml:space="preserve"> % populace</w:t>
      </w:r>
      <w:r w:rsidR="00407728" w:rsidRPr="00EB2612">
        <w:t xml:space="preserve"> v této věkové kategorii</w:t>
      </w:r>
      <w:r w:rsidRPr="00EB2612">
        <w:t>. S narůst</w:t>
      </w:r>
      <w:r w:rsidR="007C0993" w:rsidRPr="00EB2612">
        <w:t>ajícím věkem má pak četnost těchto aktivit</w:t>
      </w:r>
      <w:r w:rsidRPr="00EB2612">
        <w:t xml:space="preserve"> sestupnou tendenci</w:t>
      </w:r>
      <w:r w:rsidR="0098125B" w:rsidRPr="00EB2612">
        <w:t xml:space="preserve">, </w:t>
      </w:r>
      <w:r w:rsidR="0098125B" w:rsidRPr="00EB2612">
        <w:lastRenderedPageBreak/>
        <w:t>přičemž podíl těch, kteří poslouchají hudbu</w:t>
      </w:r>
      <w:r w:rsidR="003F593B">
        <w:t>,</w:t>
      </w:r>
      <w:r w:rsidR="0098125B" w:rsidRPr="00EB2612">
        <w:t xml:space="preserve"> klesá rychleji, než podíl těch, kteří sledují </w:t>
      </w:r>
      <w:r w:rsidR="007538BC">
        <w:t>film a video</w:t>
      </w:r>
      <w:r w:rsidRPr="00EB2612">
        <w:t>.</w:t>
      </w:r>
      <w:r w:rsidR="007C0993" w:rsidRPr="00EB2612">
        <w:t xml:space="preserve"> Ve</w:t>
      </w:r>
      <w:r w:rsidR="0029010F" w:rsidRPr="00EB2612">
        <w:t> </w:t>
      </w:r>
      <w:r w:rsidR="00C10234" w:rsidRPr="00EB2612">
        <w:t>věkové kategorii 7</w:t>
      </w:r>
      <w:r w:rsidR="007C0993" w:rsidRPr="00EB2612">
        <w:t xml:space="preserve">5 let a více se pak sledování filmů a videa </w:t>
      </w:r>
      <w:r w:rsidR="00E64CA1" w:rsidRPr="00EB2612">
        <w:t>či poslechu hudby přes internet</w:t>
      </w:r>
      <w:r w:rsidR="007C0993" w:rsidRPr="00EB2612">
        <w:t xml:space="preserve"> věnuje </w:t>
      </w:r>
      <w:r w:rsidR="00C10234" w:rsidRPr="00EB2612">
        <w:t>každý dvacátý</w:t>
      </w:r>
      <w:r w:rsidR="00E64CA1" w:rsidRPr="00EB2612">
        <w:t>.</w:t>
      </w:r>
    </w:p>
    <w:p w:rsidR="00BB64DB" w:rsidRPr="00EB2612" w:rsidRDefault="00BB64DB" w:rsidP="007E1B9D">
      <w:pPr>
        <w:pStyle w:val="Titulek"/>
        <w:keepNext/>
        <w:rPr>
          <w:noProof/>
        </w:rPr>
      </w:pPr>
      <w:r w:rsidRPr="00EB2612">
        <w:rPr>
          <w:color w:val="auto"/>
          <w:sz w:val="22"/>
          <w:szCs w:val="22"/>
        </w:rPr>
        <w:t xml:space="preserve">Graf </w:t>
      </w:r>
      <w:r w:rsidR="00E03492" w:rsidRPr="00EB2612">
        <w:rPr>
          <w:color w:val="auto"/>
          <w:sz w:val="22"/>
          <w:szCs w:val="22"/>
        </w:rPr>
        <w:t>27</w:t>
      </w:r>
      <w:r w:rsidRPr="00EB2612">
        <w:rPr>
          <w:color w:val="auto"/>
          <w:sz w:val="22"/>
          <w:szCs w:val="22"/>
        </w:rPr>
        <w:t xml:space="preserve"> </w:t>
      </w:r>
      <w:r w:rsidR="00407728" w:rsidRPr="00EB2612">
        <w:rPr>
          <w:b w:val="0"/>
          <w:color w:val="auto"/>
          <w:sz w:val="22"/>
          <w:szCs w:val="22"/>
        </w:rPr>
        <w:t>Podíl osob</w:t>
      </w:r>
      <w:r w:rsidR="00407728" w:rsidRPr="00EB2612">
        <w:rPr>
          <w:color w:val="auto"/>
          <w:sz w:val="22"/>
          <w:szCs w:val="22"/>
        </w:rPr>
        <w:t xml:space="preserve"> </w:t>
      </w:r>
      <w:r w:rsidR="00407728" w:rsidRPr="00EB2612">
        <w:rPr>
          <w:b w:val="0"/>
          <w:color w:val="auto"/>
          <w:sz w:val="22"/>
          <w:szCs w:val="22"/>
        </w:rPr>
        <w:t>poslouchající</w:t>
      </w:r>
      <w:r w:rsidR="000D3FEF" w:rsidRPr="00EB2612">
        <w:rPr>
          <w:b w:val="0"/>
          <w:color w:val="auto"/>
          <w:sz w:val="22"/>
          <w:szCs w:val="22"/>
        </w:rPr>
        <w:t>ch</w:t>
      </w:r>
      <w:r w:rsidR="00407728" w:rsidRPr="00EB2612">
        <w:rPr>
          <w:b w:val="0"/>
          <w:color w:val="auto"/>
          <w:sz w:val="22"/>
          <w:szCs w:val="22"/>
        </w:rPr>
        <w:t xml:space="preserve"> hudbu</w:t>
      </w:r>
      <w:r w:rsidR="007E1B9D" w:rsidRPr="00EB2612">
        <w:rPr>
          <w:b w:val="0"/>
          <w:color w:val="auto"/>
          <w:sz w:val="22"/>
          <w:szCs w:val="22"/>
        </w:rPr>
        <w:t xml:space="preserve"> a sle</w:t>
      </w:r>
      <w:r w:rsidR="00407728" w:rsidRPr="00EB2612">
        <w:rPr>
          <w:b w:val="0"/>
          <w:color w:val="auto"/>
          <w:sz w:val="22"/>
          <w:szCs w:val="22"/>
        </w:rPr>
        <w:t>dujících filmy</w:t>
      </w:r>
      <w:r w:rsidR="007E1B9D" w:rsidRPr="00EB2612">
        <w:rPr>
          <w:b w:val="0"/>
          <w:color w:val="auto"/>
          <w:sz w:val="22"/>
          <w:szCs w:val="22"/>
        </w:rPr>
        <w:t xml:space="preserve"> či videa</w:t>
      </w:r>
      <w:r w:rsidR="00407728" w:rsidRPr="00EB2612">
        <w:rPr>
          <w:b w:val="0"/>
          <w:color w:val="auto"/>
          <w:sz w:val="22"/>
          <w:szCs w:val="22"/>
        </w:rPr>
        <w:t xml:space="preserve"> on-line</w:t>
      </w:r>
      <w:r w:rsidR="00C10234" w:rsidRPr="00EB2612">
        <w:rPr>
          <w:b w:val="0"/>
          <w:color w:val="auto"/>
          <w:sz w:val="22"/>
          <w:szCs w:val="22"/>
        </w:rPr>
        <w:t xml:space="preserve"> v roce 2019</w:t>
      </w:r>
      <w:r w:rsidR="007E1B9D" w:rsidRPr="00EB2612">
        <w:rPr>
          <w:b w:val="0"/>
          <w:color w:val="auto"/>
          <w:sz w:val="22"/>
          <w:szCs w:val="22"/>
        </w:rPr>
        <w:t xml:space="preserve"> podle věkových kategorií</w:t>
      </w:r>
      <w:r w:rsidR="007E1B9D" w:rsidRPr="00EB2612">
        <w:rPr>
          <w:noProof/>
        </w:rPr>
        <w:t xml:space="preserve"> </w:t>
      </w:r>
    </w:p>
    <w:p w:rsidR="007E1B9D" w:rsidRPr="00EB2612" w:rsidRDefault="00D862DB" w:rsidP="007E1B9D">
      <w:pPr>
        <w:rPr>
          <w:lang w:eastAsia="en-US"/>
        </w:rPr>
      </w:pPr>
      <w:r w:rsidRPr="00EB2612">
        <w:rPr>
          <w:noProof/>
        </w:rPr>
        <w:drawing>
          <wp:inline distT="0" distB="0" distL="0" distR="0">
            <wp:extent cx="6210300" cy="2695575"/>
            <wp:effectExtent l="0" t="0" r="0" b="0"/>
            <wp:docPr id="10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B64DB" w:rsidRPr="00EB2612" w:rsidRDefault="00612473" w:rsidP="00BB64DB">
      <w:pPr>
        <w:pStyle w:val="Titulek"/>
        <w:rPr>
          <w:b w:val="0"/>
          <w:color w:val="auto"/>
          <w:sz w:val="22"/>
          <w:szCs w:val="22"/>
        </w:rPr>
      </w:pPr>
      <w:r w:rsidRPr="00EB2612">
        <w:rPr>
          <w:b w:val="0"/>
          <w:color w:val="auto"/>
          <w:sz w:val="22"/>
          <w:szCs w:val="22"/>
        </w:rPr>
        <w:t xml:space="preserve">Zdroj: </w:t>
      </w:r>
      <w:r w:rsidR="00077ECA" w:rsidRPr="00EB2612">
        <w:rPr>
          <w:b w:val="0"/>
          <w:color w:val="auto"/>
          <w:sz w:val="22"/>
          <w:szCs w:val="22"/>
        </w:rPr>
        <w:t>Výběrové šetření o informačních a komunikačních technologiích</w:t>
      </w:r>
      <w:r w:rsidR="002A0381" w:rsidRPr="00EB2612">
        <w:rPr>
          <w:b w:val="0"/>
          <w:color w:val="auto"/>
          <w:sz w:val="22"/>
          <w:szCs w:val="22"/>
        </w:rPr>
        <w:t xml:space="preserve">, </w:t>
      </w:r>
      <w:r w:rsidRPr="00EB2612">
        <w:rPr>
          <w:b w:val="0"/>
          <w:color w:val="auto"/>
          <w:sz w:val="22"/>
          <w:szCs w:val="22"/>
        </w:rPr>
        <w:t>ČSÚ</w:t>
      </w:r>
    </w:p>
    <w:p w:rsidR="00BB64DB" w:rsidRPr="00EB2612" w:rsidRDefault="00BB64DB" w:rsidP="00694914">
      <w:pPr>
        <w:pStyle w:val="Nadpis2"/>
        <w:numPr>
          <w:ilvl w:val="1"/>
          <w:numId w:val="17"/>
        </w:numPr>
      </w:pPr>
      <w:bookmarkStart w:id="56" w:name="_Toc430189801"/>
      <w:bookmarkStart w:id="57" w:name="_Toc463969184"/>
      <w:bookmarkStart w:id="58" w:name="_Toc465253894"/>
      <w:bookmarkStart w:id="59" w:name="_Toc55384432"/>
      <w:r w:rsidRPr="00EB2612">
        <w:t>FILM A VIDEO</w:t>
      </w:r>
      <w:bookmarkEnd w:id="56"/>
      <w:bookmarkEnd w:id="57"/>
      <w:bookmarkEnd w:id="58"/>
      <w:bookmarkEnd w:id="59"/>
    </w:p>
    <w:tbl>
      <w:tblPr>
        <w:tblW w:w="5000" w:type="pct"/>
        <w:tblCellMar>
          <w:left w:w="70" w:type="dxa"/>
          <w:right w:w="70" w:type="dxa"/>
        </w:tblCellMar>
        <w:tblLook w:val="04A0"/>
      </w:tblPr>
      <w:tblGrid>
        <w:gridCol w:w="9634"/>
        <w:gridCol w:w="144"/>
      </w:tblGrid>
      <w:tr w:rsidR="00BB64DB" w:rsidRPr="00EB2612" w:rsidTr="002A32D6">
        <w:trPr>
          <w:trHeight w:val="1020"/>
        </w:trPr>
        <w:tc>
          <w:tcPr>
            <w:tcW w:w="3278" w:type="pct"/>
            <w:tcBorders>
              <w:top w:val="nil"/>
              <w:left w:val="nil"/>
              <w:bottom w:val="nil"/>
              <w:right w:val="nil"/>
            </w:tcBorders>
            <w:shd w:val="clear" w:color="auto" w:fill="auto"/>
            <w:hideMark/>
          </w:tcPr>
          <w:p w:rsidR="00BB64DB" w:rsidRPr="00EB2612" w:rsidRDefault="00BB64DB" w:rsidP="002A32D6">
            <w:pPr>
              <w:pStyle w:val="Titulek"/>
              <w:keepNext/>
              <w:jc w:val="right"/>
              <w:rPr>
                <w:b w:val="0"/>
                <w:color w:val="auto"/>
                <w:sz w:val="22"/>
                <w:szCs w:val="22"/>
              </w:rPr>
            </w:pPr>
            <w:bookmarkStart w:id="60" w:name="_Toc464832049"/>
            <w:r w:rsidRPr="00EB2612">
              <w:rPr>
                <w:color w:val="auto"/>
                <w:sz w:val="22"/>
                <w:szCs w:val="22"/>
              </w:rPr>
              <w:t xml:space="preserve">Tabulka </w:t>
            </w:r>
            <w:r w:rsidR="00050886" w:rsidRPr="00EB2612">
              <w:rPr>
                <w:color w:val="auto"/>
                <w:sz w:val="22"/>
                <w:szCs w:val="22"/>
              </w:rPr>
              <w:t>5</w:t>
            </w:r>
            <w:r w:rsidRPr="00EB2612">
              <w:rPr>
                <w:b w:val="0"/>
                <w:color w:val="auto"/>
                <w:sz w:val="22"/>
                <w:szCs w:val="22"/>
              </w:rPr>
              <w:t xml:space="preserve"> Vymezení oblasti filmu a videa podle klasifikace NACE</w:t>
            </w:r>
            <w:bookmarkEnd w:id="60"/>
          </w:p>
          <w:tbl>
            <w:tblPr>
              <w:tblW w:w="9993" w:type="dxa"/>
              <w:tblInd w:w="3119" w:type="dxa"/>
              <w:tblCellMar>
                <w:left w:w="70" w:type="dxa"/>
                <w:right w:w="70" w:type="dxa"/>
              </w:tblCellMar>
              <w:tblLook w:val="04A0"/>
            </w:tblPr>
            <w:tblGrid>
              <w:gridCol w:w="1559"/>
              <w:gridCol w:w="8434"/>
            </w:tblGrid>
            <w:tr w:rsidR="00F12145" w:rsidRPr="00EB2612" w:rsidTr="00F12145">
              <w:trPr>
                <w:trHeight w:val="255"/>
              </w:trPr>
              <w:tc>
                <w:tcPr>
                  <w:tcW w:w="78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EB2612" w:rsidRDefault="00BB64DB" w:rsidP="00F12145">
                  <w:pPr>
                    <w:pStyle w:val="Box"/>
                    <w:ind w:left="497" w:right="-213" w:hanging="497"/>
                    <w:rPr>
                      <w:rFonts w:asciiTheme="minorHAnsi" w:hAnsiTheme="minorHAnsi"/>
                      <w:sz w:val="20"/>
                      <w:szCs w:val="20"/>
                    </w:rPr>
                  </w:pPr>
                  <w:r w:rsidRPr="00EB2612">
                    <w:rPr>
                      <w:rFonts w:asciiTheme="minorHAnsi" w:hAnsiTheme="minorHAnsi"/>
                      <w:sz w:val="20"/>
                      <w:szCs w:val="20"/>
                    </w:rPr>
                    <w:t>NACE</w:t>
                  </w:r>
                </w:p>
              </w:tc>
              <w:tc>
                <w:tcPr>
                  <w:tcW w:w="4220" w:type="pct"/>
                  <w:tcBorders>
                    <w:top w:val="single" w:sz="12" w:space="0" w:color="auto"/>
                    <w:left w:val="nil"/>
                    <w:bottom w:val="single" w:sz="12" w:space="0" w:color="auto"/>
                    <w:right w:val="nil"/>
                  </w:tcBorders>
                  <w:shd w:val="clear" w:color="auto" w:fill="F2DBDB" w:themeFill="accent2" w:themeFillTint="33"/>
                  <w:vAlign w:val="center"/>
                  <w:hideMark/>
                </w:tcPr>
                <w:p w:rsidR="00BB64DB" w:rsidRPr="00EB2612" w:rsidRDefault="00BB64DB" w:rsidP="00F12145">
                  <w:pPr>
                    <w:pStyle w:val="Box"/>
                    <w:ind w:left="0"/>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F12145">
              <w:trPr>
                <w:trHeight w:val="255"/>
              </w:trPr>
              <w:tc>
                <w:tcPr>
                  <w:tcW w:w="780" w:type="pct"/>
                  <w:tcBorders>
                    <w:top w:val="single" w:sz="12" w:space="0" w:color="auto"/>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47.63</w:t>
                  </w:r>
                </w:p>
              </w:tc>
              <w:tc>
                <w:tcPr>
                  <w:tcW w:w="4220" w:type="pct"/>
                  <w:tcBorders>
                    <w:top w:val="single" w:sz="12" w:space="0" w:color="auto"/>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Maloobchod s audio- a videozáznamy (50%)</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ind w:right="212"/>
                    <w:rPr>
                      <w:rFonts w:asciiTheme="minorHAnsi" w:hAnsiTheme="minorHAnsi"/>
                      <w:szCs w:val="20"/>
                    </w:rPr>
                  </w:pPr>
                  <w:r w:rsidRPr="00EB2612">
                    <w:rPr>
                      <w:rFonts w:asciiTheme="minorHAnsi" w:hAnsiTheme="minorHAnsi"/>
                      <w:szCs w:val="20"/>
                    </w:rPr>
                    <w:t>59.11</w:t>
                  </w:r>
                </w:p>
              </w:tc>
              <w:tc>
                <w:tcPr>
                  <w:tcW w:w="4220" w:type="pct"/>
                  <w:tcBorders>
                    <w:top w:val="nil"/>
                    <w:left w:val="nil"/>
                    <w:bottom w:val="nil"/>
                    <w:right w:val="nil"/>
                  </w:tcBorders>
                  <w:shd w:val="clear" w:color="auto" w:fill="auto"/>
                  <w:hideMark/>
                </w:tcPr>
                <w:p w:rsidR="00BB64DB" w:rsidRPr="00EB2612" w:rsidRDefault="00BB64DB" w:rsidP="00F12145">
                  <w:pPr>
                    <w:spacing w:after="0"/>
                    <w:ind w:right="-3243"/>
                    <w:rPr>
                      <w:rFonts w:asciiTheme="minorHAnsi" w:hAnsiTheme="minorHAnsi"/>
                      <w:szCs w:val="20"/>
                    </w:rPr>
                  </w:pPr>
                  <w:r w:rsidRPr="00EB2612">
                    <w:rPr>
                      <w:rFonts w:asciiTheme="minorHAnsi" w:hAnsiTheme="minorHAnsi"/>
                      <w:szCs w:val="20"/>
                    </w:rPr>
                    <w:t>Produkce filmů, videozáznamů a televizních programů</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59.12</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Postprodukce filmů, videozáznamů a televizních programů</w:t>
                  </w:r>
                </w:p>
              </w:tc>
            </w:tr>
            <w:tr w:rsidR="00BB64DB" w:rsidRPr="00EB2612" w:rsidTr="00F12145">
              <w:trPr>
                <w:trHeight w:val="255"/>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59.13</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Distribuce filmů, videozáznamů a televizních programů</w:t>
                  </w:r>
                </w:p>
              </w:tc>
            </w:tr>
            <w:tr w:rsidR="00BB64DB" w:rsidRPr="00EB2612" w:rsidTr="00F12145">
              <w:trPr>
                <w:trHeight w:val="134"/>
              </w:trPr>
              <w:tc>
                <w:tcPr>
                  <w:tcW w:w="78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59.14</w:t>
                  </w:r>
                </w:p>
              </w:tc>
              <w:tc>
                <w:tcPr>
                  <w:tcW w:w="4220" w:type="pct"/>
                  <w:tcBorders>
                    <w:top w:val="nil"/>
                    <w:left w:val="nil"/>
                    <w:bottom w:val="nil"/>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 xml:space="preserve">Promítání filmů </w:t>
                  </w:r>
                </w:p>
              </w:tc>
            </w:tr>
            <w:tr w:rsidR="00BB64DB" w:rsidRPr="00EB2612" w:rsidTr="00583523">
              <w:trPr>
                <w:trHeight w:val="255"/>
              </w:trPr>
              <w:tc>
                <w:tcPr>
                  <w:tcW w:w="780" w:type="pct"/>
                  <w:tcBorders>
                    <w:top w:val="nil"/>
                    <w:left w:val="nil"/>
                    <w:bottom w:val="single" w:sz="12" w:space="0" w:color="auto"/>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77.22</w:t>
                  </w:r>
                </w:p>
              </w:tc>
              <w:tc>
                <w:tcPr>
                  <w:tcW w:w="4220" w:type="pct"/>
                  <w:tcBorders>
                    <w:top w:val="nil"/>
                    <w:left w:val="nil"/>
                    <w:bottom w:val="single" w:sz="12" w:space="0" w:color="auto"/>
                    <w:right w:val="nil"/>
                  </w:tcBorders>
                  <w:shd w:val="clear" w:color="auto" w:fill="auto"/>
                  <w:hideMark/>
                </w:tcPr>
                <w:p w:rsidR="00BB64DB" w:rsidRPr="00EB2612" w:rsidRDefault="00BB64DB" w:rsidP="00F12145">
                  <w:pPr>
                    <w:spacing w:after="0"/>
                    <w:rPr>
                      <w:rFonts w:asciiTheme="minorHAnsi" w:hAnsiTheme="minorHAnsi"/>
                      <w:szCs w:val="20"/>
                    </w:rPr>
                  </w:pPr>
                  <w:r w:rsidRPr="00EB2612">
                    <w:rPr>
                      <w:rFonts w:asciiTheme="minorHAnsi" w:hAnsiTheme="minorHAnsi"/>
                      <w:szCs w:val="20"/>
                    </w:rPr>
                    <w:t>Pronájem videokazet a disků</w:t>
                  </w:r>
                </w:p>
              </w:tc>
            </w:tr>
          </w:tbl>
          <w:p w:rsidR="00BB64DB" w:rsidRPr="00EB2612" w:rsidRDefault="00BB64DB" w:rsidP="002A32D6">
            <w:pPr>
              <w:spacing w:after="0" w:line="240" w:lineRule="auto"/>
              <w:rPr>
                <w:rFonts w:ascii="Times New Roman" w:hAnsi="Times New Roman"/>
                <w:szCs w:val="20"/>
              </w:rPr>
            </w:pPr>
          </w:p>
        </w:tc>
        <w:tc>
          <w:tcPr>
            <w:tcW w:w="1722" w:type="pct"/>
            <w:tcBorders>
              <w:top w:val="nil"/>
              <w:left w:val="nil"/>
              <w:bottom w:val="nil"/>
              <w:right w:val="nil"/>
            </w:tcBorders>
            <w:shd w:val="clear" w:color="auto" w:fill="auto"/>
            <w:hideMark/>
          </w:tcPr>
          <w:p w:rsidR="00BB64DB" w:rsidRPr="00EB2612" w:rsidRDefault="00BB64DB" w:rsidP="002A32D6">
            <w:pPr>
              <w:spacing w:after="0" w:line="240" w:lineRule="auto"/>
              <w:rPr>
                <w:rFonts w:ascii="Times New Roman" w:hAnsi="Times New Roman"/>
                <w:szCs w:val="20"/>
              </w:rPr>
            </w:pPr>
          </w:p>
        </w:tc>
      </w:tr>
    </w:tbl>
    <w:p w:rsidR="001B13C4" w:rsidRPr="00EB2612" w:rsidRDefault="001B13C4" w:rsidP="00BB64DB"/>
    <w:p w:rsidR="005E01C4" w:rsidRPr="00EB2612" w:rsidRDefault="00096D5E" w:rsidP="00BB64DB">
      <w:r w:rsidRPr="00EB2612">
        <w:t>Výroba audiovizuálních děl je vzhledem k vysokým vstupním nákladům ve velké míře závislá na veřejné podpoře</w:t>
      </w:r>
      <w:r w:rsidR="00BB64DB" w:rsidRPr="00EB2612">
        <w:t xml:space="preserve">. </w:t>
      </w:r>
      <w:r w:rsidR="001B13C4" w:rsidRPr="00EB2612">
        <w:t>Zejména celovečerní f</w:t>
      </w:r>
      <w:r w:rsidRPr="00EB2612">
        <w:t>ilmy vznikají ve většině států díky podpoře z veřejných zdrojů s výjimkou studiových filmů v USA,</w:t>
      </w:r>
      <w:r w:rsidR="00D27CF3">
        <w:t xml:space="preserve"> které nejsou díky zázemí nadnárodních korporací odkázány na vícezdrojové financování</w:t>
      </w:r>
      <w:r w:rsidRPr="00EB2612">
        <w:t>.</w:t>
      </w:r>
      <w:r w:rsidR="001B13C4" w:rsidRPr="00EB2612">
        <w:t xml:space="preserve"> Důležitou roli v evropské produkci filmů hraje také spolufinancování televizními provozovateli. Ti se staraj</w:t>
      </w:r>
      <w:r w:rsidR="005E01C4" w:rsidRPr="00EB2612">
        <w:t>í přibližně o čtvrtinu financování</w:t>
      </w:r>
      <w:r w:rsidR="003F593B">
        <w:t xml:space="preserve"> celkové filmové produkce. Souk</w:t>
      </w:r>
      <w:r w:rsidR="005E01C4" w:rsidRPr="00EB2612">
        <w:t>r</w:t>
      </w:r>
      <w:r w:rsidR="003F593B">
        <w:t>o</w:t>
      </w:r>
      <w:r w:rsidR="005E01C4" w:rsidRPr="00EB2612">
        <w:t>mí investoři pak pokryjí necelou pětinu celkových financí na výrobu filmů (EAO, 2020).</w:t>
      </w:r>
    </w:p>
    <w:p w:rsidR="005E01C4" w:rsidRPr="00EB2612" w:rsidRDefault="005E01C4" w:rsidP="00BB64DB">
      <w:r w:rsidRPr="00EB2612">
        <w:tab/>
      </w:r>
      <w:r w:rsidR="00096D5E" w:rsidRPr="00EB2612">
        <w:t>Také česká filmová</w:t>
      </w:r>
      <w:r w:rsidR="00BB64DB" w:rsidRPr="00EB2612">
        <w:t xml:space="preserve"> produkce</w:t>
      </w:r>
      <w:r w:rsidR="00A95B17" w:rsidRPr="00EB2612">
        <w:t xml:space="preserve"> je </w:t>
      </w:r>
      <w:r w:rsidRPr="00EB2612">
        <w:t>ve velké míře</w:t>
      </w:r>
      <w:r w:rsidR="00A95B17" w:rsidRPr="00EB2612">
        <w:t xml:space="preserve"> závislá</w:t>
      </w:r>
      <w:r w:rsidR="00BB64DB" w:rsidRPr="00EB2612">
        <w:t xml:space="preserve"> na velikosti </w:t>
      </w:r>
      <w:r w:rsidRPr="00EB2612">
        <w:t xml:space="preserve">veřejné </w:t>
      </w:r>
      <w:r w:rsidR="00BB64DB" w:rsidRPr="00EB2612">
        <w:t>finanční podpory, kterou každoročně uděluje S</w:t>
      </w:r>
      <w:r w:rsidR="00E44FE6" w:rsidRPr="00EB2612">
        <w:t>tátní fond kinematografie (Staníková,</w:t>
      </w:r>
      <w:r w:rsidR="008B64EB" w:rsidRPr="00EB2612">
        <w:t> </w:t>
      </w:r>
      <w:r w:rsidR="00E44FE6" w:rsidRPr="00EB2612">
        <w:t>2015</w:t>
      </w:r>
      <w:r w:rsidR="00BB64DB" w:rsidRPr="00EB2612">
        <w:t>). Státní podpora ovlivňuje také zahraniční filmovou produkci</w:t>
      </w:r>
      <w:r w:rsidR="00F12145" w:rsidRPr="00EB2612">
        <w:t xml:space="preserve"> v České republice</w:t>
      </w:r>
      <w:r w:rsidR="00BB64DB" w:rsidRPr="00EB2612">
        <w:t>. Jedná se zejména</w:t>
      </w:r>
      <w:r w:rsidR="00282CCA" w:rsidRPr="00EB2612">
        <w:t> </w:t>
      </w:r>
      <w:r w:rsidR="00BB64DB" w:rsidRPr="00EB2612">
        <w:t>o</w:t>
      </w:r>
      <w:r w:rsidR="00282CCA" w:rsidRPr="00EB2612">
        <w:t> </w:t>
      </w:r>
      <w:r w:rsidR="00A95B17" w:rsidRPr="00EB2612">
        <w:t>filmové pobídky</w:t>
      </w:r>
      <w:r w:rsidR="00BB64DB" w:rsidRPr="00EB2612">
        <w:t xml:space="preserve">, které </w:t>
      </w:r>
      <w:r w:rsidRPr="00EB2612">
        <w:t>byly poprvé zavedeny v</w:t>
      </w:r>
      <w:r w:rsidR="00362010">
        <w:t> </w:t>
      </w:r>
      <w:r w:rsidRPr="00EB2612">
        <w:t>roce</w:t>
      </w:r>
      <w:r w:rsidR="00BB64DB" w:rsidRPr="00EB2612">
        <w:t xml:space="preserve"> 2010</w:t>
      </w:r>
      <w:r w:rsidRPr="00EB2612">
        <w:t xml:space="preserve">. </w:t>
      </w:r>
      <w:r w:rsidR="00C05875" w:rsidRPr="00EB2612">
        <w:t xml:space="preserve">Příjmy českých producentů audiovizuálních děl ze zakázek zahraniční produkce vzrostly od té </w:t>
      </w:r>
      <w:r w:rsidR="00C05875" w:rsidRPr="00EB2612">
        <w:lastRenderedPageBreak/>
        <w:t>doby přibližně devítin</w:t>
      </w:r>
      <w:r w:rsidR="008D3EE8" w:rsidRPr="00EB2612">
        <w:t>ásobně a v roce 2019 dosáhly výše 6,3 mld. Kč (APA, 2020). Pobídkové systémy však fungují v desítkách zemí světa a jen v Evropě jsou zavedeny u více než 30 zemí.</w:t>
      </w:r>
    </w:p>
    <w:p w:rsidR="00BB64DB" w:rsidRPr="00EB2612" w:rsidRDefault="005E01C4" w:rsidP="00BB64DB">
      <w:r w:rsidRPr="00EB2612">
        <w:t xml:space="preserve"> </w:t>
      </w:r>
    </w:p>
    <w:p w:rsidR="00BB64DB" w:rsidRPr="00EB2612" w:rsidRDefault="004B6F2F" w:rsidP="00694914">
      <w:pPr>
        <w:pStyle w:val="Nadpis3"/>
        <w:numPr>
          <w:ilvl w:val="2"/>
          <w:numId w:val="17"/>
        </w:numPr>
      </w:pPr>
      <w:bookmarkStart w:id="61" w:name="_Toc430189802"/>
      <w:bookmarkStart w:id="62" w:name="_Toc431475030"/>
      <w:bookmarkStart w:id="63" w:name="_Toc463969185"/>
      <w:bookmarkStart w:id="64" w:name="_Toc465253895"/>
      <w:bookmarkStart w:id="65" w:name="_Toc55384433"/>
      <w:r w:rsidRPr="00EB2612">
        <w:t>PŘÍJMY</w:t>
      </w:r>
      <w:r w:rsidR="00BB64DB" w:rsidRPr="00EB2612">
        <w:t xml:space="preserve"> A ZAMĚSTNANOST</w:t>
      </w:r>
      <w:bookmarkEnd w:id="61"/>
      <w:bookmarkEnd w:id="62"/>
      <w:bookmarkEnd w:id="63"/>
      <w:bookmarkEnd w:id="64"/>
      <w:bookmarkEnd w:id="65"/>
      <w:r w:rsidR="00BB64DB" w:rsidRPr="00EB2612">
        <w:t xml:space="preserve"> </w:t>
      </w:r>
    </w:p>
    <w:p w:rsidR="00BB64DB" w:rsidRPr="00EB2612" w:rsidRDefault="00A24289" w:rsidP="00BB64DB">
      <w:r w:rsidRPr="00EB2612">
        <w:t>Celkové příjmy subjektů s převažující ekonomickou činností v oblasti filmu v Čechách vzrostly mezi lety 200</w:t>
      </w:r>
      <w:r w:rsidR="00E6132D" w:rsidRPr="00EB2612">
        <w:t xml:space="preserve">9 a 2018 o 6,7 mld. Kč a v roce 2018 dosáhly výše 19,3 mld. Kč. </w:t>
      </w:r>
      <w:r w:rsidR="006B0ACA" w:rsidRPr="00EB2612">
        <w:t>Data z Podnikové strukturální statistiky reflektují ekonomické činnosti filmové produkce, post-produkce, distribuce, maloobchodu, půjčoven a</w:t>
      </w:r>
      <w:r w:rsidR="00362010">
        <w:t> </w:t>
      </w:r>
      <w:r w:rsidR="006B0ACA" w:rsidRPr="00EB2612">
        <w:t xml:space="preserve">promítání. </w:t>
      </w:r>
      <w:r w:rsidR="00E6132D" w:rsidRPr="00EB2612">
        <w:t xml:space="preserve">Tak jako v jiných oblastech </w:t>
      </w:r>
      <w:r w:rsidR="00E6132D" w:rsidRPr="00394A56">
        <w:rPr>
          <w:b/>
        </w:rPr>
        <w:t xml:space="preserve">tato suma </w:t>
      </w:r>
      <w:r w:rsidR="009973FE" w:rsidRPr="00394A56">
        <w:rPr>
          <w:b/>
        </w:rPr>
        <w:t>nezohledňuje</w:t>
      </w:r>
      <w:r w:rsidR="00E6132D" w:rsidRPr="00394A56">
        <w:rPr>
          <w:b/>
        </w:rPr>
        <w:t xml:space="preserve"> subjekty s jinou převažující ekonomickou činností, </w:t>
      </w:r>
      <w:r w:rsidR="00E6132D" w:rsidRPr="00394A56">
        <w:t>které se</w:t>
      </w:r>
      <w:r w:rsidR="00394A56" w:rsidRPr="00394A56">
        <w:t xml:space="preserve"> také významnou mírou podílejí</w:t>
      </w:r>
      <w:r w:rsidR="00E6132D" w:rsidRPr="00394A56">
        <w:t xml:space="preserve"> na výrobě audiovizuálních děl</w:t>
      </w:r>
      <w:r w:rsidR="006B0ACA" w:rsidRPr="00EB2612">
        <w:t>.</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050886" w:rsidRPr="00EB2612">
        <w:rPr>
          <w:color w:val="auto"/>
          <w:sz w:val="22"/>
          <w:szCs w:val="22"/>
        </w:rPr>
        <w:t>28</w:t>
      </w:r>
      <w:r w:rsidRPr="00EB2612">
        <w:rPr>
          <w:color w:val="auto"/>
          <w:sz w:val="22"/>
          <w:szCs w:val="22"/>
        </w:rPr>
        <w:t xml:space="preserve"> </w:t>
      </w:r>
      <w:r w:rsidR="001D4ECA" w:rsidRPr="00EB2612">
        <w:rPr>
          <w:b w:val="0"/>
          <w:color w:val="auto"/>
          <w:sz w:val="22"/>
          <w:szCs w:val="22"/>
        </w:rPr>
        <w:t>Příjmy</w:t>
      </w:r>
      <w:r w:rsidR="004271DC" w:rsidRPr="00EB2612">
        <w:rPr>
          <w:b w:val="0"/>
          <w:color w:val="auto"/>
          <w:sz w:val="22"/>
          <w:szCs w:val="22"/>
        </w:rPr>
        <w:t xml:space="preserve"> subjektů v oblasti </w:t>
      </w:r>
      <w:r w:rsidR="00170E8B" w:rsidRPr="00EB2612">
        <w:rPr>
          <w:b w:val="0"/>
          <w:color w:val="auto"/>
          <w:sz w:val="22"/>
          <w:szCs w:val="22"/>
        </w:rPr>
        <w:t>filmu</w:t>
      </w:r>
      <w:r w:rsidR="00CB7B8F" w:rsidRPr="00EB2612">
        <w:rPr>
          <w:b w:val="0"/>
          <w:color w:val="auto"/>
          <w:sz w:val="22"/>
          <w:szCs w:val="22"/>
        </w:rPr>
        <w:t xml:space="preserve"> a videa</w:t>
      </w:r>
      <w:r w:rsidR="004271DC" w:rsidRPr="00EB2612">
        <w:rPr>
          <w:b w:val="0"/>
          <w:color w:val="auto"/>
          <w:sz w:val="22"/>
          <w:szCs w:val="22"/>
        </w:rPr>
        <w:t xml:space="preserve"> (v mld. Kč)</w:t>
      </w:r>
    </w:p>
    <w:p w:rsidR="00BB64DB" w:rsidRPr="00EB2612" w:rsidRDefault="00A758D2" w:rsidP="00BB64DB">
      <w:pPr>
        <w:keepNext/>
      </w:pPr>
      <w:r w:rsidRPr="00EB2612">
        <w:rPr>
          <w:noProof/>
        </w:rPr>
        <w:drawing>
          <wp:inline distT="0" distB="0" distL="0" distR="0">
            <wp:extent cx="6191250" cy="1514475"/>
            <wp:effectExtent l="0" t="0" r="0" b="0"/>
            <wp:docPr id="19"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2A0381" w:rsidRPr="00EB2612">
        <w:rPr>
          <w:b w:val="0"/>
          <w:color w:val="auto"/>
          <w:sz w:val="22"/>
          <w:szCs w:val="22"/>
        </w:rPr>
        <w:t xml:space="preserve">Podniková strukturální statistika, </w:t>
      </w:r>
      <w:r w:rsidR="00F12145" w:rsidRPr="00EB2612">
        <w:rPr>
          <w:b w:val="0"/>
          <w:color w:val="auto"/>
          <w:sz w:val="22"/>
          <w:szCs w:val="22"/>
        </w:rPr>
        <w:t>ČSÚ</w:t>
      </w:r>
    </w:p>
    <w:p w:rsidR="00CC035A" w:rsidRPr="00EB2612" w:rsidRDefault="00050886" w:rsidP="00CC035A">
      <w:r w:rsidRPr="00EB2612">
        <w:t>Graf 29</w:t>
      </w:r>
      <w:r w:rsidR="006B0ACA" w:rsidRPr="00EB2612">
        <w:t xml:space="preserve"> pak nabízí pohled zúžený pouze na</w:t>
      </w:r>
      <w:r w:rsidR="00BE7970" w:rsidRPr="00EB2612">
        <w:t xml:space="preserve"> produkci</w:t>
      </w:r>
      <w:r w:rsidR="006B0ACA" w:rsidRPr="00EB2612">
        <w:t xml:space="preserve"> audiovizuálních děl</w:t>
      </w:r>
      <w:r w:rsidR="00BE7970" w:rsidRPr="00EB2612">
        <w:t xml:space="preserve"> vycházející z dat Asociace producentů v</w:t>
      </w:r>
      <w:r w:rsidR="00673B33" w:rsidRPr="00EB2612">
        <w:t> </w:t>
      </w:r>
      <w:r w:rsidR="00BE7970" w:rsidRPr="00EB2612">
        <w:t>audiovizi</w:t>
      </w:r>
      <w:r w:rsidR="00673B33" w:rsidRPr="00EB2612">
        <w:t xml:space="preserve"> (APA)</w:t>
      </w:r>
      <w:r w:rsidR="00BE7970" w:rsidRPr="00EB2612">
        <w:t>.</w:t>
      </w:r>
      <w:r w:rsidR="006B0ACA" w:rsidRPr="00EB2612">
        <w:t xml:space="preserve"> Podle těchto dat se mezi lety 2017 a 2019 </w:t>
      </w:r>
      <w:r w:rsidR="003F593B" w:rsidRPr="00EB2612">
        <w:t>výrazně</w:t>
      </w:r>
      <w:r w:rsidR="006B0ACA" w:rsidRPr="00EB2612">
        <w:t xml:space="preserve"> zvýšily příjmy</w:t>
      </w:r>
      <w:r w:rsidR="009973FE" w:rsidRPr="00EB2612">
        <w:t xml:space="preserve"> produkce ze zahraničních děl – takřka dvojnásobně z 3,2 mld. Kč v roce 2017 na 6,3 mld. Kč v roce 2019. Na tomto nárůstu se </w:t>
      </w:r>
      <w:r w:rsidR="00756868" w:rsidRPr="00EB2612">
        <w:t xml:space="preserve">zřejmě </w:t>
      </w:r>
      <w:r w:rsidR="009973FE" w:rsidRPr="00EB2612">
        <w:t>podílelo</w:t>
      </w:r>
      <w:r w:rsidR="00394A56">
        <w:t xml:space="preserve"> mimořádné</w:t>
      </w:r>
      <w:r w:rsidR="009973FE" w:rsidRPr="00EB2612">
        <w:t xml:space="preserve"> navýšení státní podpory ve formě filmových pobídek z 800 mil. Kč v roce 2018 na 1,3 mld. Kč v roce 2019. Příjmy z produkce českých děl se v posledních třech letech pohybovaly nad hranicí </w:t>
      </w:r>
      <w:r w:rsidR="00756868" w:rsidRPr="00EB2612">
        <w:t>1</w:t>
      </w:r>
      <w:r w:rsidR="009973FE" w:rsidRPr="00EB2612">
        <w:t xml:space="preserve"> mld. Kč a příjmy z reklamní produkce kolem 2 mld. Kč. Celkové příjmy českých producentů v oblasti audiovize dosáhly v roce 2019 </w:t>
      </w:r>
      <w:r w:rsidR="00155FA2" w:rsidRPr="00EB2612">
        <w:t xml:space="preserve">přibližně 9,4 </w:t>
      </w:r>
      <w:r w:rsidR="003F593B" w:rsidRPr="00EB2612">
        <w:t>mld.</w:t>
      </w:r>
      <w:r w:rsidR="00155FA2" w:rsidRPr="00EB2612">
        <w:t xml:space="preserve"> Kč.</w:t>
      </w:r>
    </w:p>
    <w:p w:rsidR="00CC035A" w:rsidRPr="00EB2612" w:rsidRDefault="00CC035A" w:rsidP="00CC035A">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29</w:t>
      </w:r>
      <w:r w:rsidRPr="00EB2612">
        <w:rPr>
          <w:color w:val="000000" w:themeColor="text1"/>
          <w:sz w:val="22"/>
          <w:szCs w:val="22"/>
        </w:rPr>
        <w:t xml:space="preserve"> </w:t>
      </w:r>
      <w:r w:rsidR="00A33972" w:rsidRPr="00EB2612">
        <w:rPr>
          <w:b w:val="0"/>
          <w:color w:val="000000" w:themeColor="text1"/>
          <w:sz w:val="22"/>
          <w:szCs w:val="22"/>
        </w:rPr>
        <w:t>Příjmy</w:t>
      </w:r>
      <w:r w:rsidRPr="00EB2612">
        <w:rPr>
          <w:b w:val="0"/>
          <w:color w:val="000000" w:themeColor="text1"/>
          <w:sz w:val="22"/>
          <w:szCs w:val="22"/>
        </w:rPr>
        <w:t xml:space="preserve"> českých producentů</w:t>
      </w:r>
      <w:r w:rsidR="009973FE" w:rsidRPr="00EB2612">
        <w:rPr>
          <w:b w:val="0"/>
          <w:color w:val="000000" w:themeColor="text1"/>
          <w:sz w:val="22"/>
          <w:szCs w:val="22"/>
        </w:rPr>
        <w:t xml:space="preserve"> v oblasti audiovize</w:t>
      </w:r>
      <w:r w:rsidRPr="00EB2612">
        <w:rPr>
          <w:b w:val="0"/>
          <w:color w:val="000000" w:themeColor="text1"/>
          <w:sz w:val="22"/>
          <w:szCs w:val="22"/>
        </w:rPr>
        <w:t xml:space="preserve"> (v mld. Kč)</w:t>
      </w:r>
    </w:p>
    <w:p w:rsidR="00CC035A" w:rsidRPr="00EB2612" w:rsidRDefault="00C05875" w:rsidP="00CC035A">
      <w:pPr>
        <w:rPr>
          <w:lang w:eastAsia="en-US"/>
        </w:rPr>
      </w:pPr>
      <w:r w:rsidRPr="00EB2612">
        <w:rPr>
          <w:noProof/>
        </w:rPr>
        <w:drawing>
          <wp:inline distT="0" distB="0" distL="0" distR="0">
            <wp:extent cx="6267450" cy="22098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C035A" w:rsidRPr="00EB2612" w:rsidRDefault="003F593B" w:rsidP="00CC035A">
      <w:pPr>
        <w:pStyle w:val="Titulek"/>
        <w:rPr>
          <w:b w:val="0"/>
          <w:color w:val="000000" w:themeColor="text1"/>
          <w:sz w:val="22"/>
          <w:szCs w:val="22"/>
        </w:rPr>
      </w:pPr>
      <w:r>
        <w:rPr>
          <w:b w:val="0"/>
          <w:color w:val="000000" w:themeColor="text1"/>
          <w:sz w:val="22"/>
          <w:szCs w:val="22"/>
        </w:rPr>
        <w:t>Zdroj: Asociace producentů v audiovizi</w:t>
      </w:r>
    </w:p>
    <w:p w:rsidR="00BB64DB" w:rsidRPr="00EB2612" w:rsidRDefault="00BB64DB" w:rsidP="00BB64DB">
      <w:r w:rsidRPr="00EB2612">
        <w:lastRenderedPageBreak/>
        <w:t xml:space="preserve">Orientační přehled vývoje zaměstnanosti mezi lety </w:t>
      </w:r>
      <w:r w:rsidR="00155FA2" w:rsidRPr="00EB2612">
        <w:t>2007 a 2018</w:t>
      </w:r>
      <w:r w:rsidRPr="00EB2612">
        <w:t xml:space="preserve"> je patrný z</w:t>
      </w:r>
      <w:r w:rsidR="00050886" w:rsidRPr="00EB2612">
        <w:t xml:space="preserve"> Grafu 30</w:t>
      </w:r>
      <w:r w:rsidRPr="00EB2612">
        <w:t xml:space="preserve">. </w:t>
      </w:r>
      <w:r w:rsidR="00291420" w:rsidRPr="00EB2612">
        <w:t>Statistika</w:t>
      </w:r>
      <w:r w:rsidR="0044303F" w:rsidRPr="00EB2612">
        <w:t>, tak jako v ostatních oblastech,</w:t>
      </w:r>
      <w:r w:rsidR="00530D45" w:rsidRPr="00EB2612">
        <w:t xml:space="preserve"> </w:t>
      </w:r>
      <w:r w:rsidR="00530D45" w:rsidRPr="00394A56">
        <w:rPr>
          <w:b/>
        </w:rPr>
        <w:t>nezachyc</w:t>
      </w:r>
      <w:r w:rsidR="00291420" w:rsidRPr="00394A56">
        <w:rPr>
          <w:b/>
        </w:rPr>
        <w:t>uje pracovníky na dohody a OSVČ</w:t>
      </w:r>
      <w:r w:rsidR="00291420" w:rsidRPr="00EB2612">
        <w:t xml:space="preserve">, kteří </w:t>
      </w:r>
      <w:r w:rsidR="00394A56">
        <w:t>tvoří</w:t>
      </w:r>
      <w:r w:rsidR="00291420" w:rsidRPr="00EB2612">
        <w:t xml:space="preserve"> významnou část pracovní síly ve filmovém průmyslu</w:t>
      </w:r>
      <w:r w:rsidR="00155FA2" w:rsidRPr="00EB2612">
        <w:t xml:space="preserve"> stejně jako </w:t>
      </w:r>
      <w:r w:rsidR="00155FA2" w:rsidRPr="00394A56">
        <w:rPr>
          <w:b/>
        </w:rPr>
        <w:t>zaměstnance subjektů s jinou převažující ekonomickou činností</w:t>
      </w:r>
      <w:r w:rsidR="00155FA2" w:rsidRPr="00EB2612">
        <w:t>.</w:t>
      </w:r>
      <w:r w:rsidR="00851419" w:rsidRPr="00EB2612">
        <w:t xml:space="preserve"> </w:t>
      </w:r>
      <w:r w:rsidR="00155FA2" w:rsidRPr="00EB2612">
        <w:t>Mezi lety 2007 až 2018</w:t>
      </w:r>
      <w:r w:rsidRPr="00EB2612">
        <w:t xml:space="preserve"> se zaměstnanost v oblasti filmu podle </w:t>
      </w:r>
      <w:r w:rsidR="00291420" w:rsidRPr="00EB2612">
        <w:t>Podnikové strukturální statistiky</w:t>
      </w:r>
      <w:r w:rsidRPr="00EB2612">
        <w:t xml:space="preserve"> pohybovala v rozpětí 1</w:t>
      </w:r>
      <w:r w:rsidR="00BC37EF" w:rsidRPr="00EB2612">
        <w:t>,4 až</w:t>
      </w:r>
      <w:r w:rsidRPr="00EB2612">
        <w:t xml:space="preserve"> </w:t>
      </w:r>
      <w:r w:rsidR="00BC37EF" w:rsidRPr="00EB2612">
        <w:t>2,2 tis.</w:t>
      </w:r>
      <w:r w:rsidRPr="00EB2612">
        <w:t xml:space="preserve"> zaměstnanců </w:t>
      </w:r>
      <w:r w:rsidR="0047552D">
        <w:t xml:space="preserve">v přepočtu </w:t>
      </w:r>
      <w:r w:rsidRPr="00EB2612">
        <w:t>na plný pracovní úvazek.</w:t>
      </w:r>
    </w:p>
    <w:p w:rsidR="0044303F" w:rsidRPr="00EB2612" w:rsidRDefault="00BB64DB" w:rsidP="0044303F">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30</w:t>
      </w:r>
      <w:r w:rsidRPr="00EB2612">
        <w:rPr>
          <w:color w:val="000000" w:themeColor="text1"/>
          <w:sz w:val="22"/>
          <w:szCs w:val="22"/>
        </w:rPr>
        <w:t xml:space="preserve"> </w:t>
      </w:r>
      <w:r w:rsidR="001D4ECA" w:rsidRPr="00EB2612">
        <w:rPr>
          <w:b w:val="0"/>
          <w:color w:val="000000" w:themeColor="text1"/>
          <w:sz w:val="22"/>
          <w:szCs w:val="22"/>
        </w:rPr>
        <w:t>Počet</w:t>
      </w:r>
      <w:r w:rsidR="0044303F" w:rsidRPr="00EB2612">
        <w:rPr>
          <w:b w:val="0"/>
          <w:color w:val="000000" w:themeColor="text1"/>
          <w:sz w:val="22"/>
          <w:szCs w:val="22"/>
        </w:rPr>
        <w:t xml:space="preserve"> zaměstnanců v oblasti filmu</w:t>
      </w:r>
      <w:r w:rsidR="00A5138E" w:rsidRPr="00EB2612">
        <w:rPr>
          <w:b w:val="0"/>
          <w:color w:val="000000" w:themeColor="text1"/>
          <w:sz w:val="22"/>
          <w:szCs w:val="22"/>
        </w:rPr>
        <w:t xml:space="preserve"> a videa</w:t>
      </w:r>
      <w:r w:rsidR="0044303F" w:rsidRPr="00EB2612">
        <w:rPr>
          <w:b w:val="0"/>
          <w:color w:val="000000" w:themeColor="text1"/>
          <w:sz w:val="22"/>
          <w:szCs w:val="22"/>
        </w:rPr>
        <w:t xml:space="preserve"> (v tis. osob, přepočteno na plné prac. úvazky)</w:t>
      </w:r>
    </w:p>
    <w:p w:rsidR="00BB64DB" w:rsidRPr="00EB2612" w:rsidRDefault="00155FA2" w:rsidP="0044303F">
      <w:pPr>
        <w:pStyle w:val="Titulek"/>
        <w:keepNext/>
      </w:pPr>
      <w:r w:rsidRPr="00EB2612">
        <w:rPr>
          <w:noProof/>
          <w:lang w:eastAsia="cs-CZ"/>
        </w:rPr>
        <w:drawing>
          <wp:inline distT="0" distB="0" distL="0" distR="0">
            <wp:extent cx="6191250" cy="1571625"/>
            <wp:effectExtent l="0" t="0" r="0" b="0"/>
            <wp:docPr id="10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 xml:space="preserve">Zdroj: </w:t>
      </w:r>
      <w:r w:rsidR="002A0381" w:rsidRPr="00EB2612">
        <w:rPr>
          <w:b w:val="0"/>
          <w:color w:val="000000" w:themeColor="text1"/>
          <w:sz w:val="22"/>
          <w:szCs w:val="22"/>
        </w:rPr>
        <w:t xml:space="preserve">Podniková strukturální statistika, </w:t>
      </w:r>
      <w:r w:rsidRPr="00EB2612">
        <w:rPr>
          <w:b w:val="0"/>
          <w:color w:val="000000" w:themeColor="text1"/>
          <w:sz w:val="22"/>
          <w:szCs w:val="22"/>
        </w:rPr>
        <w:t>ČSÚ</w:t>
      </w:r>
    </w:p>
    <w:p w:rsidR="00B17A7F" w:rsidRPr="00EB2612" w:rsidRDefault="00A33972" w:rsidP="00B17A7F">
      <w:pPr>
        <w:rPr>
          <w:lang w:eastAsia="en-US"/>
        </w:rPr>
      </w:pPr>
      <w:r w:rsidRPr="00EB2612">
        <w:rPr>
          <w:lang w:eastAsia="en-US"/>
        </w:rPr>
        <w:t>P</w:t>
      </w:r>
      <w:r w:rsidR="00B17A7F" w:rsidRPr="00EB2612">
        <w:rPr>
          <w:lang w:eastAsia="en-US"/>
        </w:rPr>
        <w:t>ro oblast filmu a videa lze provést</w:t>
      </w:r>
      <w:r w:rsidR="00851419" w:rsidRPr="00EB2612">
        <w:rPr>
          <w:lang w:eastAsia="en-US"/>
        </w:rPr>
        <w:t xml:space="preserve"> také</w:t>
      </w:r>
      <w:r w:rsidR="00B17A7F" w:rsidRPr="00EB2612">
        <w:rPr>
          <w:lang w:eastAsia="en-US"/>
        </w:rPr>
        <w:t xml:space="preserve"> odhad celkové zaměstnanosti na základě údajů z Výběrového šet</w:t>
      </w:r>
      <w:r w:rsidR="00C00A63" w:rsidRPr="00EB2612">
        <w:rPr>
          <w:lang w:eastAsia="en-US"/>
        </w:rPr>
        <w:t>ření pracovních sil. Zohledníme-</w:t>
      </w:r>
      <w:r w:rsidR="00B17A7F" w:rsidRPr="00EB2612">
        <w:rPr>
          <w:lang w:eastAsia="en-US"/>
        </w:rPr>
        <w:t xml:space="preserve">li všechny </w:t>
      </w:r>
      <w:r w:rsidRPr="00EB2612">
        <w:rPr>
          <w:lang w:eastAsia="en-US"/>
        </w:rPr>
        <w:t>pracující</w:t>
      </w:r>
      <w:r w:rsidR="00B17A7F" w:rsidRPr="00EB2612">
        <w:rPr>
          <w:lang w:eastAsia="en-US"/>
        </w:rPr>
        <w:t xml:space="preserve"> osoby (zaměstnance, podnikatele či pracovníky na dohody) bude celková zaměstnanost v oblasti fi</w:t>
      </w:r>
      <w:r w:rsidR="00847347" w:rsidRPr="00EB2612">
        <w:rPr>
          <w:lang w:eastAsia="en-US"/>
        </w:rPr>
        <w:t>lmu a videa d</w:t>
      </w:r>
      <w:r w:rsidR="00394A56">
        <w:rPr>
          <w:lang w:eastAsia="en-US"/>
        </w:rPr>
        <w:t>osahovat 8,1</w:t>
      </w:r>
      <w:r w:rsidR="00B17A7F" w:rsidRPr="00EB2612">
        <w:rPr>
          <w:lang w:eastAsia="en-US"/>
        </w:rPr>
        <w:t xml:space="preserve"> tis. zaměst</w:t>
      </w:r>
      <w:r w:rsidR="00407728" w:rsidRPr="00EB2612">
        <w:rPr>
          <w:lang w:eastAsia="en-US"/>
        </w:rPr>
        <w:t>naných osob</w:t>
      </w:r>
      <w:r w:rsidR="00B17A7F" w:rsidRPr="00EB2612">
        <w:rPr>
          <w:lang w:eastAsia="en-US"/>
        </w:rPr>
        <w:t xml:space="preserve">. </w:t>
      </w:r>
      <w:r w:rsidR="00A70574" w:rsidRPr="00EB2612">
        <w:rPr>
          <w:lang w:eastAsia="en-US"/>
        </w:rPr>
        <w:t xml:space="preserve">Pro </w:t>
      </w:r>
      <w:r w:rsidR="00A70574" w:rsidRPr="009579E9">
        <w:rPr>
          <w:b/>
          <w:lang w:eastAsia="en-US"/>
        </w:rPr>
        <w:t xml:space="preserve">oblast filmu a videa je </w:t>
      </w:r>
      <w:r w:rsidRPr="009579E9">
        <w:rPr>
          <w:b/>
          <w:lang w:eastAsia="en-US"/>
        </w:rPr>
        <w:t xml:space="preserve">podíl pracujících v povolání kulturního </w:t>
      </w:r>
      <w:r w:rsidR="00394A56" w:rsidRPr="009579E9">
        <w:rPr>
          <w:b/>
          <w:lang w:eastAsia="en-US"/>
        </w:rPr>
        <w:t xml:space="preserve">a ne-kulturního </w:t>
      </w:r>
      <w:r w:rsidRPr="009579E9">
        <w:rPr>
          <w:b/>
          <w:lang w:eastAsia="en-US"/>
        </w:rPr>
        <w:t>charakteru</w:t>
      </w:r>
      <w:r w:rsidR="00394A56" w:rsidRPr="009579E9">
        <w:rPr>
          <w:b/>
          <w:lang w:eastAsia="en-US"/>
        </w:rPr>
        <w:t xml:space="preserve"> více vyrovnaný</w:t>
      </w:r>
      <w:r w:rsidR="00394A56">
        <w:rPr>
          <w:lang w:eastAsia="en-US"/>
        </w:rPr>
        <w:t xml:space="preserve"> než v ostatních oblastech, kde ve větší míře převažuje počet kulturních pracovníků. V roce 2019 pracovalo v oblasti filmu</w:t>
      </w:r>
      <w:r w:rsidRPr="00EB2612">
        <w:rPr>
          <w:lang w:eastAsia="en-US"/>
        </w:rPr>
        <w:t xml:space="preserve"> </w:t>
      </w:r>
      <w:r w:rsidR="0082365D" w:rsidRPr="00EB2612">
        <w:rPr>
          <w:lang w:eastAsia="en-US"/>
        </w:rPr>
        <w:t>přibližně 4,4</w:t>
      </w:r>
      <w:r w:rsidR="00A70574" w:rsidRPr="00EB2612">
        <w:rPr>
          <w:lang w:eastAsia="en-US"/>
        </w:rPr>
        <w:t xml:space="preserve"> tis. </w:t>
      </w:r>
      <w:r w:rsidR="00BC3775" w:rsidRPr="00EB2612">
        <w:rPr>
          <w:lang w:eastAsia="en-US"/>
        </w:rPr>
        <w:t>osob vykonávajících kulturní profese</w:t>
      </w:r>
      <w:r w:rsidR="0064229D">
        <w:rPr>
          <w:lang w:eastAsia="en-US"/>
        </w:rPr>
        <w:t xml:space="preserve"> </w:t>
      </w:r>
      <w:r w:rsidR="00BC3775" w:rsidRPr="00EB2612">
        <w:rPr>
          <w:lang w:eastAsia="en-US"/>
        </w:rPr>
        <w:t xml:space="preserve">a </w:t>
      </w:r>
      <w:r w:rsidR="0082365D" w:rsidRPr="00EB2612">
        <w:rPr>
          <w:lang w:eastAsia="en-US"/>
        </w:rPr>
        <w:t>3,7</w:t>
      </w:r>
      <w:r w:rsidR="00A70574" w:rsidRPr="00EB2612">
        <w:rPr>
          <w:lang w:eastAsia="en-US"/>
        </w:rPr>
        <w:t xml:space="preserve"> tis. </w:t>
      </w:r>
      <w:r w:rsidR="00BC3775" w:rsidRPr="00EB2612">
        <w:rPr>
          <w:lang w:eastAsia="en-US"/>
        </w:rPr>
        <w:t xml:space="preserve">osob s povoláním </w:t>
      </w:r>
      <w:r w:rsidR="00394A56">
        <w:rPr>
          <w:lang w:eastAsia="en-US"/>
        </w:rPr>
        <w:t>„ne-kulturního“ charakteru</w:t>
      </w:r>
      <w:r w:rsidR="00851419" w:rsidRPr="00EB2612">
        <w:rPr>
          <w:lang w:eastAsia="en-US"/>
        </w:rPr>
        <w:t xml:space="preserve">. </w:t>
      </w:r>
      <w:r w:rsidR="0082365D" w:rsidRPr="00EB2612">
        <w:rPr>
          <w:lang w:eastAsia="en-US"/>
        </w:rPr>
        <w:t>Velkou část</w:t>
      </w:r>
      <w:r w:rsidR="00C00A63" w:rsidRPr="00EB2612">
        <w:rPr>
          <w:lang w:eastAsia="en-US"/>
        </w:rPr>
        <w:t xml:space="preserve"> z </w:t>
      </w:r>
      <w:r w:rsidR="00BC3775" w:rsidRPr="00EB2612">
        <w:rPr>
          <w:lang w:eastAsia="en-US"/>
        </w:rPr>
        <w:t xml:space="preserve">kulturních </w:t>
      </w:r>
      <w:r w:rsidR="00C00A63" w:rsidRPr="00EB2612">
        <w:rPr>
          <w:lang w:eastAsia="en-US"/>
        </w:rPr>
        <w:t>povolání</w:t>
      </w:r>
      <w:r w:rsidR="00BC3775" w:rsidRPr="00EB2612">
        <w:rPr>
          <w:lang w:eastAsia="en-US"/>
        </w:rPr>
        <w:t xml:space="preserve"> v oblasti filmu a videa </w:t>
      </w:r>
      <w:r w:rsidR="00C00A63" w:rsidRPr="00EB2612">
        <w:rPr>
          <w:lang w:eastAsia="en-US"/>
        </w:rPr>
        <w:t>tvoří technici</w:t>
      </w:r>
      <w:r w:rsidR="00A70574" w:rsidRPr="00EB2612">
        <w:rPr>
          <w:lang w:eastAsia="en-US"/>
        </w:rPr>
        <w:t xml:space="preserve"> v oblasti vysílání a audiovizuálních záznamů</w:t>
      </w:r>
      <w:r w:rsidR="004409F9" w:rsidRPr="00EB2612">
        <w:rPr>
          <w:lang w:eastAsia="en-US"/>
        </w:rPr>
        <w:t xml:space="preserve"> (tedy osoby spadající svým zaměstnáním do kategorie CZ-ISCO 3521)</w:t>
      </w:r>
      <w:r w:rsidR="00C00A63" w:rsidRPr="00EB2612">
        <w:rPr>
          <w:lang w:eastAsia="en-US"/>
        </w:rPr>
        <w:t>.</w:t>
      </w:r>
      <w:r w:rsidR="00A70574" w:rsidRPr="00EB2612">
        <w:rPr>
          <w:lang w:eastAsia="en-US"/>
        </w:rPr>
        <w:t xml:space="preserve"> </w:t>
      </w:r>
      <w:r w:rsidR="00C00A63" w:rsidRPr="00EB2612">
        <w:rPr>
          <w:lang w:eastAsia="en-US"/>
        </w:rPr>
        <w:t>V</w:t>
      </w:r>
      <w:r w:rsidR="00A70574" w:rsidRPr="00EB2612">
        <w:rPr>
          <w:lang w:eastAsia="en-US"/>
        </w:rPr>
        <w:t> oblasti filmu</w:t>
      </w:r>
      <w:r w:rsidR="00851419" w:rsidRPr="00EB2612">
        <w:rPr>
          <w:lang w:eastAsia="en-US"/>
        </w:rPr>
        <w:t xml:space="preserve"> a</w:t>
      </w:r>
      <w:r w:rsidR="004409F9" w:rsidRPr="00EB2612">
        <w:rPr>
          <w:lang w:eastAsia="en-US"/>
        </w:rPr>
        <w:t xml:space="preserve"> videa</w:t>
      </w:r>
      <w:r w:rsidR="00BC3775" w:rsidRPr="00EB2612">
        <w:rPr>
          <w:lang w:eastAsia="en-US"/>
        </w:rPr>
        <w:t xml:space="preserve"> a</w:t>
      </w:r>
      <w:r w:rsidR="0018356F" w:rsidRPr="00EB2612">
        <w:rPr>
          <w:lang w:eastAsia="en-US"/>
        </w:rPr>
        <w:t> </w:t>
      </w:r>
      <w:r w:rsidR="00BC3775" w:rsidRPr="00EB2612">
        <w:rPr>
          <w:lang w:eastAsia="en-US"/>
        </w:rPr>
        <w:t>v jiných kulturních</w:t>
      </w:r>
      <w:r w:rsidR="00756868" w:rsidRPr="00EB2612">
        <w:rPr>
          <w:lang w:eastAsia="en-US"/>
        </w:rPr>
        <w:t xml:space="preserve"> oblastech pracovalo v roce 2019 odhadem 5,6</w:t>
      </w:r>
      <w:r w:rsidR="00847347" w:rsidRPr="00EB2612">
        <w:rPr>
          <w:lang w:eastAsia="en-US"/>
        </w:rPr>
        <w:t xml:space="preserve"> </w:t>
      </w:r>
      <w:r w:rsidR="00A70574" w:rsidRPr="00EB2612">
        <w:rPr>
          <w:lang w:eastAsia="en-US"/>
        </w:rPr>
        <w:t>tis. osob s tímto povoláním.</w:t>
      </w:r>
      <w:r w:rsidR="00BC3775" w:rsidRPr="00EB2612">
        <w:rPr>
          <w:lang w:eastAsia="en-US"/>
        </w:rPr>
        <w:t xml:space="preserve"> Mimo kulturní </w:t>
      </w:r>
      <w:r w:rsidR="00756868" w:rsidRPr="00EB2612">
        <w:rPr>
          <w:lang w:eastAsia="en-US"/>
        </w:rPr>
        <w:t>oblast pak pracovalo přibližně 0,6</w:t>
      </w:r>
      <w:r w:rsidR="00BC3775" w:rsidRPr="00EB2612">
        <w:rPr>
          <w:lang w:eastAsia="en-US"/>
        </w:rPr>
        <w:t xml:space="preserve"> tis.</w:t>
      </w:r>
      <w:r w:rsidRPr="00EB2612">
        <w:rPr>
          <w:lang w:eastAsia="en-US"/>
        </w:rPr>
        <w:t xml:space="preserve"> techniků v oblasti vysílání a audiovizuálních záznamů.</w:t>
      </w:r>
    </w:p>
    <w:p w:rsidR="0001315B" w:rsidRPr="00EB2612" w:rsidRDefault="00050886" w:rsidP="0001315B">
      <w:pPr>
        <w:pStyle w:val="Titulek"/>
        <w:keepNext/>
        <w:jc w:val="left"/>
        <w:rPr>
          <w:b w:val="0"/>
          <w:color w:val="auto"/>
          <w:sz w:val="22"/>
          <w:szCs w:val="22"/>
        </w:rPr>
      </w:pPr>
      <w:bookmarkStart w:id="66" w:name="_Toc464832050"/>
      <w:r w:rsidRPr="00EB2612">
        <w:rPr>
          <w:color w:val="auto"/>
          <w:sz w:val="22"/>
          <w:szCs w:val="22"/>
        </w:rPr>
        <w:t>Graf</w:t>
      </w:r>
      <w:r w:rsidR="0001315B" w:rsidRPr="00EB2612">
        <w:rPr>
          <w:color w:val="auto"/>
          <w:sz w:val="22"/>
          <w:szCs w:val="22"/>
        </w:rPr>
        <w:t xml:space="preserve"> </w:t>
      </w:r>
      <w:r w:rsidRPr="00EB2612">
        <w:rPr>
          <w:color w:val="auto"/>
          <w:sz w:val="22"/>
          <w:szCs w:val="22"/>
        </w:rPr>
        <w:t>31</w:t>
      </w:r>
      <w:r w:rsidR="0001315B" w:rsidRPr="00EB2612">
        <w:t xml:space="preserve"> </w:t>
      </w:r>
      <w:r w:rsidR="0001315B" w:rsidRPr="00EB2612">
        <w:rPr>
          <w:b w:val="0"/>
          <w:color w:val="auto"/>
          <w:sz w:val="22"/>
          <w:szCs w:val="22"/>
        </w:rPr>
        <w:t xml:space="preserve">Odhad počtu </w:t>
      </w:r>
      <w:r w:rsidR="00A33972" w:rsidRPr="00EB2612">
        <w:rPr>
          <w:b w:val="0"/>
          <w:color w:val="auto"/>
          <w:sz w:val="22"/>
          <w:szCs w:val="22"/>
        </w:rPr>
        <w:t>pracujících osob</w:t>
      </w:r>
      <w:r w:rsidR="0001315B" w:rsidRPr="00EB2612">
        <w:rPr>
          <w:b w:val="0"/>
          <w:color w:val="auto"/>
          <w:sz w:val="22"/>
          <w:szCs w:val="22"/>
        </w:rPr>
        <w:t xml:space="preserve"> v o</w:t>
      </w:r>
      <w:r w:rsidR="0082365D" w:rsidRPr="00EB2612">
        <w:rPr>
          <w:b w:val="0"/>
          <w:color w:val="auto"/>
          <w:sz w:val="22"/>
          <w:szCs w:val="22"/>
        </w:rPr>
        <w:t>blasti filmu a videa v roce 2019</w:t>
      </w:r>
      <w:r w:rsidR="00DC44B4" w:rsidRPr="00EB2612">
        <w:rPr>
          <w:b w:val="0"/>
          <w:color w:val="auto"/>
          <w:sz w:val="22"/>
          <w:szCs w:val="22"/>
        </w:rPr>
        <w:t xml:space="preserve"> </w:t>
      </w:r>
      <w:r w:rsidR="0093714D">
        <w:rPr>
          <w:b w:val="0"/>
          <w:color w:val="auto"/>
          <w:sz w:val="22"/>
          <w:szCs w:val="22"/>
        </w:rPr>
        <w:t>(</w:t>
      </w:r>
      <w:r w:rsidR="00DC44B4" w:rsidRPr="00EB2612">
        <w:rPr>
          <w:b w:val="0"/>
          <w:color w:val="auto"/>
          <w:sz w:val="22"/>
          <w:szCs w:val="22"/>
        </w:rPr>
        <w:t>v tis. osob</w:t>
      </w:r>
      <w:bookmarkEnd w:id="66"/>
      <w:r w:rsidR="0093714D">
        <w:rPr>
          <w:b w:val="0"/>
          <w:color w:val="auto"/>
          <w:sz w:val="22"/>
          <w:szCs w:val="22"/>
        </w:rPr>
        <w:t>)</w:t>
      </w:r>
    </w:p>
    <w:p w:rsidR="00EA770B" w:rsidRPr="00EB2612" w:rsidRDefault="00781DF4" w:rsidP="00EA770B">
      <w:pPr>
        <w:rPr>
          <w:lang w:eastAsia="en-US"/>
        </w:rPr>
      </w:pPr>
      <w:r>
        <w:rPr>
          <w:noProof/>
        </w:rPr>
        <w:pict>
          <v:shape id="Text Box 33" o:spid="_x0000_s1036" type="#_x0000_t202" style="position:absolute;left:0;text-align:left;margin-left:360.2pt;margin-top:100.8pt;width:42.85pt;height:20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" strokecolor="white [3212]">
            <v:fill opacity="0"/>
            <v:textbox style="mso-next-textbox:#Text Box 33">
              <w:txbxContent>
                <w:p w:rsidR="00705045" w:rsidRPr="003A7ED6" w:rsidRDefault="00705045">
                  <w:pPr>
                    <w:rPr>
                      <w:rFonts w:ascii="Calibri" w:hAnsi="Calibri"/>
                    </w:rPr>
                  </w:pPr>
                  <w:r>
                    <w:rPr>
                      <w:rFonts w:ascii="Calibri" w:hAnsi="Calibri"/>
                    </w:rPr>
                    <w:t>6,2</w:t>
                  </w:r>
                  <w:r w:rsidRPr="003A7ED6">
                    <w:rPr>
                      <w:rFonts w:ascii="Calibri" w:hAnsi="Calibri"/>
                    </w:rPr>
                    <w:t xml:space="preserve"> tis.</w:t>
                  </w:r>
                </w:p>
              </w:txbxContent>
            </v:textbox>
          </v:shape>
        </w:pict>
      </w:r>
      <w:r>
        <w:rPr>
          <w:noProof/>
        </w:rPr>
        <w:pict>
          <v:shape id="Text Box 32" o:spid="_x0000_s1035" type="#_x0000_t202" style="position:absolute;left:0;text-align:left;margin-left:103.7pt;margin-top:100.8pt;width:43.6pt;height:21.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" strokecolor="white [3212]">
            <v:fill opacity="0"/>
            <v:textbox style="mso-next-textbox:#Text Box 32">
              <w:txbxContent>
                <w:p w:rsidR="00705045" w:rsidRPr="003A7ED6" w:rsidRDefault="00705045">
                  <w:pPr>
                    <w:rPr>
                      <w:rFonts w:ascii="Calibri" w:hAnsi="Calibri"/>
                    </w:rPr>
                  </w:pPr>
                  <w:r>
                    <w:rPr>
                      <w:rFonts w:ascii="Calibri" w:hAnsi="Calibri"/>
                    </w:rPr>
                    <w:t>8,1 tis.</w:t>
                  </w:r>
                </w:p>
              </w:txbxContent>
            </v:textbox>
          </v:shape>
        </w:pict>
      </w:r>
      <w:r w:rsidR="00222132" w:rsidRPr="00EB2612">
        <w:rPr>
          <w:noProof/>
        </w:rPr>
        <w:drawing>
          <wp:inline distT="0" distB="0" distL="0" distR="0">
            <wp:extent cx="3457575" cy="2105025"/>
            <wp:effectExtent l="0" t="0" r="0" b="0"/>
            <wp:docPr id="13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222132" w:rsidRPr="00EB2612">
        <w:rPr>
          <w:noProof/>
        </w:rPr>
        <w:drawing>
          <wp:inline distT="0" distB="0" distL="0" distR="0">
            <wp:extent cx="2647950" cy="2076450"/>
            <wp:effectExtent l="0" t="0" r="0" b="0"/>
            <wp:docPr id="134"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CC035A" w:rsidRPr="00EB2612" w:rsidRDefault="0001315B" w:rsidP="00851419">
      <w:pPr>
        <w:spacing w:before="120"/>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Zdroj: Výběrové šetření pracovních sil, VŠPS</w:t>
      </w:r>
    </w:p>
    <w:p w:rsidR="004409F9" w:rsidRPr="00EB2612" w:rsidRDefault="004409F9" w:rsidP="00BB64DB">
      <w:r w:rsidRPr="00EB2612">
        <w:lastRenderedPageBreak/>
        <w:t xml:space="preserve">Údaje o počtu </w:t>
      </w:r>
      <w:r w:rsidRPr="00EB2612">
        <w:rPr>
          <w:lang w:eastAsia="en-US"/>
        </w:rPr>
        <w:t>techniků v oblasti vysílání a audiovizuálních záznamů</w:t>
      </w:r>
      <w:r w:rsidR="00AC1AC6" w:rsidRPr="00EB2612">
        <w:rPr>
          <w:lang w:eastAsia="en-US"/>
        </w:rPr>
        <w:t xml:space="preserve"> z VŠPS</w:t>
      </w:r>
      <w:r w:rsidR="000E3B13" w:rsidRPr="00EB2612">
        <w:rPr>
          <w:lang w:eastAsia="en-US"/>
        </w:rPr>
        <w:t xml:space="preserve"> </w:t>
      </w:r>
      <w:r w:rsidR="00AC1AC6" w:rsidRPr="00EB2612">
        <w:rPr>
          <w:lang w:eastAsia="en-US"/>
        </w:rPr>
        <w:t>lze</w:t>
      </w:r>
      <w:r w:rsidR="000E3B13" w:rsidRPr="00EB2612">
        <w:rPr>
          <w:lang w:eastAsia="en-US"/>
        </w:rPr>
        <w:t xml:space="preserve"> doplnit také </w:t>
      </w:r>
      <w:r w:rsidR="00851419" w:rsidRPr="00EB2612">
        <w:rPr>
          <w:lang w:eastAsia="en-US"/>
        </w:rPr>
        <w:t>o data</w:t>
      </w:r>
      <w:r w:rsidR="000E3B13" w:rsidRPr="00EB2612">
        <w:rPr>
          <w:lang w:eastAsia="en-US"/>
        </w:rPr>
        <w:t xml:space="preserve"> z</w:t>
      </w:r>
      <w:r w:rsidR="008B64EB" w:rsidRPr="00EB2612">
        <w:rPr>
          <w:lang w:eastAsia="en-US"/>
        </w:rPr>
        <w:t> </w:t>
      </w:r>
      <w:r w:rsidR="000E3B13" w:rsidRPr="00EB2612">
        <w:t>Informačního systému o průměrném výdělku (ISPV). Tento údaj však zahrnuje pouze zaměstnance ve mzdové a platové sféře, nikoliv podnikatele a pracovníky na dohodu. P</w:t>
      </w:r>
      <w:r w:rsidR="00B02802" w:rsidRPr="00EB2612">
        <w:t>odle ISPV pracovalo ve mzdové a </w:t>
      </w:r>
      <w:r w:rsidR="00F2260E" w:rsidRPr="00EB2612">
        <w:t>platové sféře v roce 2019</w:t>
      </w:r>
      <w:r w:rsidR="000E3B13" w:rsidRPr="00EB2612">
        <w:t xml:space="preserve"> přibližně 2 tis</w:t>
      </w:r>
      <w:r w:rsidR="00851419" w:rsidRPr="00EB2612">
        <w:t>.</w:t>
      </w:r>
      <w:r w:rsidR="000E3B13" w:rsidRPr="00EB2612">
        <w:t xml:space="preserve"> zaměstnanců </w:t>
      </w:r>
      <w:r w:rsidR="001132C6" w:rsidRPr="00EB2612">
        <w:t>spadajících</w:t>
      </w:r>
      <w:r w:rsidR="00AC1AC6" w:rsidRPr="00EB2612">
        <w:t xml:space="preserve"> charakterem svého povolání do kategorie </w:t>
      </w:r>
      <w:r w:rsidR="00AC1AC6" w:rsidRPr="00EB2612">
        <w:rPr>
          <w:lang w:eastAsia="en-US"/>
        </w:rPr>
        <w:t xml:space="preserve">CZ-ISCO 3521 </w:t>
      </w:r>
      <w:r w:rsidR="000E3B13" w:rsidRPr="00EB2612">
        <w:t xml:space="preserve">a jejich průměrná </w:t>
      </w:r>
      <w:r w:rsidR="00BC3775" w:rsidRPr="00EB2612">
        <w:t xml:space="preserve">mzda </w:t>
      </w:r>
      <w:r w:rsidR="00AC1AC6" w:rsidRPr="00EB2612">
        <w:t xml:space="preserve">se </w:t>
      </w:r>
      <w:r w:rsidR="001132C6" w:rsidRPr="00EB2612">
        <w:t>pohybovala</w:t>
      </w:r>
      <w:r w:rsidR="00AC1AC6" w:rsidRPr="00EB2612">
        <w:t xml:space="preserve"> okolo</w:t>
      </w:r>
      <w:r w:rsidR="00F2260E" w:rsidRPr="00EB2612">
        <w:t xml:space="preserve"> 36</w:t>
      </w:r>
      <w:r w:rsidR="007B0B56" w:rsidRPr="00EB2612">
        <w:t>,3</w:t>
      </w:r>
      <w:r w:rsidR="000E3B13" w:rsidRPr="00EB2612">
        <w:t xml:space="preserve"> tis. Kč.</w:t>
      </w:r>
    </w:p>
    <w:p w:rsidR="00BB64DB" w:rsidRPr="00EB2612" w:rsidRDefault="00700384" w:rsidP="00BB64DB">
      <w:r w:rsidRPr="00EB2612">
        <w:tab/>
      </w:r>
      <w:r w:rsidR="005373E0" w:rsidRPr="00EB2612">
        <w:t>Z hlediska distribuce je vhodné rozlišit kinodistribuci a distribuci videozáznamů respektive jejich maloobchodní prodej. O návštěvnosti a tržbách českých kin vede dlouhodobě roční přehledy Unie filmových</w:t>
      </w:r>
      <w:r w:rsidR="005373E0" w:rsidRPr="00EB2612">
        <w:rPr>
          <w:i/>
        </w:rPr>
        <w:t xml:space="preserve"> </w:t>
      </w:r>
      <w:r w:rsidR="005373E0" w:rsidRPr="00EB2612">
        <w:t>distributorů. Z Grafu 32 je patrný výrazný propad návštěvnosti českých kin mezi lety 1989 a 1995. Ten byl zřejmě způsoben rozmachem videodistribuce a nástupem kabelové televize (Mošna, 2010). V následujících letech návštěvnost v českých kinech stagnovala a oživení se česká kina dočkala až v posledních letech. V roce 2019 návštěvnost dosáhla s 18,3 mil. návštěv nejlepšího výsledku od roku 1993 a oproti předchozímu roku vzrostla o necelé 2 mil. návštěv. Pokladny českých kinosálů zaznamenaly v roce 2019 čisté tržby ve výši 2,6 mld. Kč, přičemž podíl na této částce měly také filmy z české produkce – 2 české filmy</w:t>
      </w:r>
      <w:r w:rsidR="00184B71" w:rsidRPr="00EB2612">
        <w:t xml:space="preserve"> (Ženy v běhu a Poslední aristokratka) se umístily</w:t>
      </w:r>
      <w:r w:rsidR="005373E0" w:rsidRPr="00EB2612">
        <w:t xml:space="preserve"> v nejlepší desítce filmů z hlediska návštěvnosti kinosálů v ČR. Celkové tržby se v průběhu let vyvíjí také v závislosti na průměrné ceně vstupenky, která vzrostla v roce 2019 oproti předchozímu roku přibližně o 3 %.</w:t>
      </w:r>
    </w:p>
    <w:p w:rsidR="00BB64DB" w:rsidRPr="00EB2612" w:rsidRDefault="00BB64DB" w:rsidP="00BB64DB">
      <w:pPr>
        <w:pStyle w:val="Titulek"/>
        <w:keepNext/>
        <w:rPr>
          <w:color w:val="000000" w:themeColor="text1"/>
          <w:sz w:val="22"/>
          <w:szCs w:val="22"/>
        </w:rPr>
      </w:pPr>
      <w:r w:rsidRPr="00EB2612">
        <w:rPr>
          <w:color w:val="000000" w:themeColor="text1"/>
          <w:sz w:val="22"/>
          <w:szCs w:val="22"/>
        </w:rPr>
        <w:t xml:space="preserve">Graf </w:t>
      </w:r>
      <w:r w:rsidR="00050886" w:rsidRPr="00EB2612">
        <w:rPr>
          <w:color w:val="000000" w:themeColor="text1"/>
          <w:sz w:val="22"/>
          <w:szCs w:val="22"/>
        </w:rPr>
        <w:t>32</w:t>
      </w:r>
      <w:r w:rsidRPr="00EB2612">
        <w:rPr>
          <w:color w:val="000000" w:themeColor="text1"/>
          <w:sz w:val="22"/>
          <w:szCs w:val="22"/>
        </w:rPr>
        <w:t xml:space="preserve"> </w:t>
      </w:r>
      <w:r w:rsidRPr="00EB2612">
        <w:rPr>
          <w:b w:val="0"/>
          <w:color w:val="000000" w:themeColor="text1"/>
          <w:sz w:val="22"/>
          <w:szCs w:val="22"/>
        </w:rPr>
        <w:t xml:space="preserve">Návštěvnost </w:t>
      </w:r>
      <w:r w:rsidR="008A07D3" w:rsidRPr="00EB2612">
        <w:rPr>
          <w:b w:val="0"/>
          <w:color w:val="000000" w:themeColor="text1"/>
          <w:sz w:val="22"/>
          <w:szCs w:val="22"/>
        </w:rPr>
        <w:t xml:space="preserve">a tržby </w:t>
      </w:r>
      <w:r w:rsidRPr="00EB2612">
        <w:rPr>
          <w:b w:val="0"/>
          <w:color w:val="000000" w:themeColor="text1"/>
          <w:sz w:val="22"/>
          <w:szCs w:val="22"/>
        </w:rPr>
        <w:t>českých kin</w:t>
      </w:r>
      <w:r w:rsidR="00461F62" w:rsidRPr="00EB2612">
        <w:rPr>
          <w:b w:val="0"/>
          <w:color w:val="000000" w:themeColor="text1"/>
          <w:sz w:val="22"/>
          <w:szCs w:val="22"/>
        </w:rPr>
        <w:t xml:space="preserve"> – meziroční vývoj</w:t>
      </w:r>
    </w:p>
    <w:p w:rsidR="00BB64DB" w:rsidRPr="00EB2612" w:rsidRDefault="00D54E6D" w:rsidP="005373E0">
      <w:pPr>
        <w:keepNext/>
        <w:jc w:val="center"/>
      </w:pPr>
      <w:r w:rsidRPr="00EB2612">
        <w:rPr>
          <w:noProof/>
        </w:rPr>
        <w:drawing>
          <wp:inline distT="0" distB="0" distL="0" distR="0">
            <wp:extent cx="6010275" cy="2552700"/>
            <wp:effectExtent l="0" t="0" r="0" b="0"/>
            <wp:docPr id="141"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B64DB" w:rsidRPr="00EB2612" w:rsidRDefault="00BB64DB" w:rsidP="00BB64DB">
      <w:pPr>
        <w:pStyle w:val="Titulek"/>
        <w:rPr>
          <w:b w:val="0"/>
          <w:color w:val="000000" w:themeColor="text1"/>
          <w:sz w:val="22"/>
          <w:szCs w:val="22"/>
        </w:rPr>
      </w:pPr>
      <w:r w:rsidRPr="00EB2612">
        <w:rPr>
          <w:b w:val="0"/>
          <w:color w:val="000000" w:themeColor="text1"/>
          <w:sz w:val="22"/>
          <w:szCs w:val="22"/>
        </w:rPr>
        <w:t>Zdroj: Unie filmových distributorů</w:t>
      </w:r>
      <w:r w:rsidR="0086745D" w:rsidRPr="00EB2612">
        <w:rPr>
          <w:b w:val="0"/>
          <w:color w:val="000000" w:themeColor="text1"/>
          <w:sz w:val="22"/>
          <w:szCs w:val="22"/>
        </w:rPr>
        <w:t xml:space="preserve"> </w:t>
      </w:r>
    </w:p>
    <w:p w:rsidR="0086745D" w:rsidRPr="00EB2612" w:rsidRDefault="0086745D" w:rsidP="0086745D">
      <w:pPr>
        <w:rPr>
          <w:lang w:eastAsia="en-US"/>
        </w:rPr>
      </w:pPr>
      <w:r w:rsidRPr="00EB2612">
        <w:rPr>
          <w:lang w:eastAsia="en-US"/>
        </w:rPr>
        <w:t xml:space="preserve">V době </w:t>
      </w:r>
      <w:r w:rsidR="00CC0777">
        <w:rPr>
          <w:lang w:eastAsia="en-US"/>
        </w:rPr>
        <w:t>zpracování</w:t>
      </w:r>
      <w:r w:rsidR="00CC0777" w:rsidRPr="00EB2612">
        <w:rPr>
          <w:lang w:eastAsia="en-US"/>
        </w:rPr>
        <w:t xml:space="preserve"> </w:t>
      </w:r>
      <w:r w:rsidRPr="00EB2612">
        <w:rPr>
          <w:lang w:eastAsia="en-US"/>
        </w:rPr>
        <w:t>této anal</w:t>
      </w:r>
      <w:r w:rsidR="0017016E" w:rsidRPr="00EB2612">
        <w:rPr>
          <w:lang w:eastAsia="en-US"/>
        </w:rPr>
        <w:t xml:space="preserve">ýzy se </w:t>
      </w:r>
      <w:r w:rsidR="007F25FB" w:rsidRPr="00EB2612">
        <w:rPr>
          <w:lang w:eastAsia="en-US"/>
        </w:rPr>
        <w:t xml:space="preserve">celá ekonomika </w:t>
      </w:r>
      <w:r w:rsidR="00652144" w:rsidRPr="00EB2612">
        <w:rPr>
          <w:lang w:eastAsia="en-US"/>
        </w:rPr>
        <w:t xml:space="preserve">potýká </w:t>
      </w:r>
      <w:r w:rsidR="0017016E" w:rsidRPr="00EB2612">
        <w:rPr>
          <w:lang w:eastAsia="en-US"/>
        </w:rPr>
        <w:t>s dopady pandemie nemoc</w:t>
      </w:r>
      <w:r w:rsidR="00CC0777">
        <w:rPr>
          <w:lang w:eastAsia="en-US"/>
        </w:rPr>
        <w:t>i</w:t>
      </w:r>
      <w:r w:rsidR="0017016E" w:rsidRPr="00EB2612">
        <w:rPr>
          <w:lang w:eastAsia="en-US"/>
        </w:rPr>
        <w:t xml:space="preserve"> </w:t>
      </w:r>
      <w:r w:rsidR="007F25FB" w:rsidRPr="00EB2612">
        <w:rPr>
          <w:lang w:eastAsia="en-US"/>
        </w:rPr>
        <w:t>C</w:t>
      </w:r>
      <w:r w:rsidR="00D54E6D" w:rsidRPr="00EB2612">
        <w:rPr>
          <w:lang w:eastAsia="en-US"/>
        </w:rPr>
        <w:t>OVID</w:t>
      </w:r>
      <w:r w:rsidR="003F593B">
        <w:rPr>
          <w:lang w:eastAsia="en-US"/>
        </w:rPr>
        <w:t>-19. Ta se nevyhnula</w:t>
      </w:r>
      <w:r w:rsidR="005A149D">
        <w:rPr>
          <w:lang w:eastAsia="en-US"/>
        </w:rPr>
        <w:t xml:space="preserve"> ani audiovizuál</w:t>
      </w:r>
      <w:r w:rsidR="007F25FB" w:rsidRPr="00EB2612">
        <w:rPr>
          <w:lang w:eastAsia="en-US"/>
        </w:rPr>
        <w:t>nímu sektoru a to zejména v souvislosti s omezeními při produkci audiovizuálních děl a provozu kinos</w:t>
      </w:r>
      <w:r w:rsidR="00652144" w:rsidRPr="00EB2612">
        <w:rPr>
          <w:lang w:eastAsia="en-US"/>
        </w:rPr>
        <w:t>álů. Zatímco rok 2019 znamenal pro kinosály rekordní návštěvnost, již nyní lze předpokládat, že rok 2020 bude spojován</w:t>
      </w:r>
      <w:r w:rsidR="00016534" w:rsidRPr="00EB2612">
        <w:rPr>
          <w:lang w:eastAsia="en-US"/>
        </w:rPr>
        <w:t xml:space="preserve"> naopak</w:t>
      </w:r>
      <w:r w:rsidR="00652144" w:rsidRPr="00EB2612">
        <w:rPr>
          <w:lang w:eastAsia="en-US"/>
        </w:rPr>
        <w:t xml:space="preserve"> s rekordním propadem návštěvnosti a poklesem tržeb ze vstupenek. Z průběžných měsíčních dat </w:t>
      </w:r>
      <w:r w:rsidR="0039720C" w:rsidRPr="00EB2612">
        <w:rPr>
          <w:lang w:eastAsia="en-US"/>
        </w:rPr>
        <w:t>návštěvnosti od ledna do srpna roku 2020 zatím vychází propad návštěvnosti oproti stejnému období v roce 2019 o více než polovinu.</w:t>
      </w:r>
      <w:r w:rsidR="00016534" w:rsidRPr="00EB2612">
        <w:rPr>
          <w:lang w:eastAsia="en-US"/>
        </w:rPr>
        <w:t xml:space="preserve"> </w:t>
      </w:r>
      <w:r w:rsidR="009A7A3F" w:rsidRPr="00EB2612">
        <w:rPr>
          <w:lang w:eastAsia="en-US"/>
        </w:rPr>
        <w:t>Jak ukazuje Graf 33</w:t>
      </w:r>
      <w:r w:rsidR="00D54E6D" w:rsidRPr="00EB2612">
        <w:rPr>
          <w:lang w:eastAsia="en-US"/>
        </w:rPr>
        <w:t>,</w:t>
      </w:r>
      <w:r w:rsidR="009A7A3F" w:rsidRPr="00EB2612">
        <w:rPr>
          <w:lang w:eastAsia="en-US"/>
        </w:rPr>
        <w:t xml:space="preserve"> v</w:t>
      </w:r>
      <w:r w:rsidR="00016534" w:rsidRPr="00EB2612">
        <w:rPr>
          <w:lang w:eastAsia="en-US"/>
        </w:rPr>
        <w:t> jarních měsících</w:t>
      </w:r>
      <w:r w:rsidR="005A149D">
        <w:rPr>
          <w:lang w:eastAsia="en-US"/>
        </w:rPr>
        <w:t xml:space="preserve"> (</w:t>
      </w:r>
      <w:proofErr w:type="gramStart"/>
      <w:r w:rsidR="005A149D">
        <w:rPr>
          <w:lang w:eastAsia="en-US"/>
        </w:rPr>
        <w:t>březen</w:t>
      </w:r>
      <w:r w:rsidR="005A149D" w:rsidRPr="00EB2612">
        <w:t>–</w:t>
      </w:r>
      <w:r w:rsidR="009A7A3F" w:rsidRPr="00EB2612">
        <w:rPr>
          <w:lang w:eastAsia="en-US"/>
        </w:rPr>
        <w:t>červen</w:t>
      </w:r>
      <w:proofErr w:type="gramEnd"/>
      <w:r w:rsidR="009A7A3F" w:rsidRPr="00EB2612">
        <w:rPr>
          <w:lang w:eastAsia="en-US"/>
        </w:rPr>
        <w:t>)</w:t>
      </w:r>
      <w:r w:rsidR="00016534" w:rsidRPr="00EB2612">
        <w:rPr>
          <w:lang w:eastAsia="en-US"/>
        </w:rPr>
        <w:t xml:space="preserve"> v období tzv. první vlny pandemie a nejpřísnějších vládních opatření byla návštěvnost ve srovnání se stejným obdobím předchozího roku </w:t>
      </w:r>
      <w:r w:rsidR="009A7A3F" w:rsidRPr="00EB2612">
        <w:rPr>
          <w:lang w:eastAsia="en-US"/>
        </w:rPr>
        <w:t>přibližně sedminásobně nižší</w:t>
      </w:r>
      <w:r w:rsidR="00016534" w:rsidRPr="00EB2612">
        <w:rPr>
          <w:lang w:eastAsia="en-US"/>
        </w:rPr>
        <w:t>.</w:t>
      </w:r>
      <w:r w:rsidR="005D1AC2">
        <w:rPr>
          <w:lang w:eastAsia="en-US"/>
        </w:rPr>
        <w:t xml:space="preserve"> Po dobu uzavření kinosálů při první vlně pandemie vznikl také projekt virtuálního kina Asociace provozovatelů kin, </w:t>
      </w:r>
      <w:r w:rsidR="005D1AC2">
        <w:rPr>
          <w:lang w:eastAsia="en-US"/>
        </w:rPr>
        <w:lastRenderedPageBreak/>
        <w:t>který umožňoval sledovat divákům vybrané filmy</w:t>
      </w:r>
      <w:r w:rsidR="0064229D">
        <w:rPr>
          <w:lang w:eastAsia="en-US"/>
        </w:rPr>
        <w:t xml:space="preserve"> z domova</w:t>
      </w:r>
      <w:r w:rsidR="005D1AC2">
        <w:rPr>
          <w:lang w:eastAsia="en-US"/>
        </w:rPr>
        <w:t xml:space="preserve"> v pevně zvolený čas a bez reklam. Virtuální </w:t>
      </w:r>
      <w:r w:rsidR="0064229D">
        <w:rPr>
          <w:lang w:eastAsia="en-US"/>
        </w:rPr>
        <w:t xml:space="preserve">vstupenku do </w:t>
      </w:r>
      <w:r w:rsidR="005D1AC2">
        <w:rPr>
          <w:lang w:eastAsia="en-US"/>
        </w:rPr>
        <w:t xml:space="preserve">kina přes web Vasekino.cz </w:t>
      </w:r>
      <w:r w:rsidR="0064229D">
        <w:rPr>
          <w:lang w:eastAsia="en-US"/>
        </w:rPr>
        <w:t>zakoupilo</w:t>
      </w:r>
      <w:r w:rsidR="005D1AC2">
        <w:rPr>
          <w:lang w:eastAsia="en-US"/>
        </w:rPr>
        <w:t xml:space="preserve"> v rámci první vlny pandemie přibližně 10 tis. </w:t>
      </w:r>
      <w:r w:rsidR="0064229D">
        <w:rPr>
          <w:lang w:eastAsia="en-US"/>
        </w:rPr>
        <w:t>osob.</w:t>
      </w:r>
    </w:p>
    <w:p w:rsidR="0086745D" w:rsidRPr="00EB2612" w:rsidRDefault="0086745D" w:rsidP="0086745D">
      <w:pPr>
        <w:pStyle w:val="Titulek"/>
        <w:keepNext/>
        <w:rPr>
          <w:color w:val="000000" w:themeColor="text1"/>
          <w:sz w:val="22"/>
          <w:szCs w:val="22"/>
        </w:rPr>
      </w:pPr>
      <w:r w:rsidRPr="00EB2612">
        <w:rPr>
          <w:color w:val="000000" w:themeColor="text1"/>
          <w:sz w:val="22"/>
          <w:szCs w:val="22"/>
        </w:rPr>
        <w:t xml:space="preserve">Graf 33 </w:t>
      </w:r>
      <w:r w:rsidR="00461F62" w:rsidRPr="00EB2612">
        <w:rPr>
          <w:b w:val="0"/>
          <w:color w:val="000000" w:themeColor="text1"/>
          <w:sz w:val="22"/>
          <w:szCs w:val="22"/>
        </w:rPr>
        <w:t xml:space="preserve">Návštěvnost a tržby českých kin </w:t>
      </w:r>
      <w:r w:rsidR="00184B71" w:rsidRPr="00EB2612">
        <w:rPr>
          <w:b w:val="0"/>
          <w:color w:val="000000" w:themeColor="text1"/>
          <w:sz w:val="22"/>
          <w:szCs w:val="22"/>
        </w:rPr>
        <w:t>v lednu až srpnu 2019 a 2020</w:t>
      </w:r>
    </w:p>
    <w:p w:rsidR="005373E0" w:rsidRPr="00EB2612" w:rsidRDefault="005373E0" w:rsidP="00BB64DB">
      <w:r w:rsidRPr="00EB2612">
        <w:rPr>
          <w:noProof/>
        </w:rPr>
        <w:drawing>
          <wp:inline distT="0" distB="0" distL="0" distR="0">
            <wp:extent cx="6172200" cy="2295525"/>
            <wp:effectExtent l="0" t="0" r="0" b="0"/>
            <wp:docPr id="13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A7A3F" w:rsidRPr="00EB2612" w:rsidRDefault="009A7A3F" w:rsidP="00BB64DB">
      <w:r w:rsidRPr="00EB2612">
        <w:t>Zdroj: Unie filmových distributorů</w:t>
      </w:r>
    </w:p>
    <w:p w:rsidR="009A7A3F" w:rsidRPr="00EB2612" w:rsidRDefault="009A7A3F" w:rsidP="00BB64DB">
      <w:r w:rsidRPr="00EB2612">
        <w:t xml:space="preserve">Zatímco </w:t>
      </w:r>
      <w:r w:rsidR="00184B71" w:rsidRPr="00EB2612">
        <w:t>protipandemická</w:t>
      </w:r>
      <w:r w:rsidR="00122CFA" w:rsidRPr="00EB2612">
        <w:t xml:space="preserve"> opatření v první polovině roku 2020 negativně </w:t>
      </w:r>
      <w:r w:rsidR="00184B71" w:rsidRPr="00EB2612">
        <w:t>ovlivnila</w:t>
      </w:r>
      <w:r w:rsidR="005F646F" w:rsidRPr="00EB2612">
        <w:t xml:space="preserve"> návštěvnost kinosálů</w:t>
      </w:r>
      <w:r w:rsidR="00122CFA" w:rsidRPr="00EB2612">
        <w:t xml:space="preserve">, nepřímo </w:t>
      </w:r>
      <w:r w:rsidR="005F646F" w:rsidRPr="00EB2612">
        <w:t xml:space="preserve">zřejmě </w:t>
      </w:r>
      <w:r w:rsidR="00184B71" w:rsidRPr="00EB2612">
        <w:t>podpořila</w:t>
      </w:r>
      <w:r w:rsidR="00122CFA" w:rsidRPr="00EB2612">
        <w:t xml:space="preserve"> sledování audiovizuálních děl </w:t>
      </w:r>
      <w:r w:rsidR="00184B71" w:rsidRPr="00EB2612">
        <w:t>prostřednictvím streamingu</w:t>
      </w:r>
      <w:r w:rsidR="00C6102D" w:rsidRPr="00EB2612">
        <w:t>.</w:t>
      </w:r>
      <w:r w:rsidR="00122CFA" w:rsidRPr="00EB2612">
        <w:t xml:space="preserve"> Např.</w:t>
      </w:r>
      <w:r w:rsidR="00C6102D" w:rsidRPr="00EB2612">
        <w:t xml:space="preserve"> </w:t>
      </w:r>
      <w:r w:rsidR="00122CFA" w:rsidRPr="00EB2612">
        <w:t>s</w:t>
      </w:r>
      <w:r w:rsidR="00167C65" w:rsidRPr="00EB2612">
        <w:t xml:space="preserve">treamingový gigant Netflix ohlásil v první polovině roku 2020 nárůst </w:t>
      </w:r>
      <w:r w:rsidR="00184B71" w:rsidRPr="00EB2612">
        <w:t xml:space="preserve">celosvětového </w:t>
      </w:r>
      <w:r w:rsidR="00EA2A3F" w:rsidRPr="00EB2612">
        <w:t>počtu předplatitelů o 26 mil., což je dvojnásobek hodnot z předchozího roku za stejné období (CNBC, 2020a, 2020b).</w:t>
      </w:r>
    </w:p>
    <w:p w:rsidR="00461F62" w:rsidRPr="00EB2612" w:rsidRDefault="00B56E4B" w:rsidP="00BB64DB">
      <w:r>
        <w:tab/>
      </w:r>
      <w:r w:rsidR="00461F62" w:rsidRPr="00EB2612">
        <w:t>O aktivitách a tržbách společností poskytujících digitální služby na českém trhu nejsou dostupná ucelená data. Některé informace se dají získat z šetření Kult 6-01 prováděném ČSÚ, které bude podrobněji rozebráno v Kapitole 6. Filmové katalogy přístupné online u nás v současnosti bezplatně provozuje např. Česká televize či Prima, za poplatek pak televize Nova prostřednictvím služby Voyo či jiní soukromí poskytovatelé (například Alza či O2). Artové filmy pak za poplatek nabízí společnost AeroVod. Společnost Netflix vstoupila na český trh v roce 2016.</w:t>
      </w:r>
    </w:p>
    <w:p w:rsidR="00BB64DB" w:rsidRPr="00EB2612" w:rsidRDefault="00B56E4B" w:rsidP="00BB64DB">
      <w:r>
        <w:tab/>
      </w:r>
      <w:r w:rsidR="00461F62" w:rsidRPr="00EB2612">
        <w:t xml:space="preserve">Okrajovým </w:t>
      </w:r>
      <w:r w:rsidR="003F593B" w:rsidRPr="00EB2612">
        <w:t>segmentem</w:t>
      </w:r>
      <w:r w:rsidR="00461F62" w:rsidRPr="00EB2612">
        <w:t xml:space="preserve"> trhu se stávají fyzické nosiče audiovizuálních materiálů. O</w:t>
      </w:r>
      <w:r w:rsidR="0018356F" w:rsidRPr="00EB2612">
        <w:t> </w:t>
      </w:r>
      <w:r w:rsidR="001857FC" w:rsidRPr="00EB2612">
        <w:t xml:space="preserve">tom </w:t>
      </w:r>
      <w:r w:rsidR="00461F62" w:rsidRPr="00EB2612">
        <w:t xml:space="preserve">svědčí </w:t>
      </w:r>
      <w:r w:rsidR="001857FC" w:rsidRPr="00EB2612">
        <w:t>například</w:t>
      </w:r>
      <w:r w:rsidR="007121B5" w:rsidRPr="00EB2612">
        <w:t xml:space="preserve"> </w:t>
      </w:r>
      <w:r w:rsidR="001857FC" w:rsidRPr="00EB2612">
        <w:t>skutečnost, že</w:t>
      </w:r>
      <w:r w:rsidR="007121B5" w:rsidRPr="00EB2612">
        <w:t xml:space="preserve"> nenahrané</w:t>
      </w:r>
      <w:r w:rsidR="001857FC" w:rsidRPr="00EB2612">
        <w:t xml:space="preserve"> </w:t>
      </w:r>
      <w:r w:rsidR="007121B5" w:rsidRPr="00EB2612">
        <w:t>blu-ray disky, CD a DVD byly vyřazeny ze spotřebitelského koše ČSÚ (Potočková, 2018).</w:t>
      </w:r>
      <w:r w:rsidR="00461F62" w:rsidRPr="00EB2612">
        <w:t xml:space="preserve"> </w:t>
      </w:r>
      <w:r w:rsidR="00BB64DB" w:rsidRPr="00EB2612">
        <w:t xml:space="preserve">Podle </w:t>
      </w:r>
      <w:r w:rsidR="00511E36" w:rsidRPr="00EB2612">
        <w:t>údajů Podnikové strukturální statistiky</w:t>
      </w:r>
      <w:r w:rsidR="00BB64DB" w:rsidRPr="00EB2612">
        <w:t xml:space="preserve"> poklesly </w:t>
      </w:r>
      <w:r w:rsidR="00BF0E2E" w:rsidRPr="00EB2612">
        <w:t>příjmy</w:t>
      </w:r>
      <w:r w:rsidR="00BB64DB" w:rsidRPr="00EB2612">
        <w:t xml:space="preserve"> z půjčování médií s audiovizuálním obsahem (Pronájem videokazet a disků N</w:t>
      </w:r>
      <w:r w:rsidR="007121B5" w:rsidRPr="00EB2612">
        <w:t>ACE</w:t>
      </w:r>
      <w:r w:rsidR="00461F62" w:rsidRPr="00EB2612">
        <w:t xml:space="preserve"> 77.22) mezi lety 2005–2018</w:t>
      </w:r>
      <w:r w:rsidR="00FB51BC" w:rsidRPr="00EB2612">
        <w:t xml:space="preserve"> trojnásobně</w:t>
      </w:r>
      <w:r w:rsidR="004B6546" w:rsidRPr="00EB2612">
        <w:t>,</w:t>
      </w:r>
      <w:r w:rsidR="008A07D3" w:rsidRPr="00EB2612">
        <w:t xml:space="preserve"> z</w:t>
      </w:r>
      <w:r w:rsidR="007121B5" w:rsidRPr="00EB2612">
        <w:t xml:space="preserve"> </w:t>
      </w:r>
      <w:r w:rsidR="00FB51BC" w:rsidRPr="00EB2612">
        <w:t xml:space="preserve">507 </w:t>
      </w:r>
      <w:r w:rsidR="00170E8B" w:rsidRPr="00EB2612">
        <w:t>mil.</w:t>
      </w:r>
      <w:r w:rsidR="004F2B2D" w:rsidRPr="00EB2612">
        <w:t xml:space="preserve"> Kč</w:t>
      </w:r>
      <w:r w:rsidR="007121B5" w:rsidRPr="00EB2612">
        <w:t xml:space="preserve"> </w:t>
      </w:r>
      <w:r w:rsidR="008A07D3" w:rsidRPr="00EB2612">
        <w:t xml:space="preserve">v roce 2005 </w:t>
      </w:r>
      <w:r w:rsidR="00461F62" w:rsidRPr="00EB2612">
        <w:t>na 169</w:t>
      </w:r>
      <w:r w:rsidR="00BB64DB" w:rsidRPr="00EB2612">
        <w:t xml:space="preserve"> mil. Kč</w:t>
      </w:r>
      <w:r w:rsidR="00461F62" w:rsidRPr="00EB2612">
        <w:t xml:space="preserve"> v roce 2018</w:t>
      </w:r>
      <w:r w:rsidR="00511E36" w:rsidRPr="00EB2612">
        <w:t>.</w:t>
      </w:r>
    </w:p>
    <w:p w:rsidR="00BB64DB" w:rsidRPr="00EB2612" w:rsidRDefault="00BB64DB" w:rsidP="00694914">
      <w:pPr>
        <w:pStyle w:val="Nadpis3"/>
        <w:numPr>
          <w:ilvl w:val="2"/>
          <w:numId w:val="17"/>
        </w:numPr>
      </w:pPr>
      <w:bookmarkStart w:id="67" w:name="_Toc430189803"/>
      <w:bookmarkStart w:id="68" w:name="_Toc431475031"/>
      <w:bookmarkStart w:id="69" w:name="_Toc463969186"/>
      <w:bookmarkStart w:id="70" w:name="_Toc465253896"/>
      <w:bookmarkStart w:id="71" w:name="_Toc55384434"/>
      <w:r w:rsidRPr="00EB2612">
        <w:t>POHLED SPOTŘEBITELE</w:t>
      </w:r>
      <w:bookmarkEnd w:id="67"/>
      <w:bookmarkEnd w:id="68"/>
      <w:bookmarkEnd w:id="69"/>
      <w:bookmarkEnd w:id="70"/>
      <w:bookmarkEnd w:id="71"/>
    </w:p>
    <w:p w:rsidR="00D645B6" w:rsidRPr="00EB2612" w:rsidRDefault="00BB64DB" w:rsidP="00D645B6">
      <w:r w:rsidRPr="00EB2612">
        <w:t>I přes poměrně širokou pop</w:t>
      </w:r>
      <w:r w:rsidR="00192EBA" w:rsidRPr="00EB2612">
        <w:t xml:space="preserve">ularitu sledování a stahování </w:t>
      </w:r>
      <w:r w:rsidRPr="00EB2612">
        <w:t xml:space="preserve">audiovizuálního obsahu, není zatím v České republice příliš rozšířené využití internetu k nákupu těchto děl (ať už se jedná o objednání fyzických </w:t>
      </w:r>
      <w:r w:rsidR="00FF3DCC" w:rsidRPr="00EB2612">
        <w:t>nosičů</w:t>
      </w:r>
      <w:r w:rsidRPr="00EB2612">
        <w:t xml:space="preserve"> či jejich stažení </w:t>
      </w:r>
      <w:r w:rsidR="00F61C33" w:rsidRPr="00EB2612">
        <w:t>nebo</w:t>
      </w:r>
      <w:r w:rsidRPr="00EB2612">
        <w:t xml:space="preserve"> poslech online). Hudbu či film přes</w:t>
      </w:r>
      <w:r w:rsidR="00983BC9" w:rsidRPr="00EB2612">
        <w:t xml:space="preserve"> internet v</w:t>
      </w:r>
      <w:r w:rsidR="00122CFA" w:rsidRPr="00EB2612">
        <w:t> </w:t>
      </w:r>
      <w:r w:rsidR="00FF3DCC" w:rsidRPr="00EB2612">
        <w:t>roce</w:t>
      </w:r>
      <w:r w:rsidR="00122CFA" w:rsidRPr="00EB2612">
        <w:t xml:space="preserve"> 2019</w:t>
      </w:r>
      <w:r w:rsidR="00983BC9" w:rsidRPr="00EB2612">
        <w:t xml:space="preserve"> nakoupilo </w:t>
      </w:r>
      <w:r w:rsidR="00122CFA" w:rsidRPr="00EB2612">
        <w:t>6,7</w:t>
      </w:r>
      <w:r w:rsidRPr="00EB2612">
        <w:t xml:space="preserve"> % </w:t>
      </w:r>
      <w:r w:rsidR="00F61C33" w:rsidRPr="00EB2612">
        <w:t xml:space="preserve">celkové </w:t>
      </w:r>
      <w:r w:rsidRPr="00EB2612">
        <w:t>české</w:t>
      </w:r>
      <w:r w:rsidR="00313494" w:rsidRPr="00EB2612">
        <w:t> </w:t>
      </w:r>
      <w:r w:rsidRPr="00EB2612">
        <w:t>populace</w:t>
      </w:r>
      <w:r w:rsidR="00282CCA" w:rsidRPr="00EB2612">
        <w:t> </w:t>
      </w:r>
      <w:r w:rsidRPr="00EB2612">
        <w:t>a</w:t>
      </w:r>
      <w:r w:rsidR="00282CCA" w:rsidRPr="00EB2612">
        <w:t> </w:t>
      </w:r>
      <w:r w:rsidR="00122CFA" w:rsidRPr="00EB2612">
        <w:t>11,4</w:t>
      </w:r>
      <w:r w:rsidR="00983BC9" w:rsidRPr="00EB2612">
        <w:t xml:space="preserve"> </w:t>
      </w:r>
      <w:r w:rsidRPr="00EB2612">
        <w:t xml:space="preserve">% </w:t>
      </w:r>
      <w:r w:rsidR="00F61C33" w:rsidRPr="00EB2612">
        <w:t xml:space="preserve">z osob </w:t>
      </w:r>
      <w:r w:rsidRPr="00EB2612">
        <w:t>nakupující</w:t>
      </w:r>
      <w:r w:rsidR="00F61C33" w:rsidRPr="00EB2612">
        <w:t>ch</w:t>
      </w:r>
      <w:r w:rsidRPr="00EB2612">
        <w:t xml:space="preserve"> přes internet.</w:t>
      </w:r>
      <w:r w:rsidR="00F543ED" w:rsidRPr="00EB2612">
        <w:t xml:space="preserve"> </w:t>
      </w:r>
      <w:r w:rsidR="003C29BE" w:rsidRPr="00EB2612">
        <w:rPr>
          <w:lang w:eastAsia="en-US"/>
        </w:rPr>
        <w:t>V evropském srovnání pod</w:t>
      </w:r>
      <w:r w:rsidR="00326B2F" w:rsidRPr="00EB2612">
        <w:rPr>
          <w:lang w:eastAsia="en-US"/>
        </w:rPr>
        <w:t>ílů</w:t>
      </w:r>
      <w:r w:rsidR="003C29BE" w:rsidRPr="00EB2612">
        <w:rPr>
          <w:lang w:eastAsia="en-US"/>
        </w:rPr>
        <w:t xml:space="preserve"> uživatelů placených digitálních audiovizuálních služeb</w:t>
      </w:r>
      <w:r w:rsidR="005902CB" w:rsidRPr="00EB2612">
        <w:rPr>
          <w:lang w:eastAsia="en-US"/>
        </w:rPr>
        <w:t xml:space="preserve"> na celkové populaci</w:t>
      </w:r>
      <w:r w:rsidR="00326B2F" w:rsidRPr="00EB2612">
        <w:rPr>
          <w:lang w:eastAsia="en-US"/>
        </w:rPr>
        <w:t xml:space="preserve"> z roku 2018</w:t>
      </w:r>
      <w:r w:rsidR="003C29BE" w:rsidRPr="00EB2612">
        <w:rPr>
          <w:lang w:eastAsia="en-US"/>
        </w:rPr>
        <w:t xml:space="preserve"> se Česká republika umístila se 4 </w:t>
      </w:r>
      <w:r w:rsidR="003C29BE" w:rsidRPr="00EB2612">
        <w:t xml:space="preserve">% uživatelů na posledním místě. Nejvíce jsou služby typu Netflix či HBO GO rozšířené ve skandinávských zemích, z nichž na nejvyšší </w:t>
      </w:r>
      <w:r w:rsidR="00326B2F" w:rsidRPr="00EB2612">
        <w:t>příčku s </w:t>
      </w:r>
      <w:r w:rsidR="00F61C33" w:rsidRPr="00EB2612">
        <w:t>56</w:t>
      </w:r>
      <w:r w:rsidR="00326B2F" w:rsidRPr="00EB2612">
        <w:t xml:space="preserve">% podílem </w:t>
      </w:r>
      <w:r w:rsidR="003C29BE" w:rsidRPr="00EB2612">
        <w:t>uživatelů placených služeb dos</w:t>
      </w:r>
      <w:r w:rsidR="00326B2F" w:rsidRPr="00EB2612">
        <w:t xml:space="preserve">áhlo </w:t>
      </w:r>
      <w:r w:rsidR="003C29BE" w:rsidRPr="00EB2612">
        <w:t xml:space="preserve">Švédsko. To má také </w:t>
      </w:r>
      <w:r w:rsidR="005902CB" w:rsidRPr="00EB2612">
        <w:t xml:space="preserve">vysoký podíl (33 %) uživatelů placených služeb ve starší populaci ve věku 55-74 let. Oproti tomu Dánsko, </w:t>
      </w:r>
      <w:r w:rsidR="005902CB" w:rsidRPr="00EB2612">
        <w:lastRenderedPageBreak/>
        <w:t>které se s 54 %</w:t>
      </w:r>
      <w:r w:rsidR="00326B2F" w:rsidRPr="00EB2612">
        <w:t xml:space="preserve"> podílem</w:t>
      </w:r>
      <w:r w:rsidR="005902CB" w:rsidRPr="00EB2612">
        <w:t xml:space="preserve"> uživatelů placených služeb umístilo na třetím místě má ve věkové kategorii 55-74 let pouze 21,6 % uživatelů. </w:t>
      </w:r>
      <w:r w:rsidR="00F61C33" w:rsidRPr="00EB2612">
        <w:t>Průměrný p</w:t>
      </w:r>
      <w:r w:rsidR="00326B2F" w:rsidRPr="00EB2612">
        <w:t>odíl</w:t>
      </w:r>
      <w:r w:rsidR="00072ED0" w:rsidRPr="00EB2612">
        <w:t xml:space="preserve"> uživatelů </w:t>
      </w:r>
      <w:r w:rsidR="003F593B" w:rsidRPr="00EB2612">
        <w:t>placených služeb</w:t>
      </w:r>
      <w:r w:rsidR="00326B2F" w:rsidRPr="00EB2612">
        <w:t xml:space="preserve"> v evropské osmadvacítce</w:t>
      </w:r>
      <w:r w:rsidR="00072ED0" w:rsidRPr="00EB2612">
        <w:t xml:space="preserve"> dosahoval 26 %. Ve věkové kategorii 55-74 let využívala tyto služby přibližně desetina evropské populace.</w:t>
      </w:r>
    </w:p>
    <w:p w:rsidR="00001CBC" w:rsidRPr="00EB2612" w:rsidRDefault="00001CBC" w:rsidP="00001CBC">
      <w:pPr>
        <w:pStyle w:val="Titulek"/>
        <w:keepNext/>
        <w:rPr>
          <w:b w:val="0"/>
          <w:color w:val="000000" w:themeColor="text1"/>
          <w:sz w:val="22"/>
          <w:szCs w:val="22"/>
        </w:rPr>
      </w:pPr>
      <w:r w:rsidRPr="00EB2612">
        <w:rPr>
          <w:color w:val="000000" w:themeColor="text1"/>
          <w:sz w:val="22"/>
          <w:szCs w:val="22"/>
        </w:rPr>
        <w:t>Graf</w:t>
      </w:r>
      <w:r w:rsidR="00424B58">
        <w:rPr>
          <w:color w:val="000000" w:themeColor="text1"/>
          <w:sz w:val="22"/>
          <w:szCs w:val="22"/>
        </w:rPr>
        <w:t xml:space="preserve"> 34</w:t>
      </w:r>
      <w:r w:rsidRPr="00EB2612">
        <w:rPr>
          <w:color w:val="000000" w:themeColor="text1"/>
          <w:sz w:val="22"/>
          <w:szCs w:val="22"/>
        </w:rPr>
        <w:t xml:space="preserve"> </w:t>
      </w:r>
      <w:r w:rsidR="00326B2F" w:rsidRPr="00EB2612">
        <w:rPr>
          <w:b w:val="0"/>
          <w:color w:val="000000" w:themeColor="text1"/>
          <w:sz w:val="22"/>
          <w:szCs w:val="22"/>
        </w:rPr>
        <w:t xml:space="preserve">Podíl </w:t>
      </w:r>
      <w:r w:rsidR="00072ED0" w:rsidRPr="00EB2612">
        <w:rPr>
          <w:b w:val="0"/>
          <w:color w:val="000000" w:themeColor="text1"/>
          <w:sz w:val="22"/>
          <w:szCs w:val="22"/>
        </w:rPr>
        <w:t>uživatelů placených audiovizuálních</w:t>
      </w:r>
      <w:r w:rsidR="0064229D">
        <w:rPr>
          <w:b w:val="0"/>
          <w:color w:val="000000" w:themeColor="text1"/>
          <w:sz w:val="22"/>
          <w:szCs w:val="22"/>
        </w:rPr>
        <w:t xml:space="preserve"> služeb</w:t>
      </w:r>
      <w:r w:rsidR="00072ED0" w:rsidRPr="00EB2612">
        <w:rPr>
          <w:b w:val="0"/>
          <w:color w:val="000000" w:themeColor="text1"/>
          <w:sz w:val="22"/>
          <w:szCs w:val="22"/>
        </w:rPr>
        <w:t xml:space="preserve"> </w:t>
      </w:r>
      <w:r w:rsidRPr="00EB2612">
        <w:rPr>
          <w:b w:val="0"/>
          <w:color w:val="000000" w:themeColor="text1"/>
          <w:sz w:val="22"/>
          <w:szCs w:val="22"/>
        </w:rPr>
        <w:t>v roce 2018</w:t>
      </w:r>
      <w:r w:rsidR="00D645B6" w:rsidRPr="00EB2612">
        <w:rPr>
          <w:b w:val="0"/>
          <w:color w:val="000000" w:themeColor="text1"/>
          <w:sz w:val="22"/>
          <w:szCs w:val="22"/>
        </w:rPr>
        <w:t xml:space="preserve"> – mezinárodní srovnání</w:t>
      </w:r>
      <w:r w:rsidR="005902CB" w:rsidRPr="00EB2612">
        <w:rPr>
          <w:b w:val="0"/>
          <w:color w:val="000000" w:themeColor="text1"/>
          <w:sz w:val="22"/>
          <w:szCs w:val="22"/>
        </w:rPr>
        <w:t xml:space="preserve"> (v %)</w:t>
      </w:r>
    </w:p>
    <w:p w:rsidR="00122CFA" w:rsidRPr="00EB2612" w:rsidRDefault="00122CFA" w:rsidP="003F3BE1">
      <w:pPr>
        <w:rPr>
          <w:lang w:eastAsia="en-US"/>
        </w:rPr>
      </w:pPr>
      <w:r w:rsidRPr="00EB2612">
        <w:rPr>
          <w:noProof/>
        </w:rPr>
        <w:drawing>
          <wp:inline distT="0" distB="0" distL="0" distR="0">
            <wp:extent cx="6124575" cy="2847975"/>
            <wp:effectExtent l="0" t="0" r="0" b="0"/>
            <wp:docPr id="2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122CFA" w:rsidRPr="00EB2612" w:rsidRDefault="00D645B6" w:rsidP="003F3BE1">
      <w:pPr>
        <w:rPr>
          <w:lang w:eastAsia="en-US"/>
        </w:rPr>
      </w:pPr>
      <w:r w:rsidRPr="00EB2612">
        <w:rPr>
          <w:lang w:eastAsia="en-US"/>
        </w:rPr>
        <w:t xml:space="preserve">Zdroj: </w:t>
      </w:r>
      <w:r w:rsidR="00077ECA" w:rsidRPr="00EB2612">
        <w:rPr>
          <w:lang w:eastAsia="en-US"/>
        </w:rPr>
        <w:t>ICT usage in households and by individuals,</w:t>
      </w:r>
      <w:r w:rsidR="00077ECA" w:rsidRPr="00EB2612">
        <w:rPr>
          <w:szCs w:val="22"/>
          <w:lang w:eastAsia="en-US"/>
        </w:rPr>
        <w:t xml:space="preserve"> </w:t>
      </w:r>
      <w:r w:rsidR="00077ECA" w:rsidRPr="00EB2612">
        <w:rPr>
          <w:rFonts w:asciiTheme="minorHAnsi" w:hAnsiTheme="minorHAnsi"/>
          <w:sz w:val="22"/>
          <w:szCs w:val="22"/>
          <w:lang w:eastAsia="en-US"/>
        </w:rPr>
        <w:t>Eurostat</w:t>
      </w:r>
    </w:p>
    <w:p w:rsidR="003F3BE1" w:rsidRPr="00EB2612" w:rsidRDefault="003F3BE1" w:rsidP="003F3BE1">
      <w:pPr>
        <w:rPr>
          <w:lang w:eastAsia="en-US"/>
        </w:rPr>
      </w:pPr>
      <w:r w:rsidRPr="00EB2612">
        <w:rPr>
          <w:lang w:eastAsia="en-US"/>
        </w:rPr>
        <w:t xml:space="preserve">Zajímavé údaje o spotřebitelských návycích v oblasti filmu přináší také výsledky šetření Životní podmínky ČR z roku 2015. Z výsledků tohoto šetření vyplývá, že </w:t>
      </w:r>
      <w:r w:rsidR="00F61C33" w:rsidRPr="00EB2612">
        <w:rPr>
          <w:lang w:eastAsia="en-US"/>
        </w:rPr>
        <w:t>alespoň jednou</w:t>
      </w:r>
      <w:r w:rsidRPr="00EB2612">
        <w:rPr>
          <w:lang w:eastAsia="en-US"/>
        </w:rPr>
        <w:t xml:space="preserve"> navštívila v uplynulých 12 měsících</w:t>
      </w:r>
      <w:r w:rsidR="00F61C33" w:rsidRPr="00EB2612">
        <w:rPr>
          <w:lang w:eastAsia="en-US"/>
        </w:rPr>
        <w:t xml:space="preserve"> kino</w:t>
      </w:r>
      <w:r w:rsidRPr="00EB2612">
        <w:rPr>
          <w:lang w:eastAsia="en-US"/>
        </w:rPr>
        <w:t xml:space="preserve"> téměř polovina populace. Nejčastějším důvodem, proč lidé nenavštívili kino, byl prostý nedostatek zájmu a</w:t>
      </w:r>
      <w:r w:rsidR="004B6546" w:rsidRPr="00EB2612">
        <w:rPr>
          <w:lang w:eastAsia="en-US"/>
        </w:rPr>
        <w:t> </w:t>
      </w:r>
      <w:r w:rsidRPr="00EB2612">
        <w:rPr>
          <w:lang w:eastAsia="en-US"/>
        </w:rPr>
        <w:t xml:space="preserve">dále pak nedostatek času. Dalšími důvody byla vysoká cena vstupenky či velká vzdálenost do nejbližšího kinosálu. </w:t>
      </w:r>
      <w:r w:rsidR="00F61C33" w:rsidRPr="00EB2612">
        <w:rPr>
          <w:lang w:eastAsia="en-US"/>
        </w:rPr>
        <w:t>V</w:t>
      </w:r>
      <w:r w:rsidRPr="00EB2612">
        <w:rPr>
          <w:lang w:eastAsia="en-US"/>
        </w:rPr>
        <w:t>ýčet odpovědí na otázku, zda respondent navštívil v posledních 12 mě</w:t>
      </w:r>
      <w:r w:rsidR="00192EBA" w:rsidRPr="00EB2612">
        <w:rPr>
          <w:lang w:eastAsia="en-US"/>
        </w:rPr>
        <w:t>sících k</w:t>
      </w:r>
      <w:r w:rsidR="00FF526E">
        <w:rPr>
          <w:lang w:eastAsia="en-US"/>
        </w:rPr>
        <w:t>inosál, nabízí Graf 35</w:t>
      </w:r>
      <w:r w:rsidRPr="00EB2612">
        <w:rPr>
          <w:lang w:eastAsia="en-US"/>
        </w:rPr>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424B58">
        <w:rPr>
          <w:color w:val="auto"/>
          <w:sz w:val="22"/>
          <w:szCs w:val="22"/>
        </w:rPr>
        <w:t>35</w:t>
      </w:r>
      <w:r w:rsidRPr="00EB2612">
        <w:rPr>
          <w:color w:val="auto"/>
          <w:sz w:val="22"/>
          <w:szCs w:val="22"/>
        </w:rPr>
        <w:t xml:space="preserve"> </w:t>
      </w:r>
      <w:r w:rsidR="00F61C33" w:rsidRPr="00EB2612">
        <w:rPr>
          <w:b w:val="0"/>
          <w:color w:val="auto"/>
          <w:sz w:val="22"/>
          <w:szCs w:val="22"/>
        </w:rPr>
        <w:t xml:space="preserve">Podíl osob </w:t>
      </w:r>
      <w:r w:rsidR="007A250A">
        <w:rPr>
          <w:b w:val="0"/>
          <w:color w:val="auto"/>
          <w:sz w:val="22"/>
          <w:szCs w:val="22"/>
        </w:rPr>
        <w:t xml:space="preserve">ve věku </w:t>
      </w:r>
      <w:r w:rsidR="00F61C33" w:rsidRPr="00EB2612">
        <w:rPr>
          <w:b w:val="0"/>
          <w:color w:val="auto"/>
          <w:sz w:val="22"/>
          <w:szCs w:val="22"/>
        </w:rPr>
        <w:t>16</w:t>
      </w:r>
      <w:r w:rsidR="007A250A">
        <w:rPr>
          <w:b w:val="0"/>
          <w:color w:val="auto"/>
          <w:sz w:val="22"/>
          <w:szCs w:val="22"/>
        </w:rPr>
        <w:t xml:space="preserve"> a více</w:t>
      </w:r>
      <w:r w:rsidR="00F61C33" w:rsidRPr="00EB2612">
        <w:rPr>
          <w:b w:val="0"/>
          <w:color w:val="auto"/>
          <w:sz w:val="22"/>
          <w:szCs w:val="22"/>
        </w:rPr>
        <w:t xml:space="preserve"> let podle návštěvy kina v posledních 12 měsících</w:t>
      </w:r>
      <w:r w:rsidR="00A635F9" w:rsidRPr="00EB2612">
        <w:rPr>
          <w:b w:val="0"/>
          <w:color w:val="auto"/>
          <w:sz w:val="22"/>
          <w:szCs w:val="22"/>
        </w:rPr>
        <w:t xml:space="preserve"> a podle pohlaví, </w:t>
      </w:r>
      <w:r w:rsidR="00F61C33" w:rsidRPr="00EB2612">
        <w:rPr>
          <w:b w:val="0"/>
          <w:color w:val="auto"/>
          <w:sz w:val="22"/>
          <w:szCs w:val="22"/>
        </w:rPr>
        <w:t>2015</w:t>
      </w:r>
    </w:p>
    <w:p w:rsidR="00BB64DB" w:rsidRPr="00EB2612" w:rsidRDefault="003F3BE1" w:rsidP="00220644">
      <w:pPr>
        <w:keepNext/>
        <w:jc w:val="center"/>
      </w:pPr>
      <w:r w:rsidRPr="00EB2612">
        <w:rPr>
          <w:noProof/>
        </w:rPr>
        <w:drawing>
          <wp:inline distT="0" distB="0" distL="0" distR="0">
            <wp:extent cx="6096000" cy="203835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B64DB" w:rsidRPr="00EB2612" w:rsidRDefault="004D3A66" w:rsidP="00BB64DB">
      <w:pPr>
        <w:pStyle w:val="Titulek"/>
        <w:rPr>
          <w:b w:val="0"/>
          <w:color w:val="auto"/>
          <w:sz w:val="22"/>
          <w:szCs w:val="22"/>
        </w:rPr>
      </w:pPr>
      <w:r w:rsidRPr="00EB2612">
        <w:rPr>
          <w:b w:val="0"/>
          <w:color w:val="auto"/>
          <w:sz w:val="22"/>
          <w:szCs w:val="22"/>
        </w:rPr>
        <w:t xml:space="preserve">Zdroj: </w:t>
      </w:r>
      <w:r w:rsidR="00A635F9" w:rsidRPr="00EB2612">
        <w:rPr>
          <w:b w:val="0"/>
          <w:color w:val="auto"/>
          <w:sz w:val="22"/>
          <w:szCs w:val="22"/>
        </w:rPr>
        <w:t>Životní podmínky</w:t>
      </w:r>
      <w:r w:rsidR="00F27845" w:rsidRPr="00EB2612">
        <w:rPr>
          <w:b w:val="0"/>
          <w:color w:val="auto"/>
          <w:sz w:val="22"/>
          <w:szCs w:val="22"/>
        </w:rPr>
        <w:t>, ČSÚ</w:t>
      </w:r>
    </w:p>
    <w:p w:rsidR="00D20AAC" w:rsidRPr="00EB2612" w:rsidRDefault="00D20AAC" w:rsidP="00D20AAC">
      <w:pPr>
        <w:rPr>
          <w:lang w:eastAsia="en-US"/>
        </w:rPr>
      </w:pPr>
      <w:r w:rsidRPr="00EB2612">
        <w:rPr>
          <w:lang w:eastAsia="en-US"/>
        </w:rPr>
        <w:t>Oblíbenost návštěvy kinosálů se dle úda</w:t>
      </w:r>
      <w:r w:rsidR="00A635F9" w:rsidRPr="00EB2612">
        <w:rPr>
          <w:lang w:eastAsia="en-US"/>
        </w:rPr>
        <w:t>jů z šetření Životní podmínky</w:t>
      </w:r>
      <w:r w:rsidRPr="00EB2612">
        <w:rPr>
          <w:lang w:eastAsia="en-US"/>
        </w:rPr>
        <w:t xml:space="preserve"> 2015 značně liší u různých věkových kategorií a má </w:t>
      </w:r>
      <w:r w:rsidR="003920A5" w:rsidRPr="00EB2612">
        <w:rPr>
          <w:lang w:eastAsia="en-US"/>
        </w:rPr>
        <w:t xml:space="preserve">s rostoucím věkem </w:t>
      </w:r>
      <w:r w:rsidRPr="00EB2612">
        <w:rPr>
          <w:lang w:eastAsia="en-US"/>
        </w:rPr>
        <w:t xml:space="preserve">sestupnou tendenci. Kino navštěvovali nejčastěji </w:t>
      </w:r>
      <w:r w:rsidR="004B6546" w:rsidRPr="00EB2612">
        <w:rPr>
          <w:lang w:eastAsia="en-US"/>
        </w:rPr>
        <w:t>mladí lidé ve věku 16</w:t>
      </w:r>
      <w:r w:rsidR="00D52692" w:rsidRPr="00EB2612">
        <w:rPr>
          <w:lang w:eastAsia="en-US"/>
        </w:rPr>
        <w:t xml:space="preserve">–24 </w:t>
      </w:r>
      <w:r w:rsidR="00D52692" w:rsidRPr="00EB2612">
        <w:rPr>
          <w:lang w:eastAsia="en-US"/>
        </w:rPr>
        <w:lastRenderedPageBreak/>
        <w:t>let (85</w:t>
      </w:r>
      <w:r w:rsidRPr="00EB2612">
        <w:rPr>
          <w:lang w:eastAsia="en-US"/>
        </w:rPr>
        <w:t xml:space="preserve"> %) a </w:t>
      </w:r>
      <w:r w:rsidR="00D52692" w:rsidRPr="00EB2612">
        <w:rPr>
          <w:lang w:eastAsia="en-US"/>
        </w:rPr>
        <w:t>dále pak lidé ve věku 25–34 let (71</w:t>
      </w:r>
      <w:r w:rsidRPr="00EB2612">
        <w:rPr>
          <w:lang w:eastAsia="en-US"/>
        </w:rPr>
        <w:t xml:space="preserve"> %). S přibývajícím věkem obliba této aktivity klesá. Zmíněné výsledky přinášejí důležité zjištění, že návštěva kina si zatím u mladých lidí drží silnou pozici v konkurenci stále sofistikovanějších možností v oblasti digitální zábavy.</w:t>
      </w:r>
    </w:p>
    <w:p w:rsidR="007B7D35" w:rsidRPr="00EB2612" w:rsidRDefault="007B7D35" w:rsidP="007B7D35">
      <w:pPr>
        <w:pStyle w:val="Titulek"/>
        <w:keepNext/>
        <w:rPr>
          <w:b w:val="0"/>
          <w:color w:val="auto"/>
          <w:sz w:val="22"/>
          <w:szCs w:val="22"/>
        </w:rPr>
      </w:pPr>
      <w:r w:rsidRPr="00EB2612">
        <w:rPr>
          <w:color w:val="auto"/>
          <w:sz w:val="22"/>
          <w:szCs w:val="22"/>
        </w:rPr>
        <w:t xml:space="preserve">Graf </w:t>
      </w:r>
      <w:r w:rsidR="00424B58">
        <w:rPr>
          <w:color w:val="auto"/>
          <w:sz w:val="22"/>
          <w:szCs w:val="22"/>
        </w:rPr>
        <w:t>36</w:t>
      </w:r>
      <w:r w:rsidRPr="00EB2612">
        <w:rPr>
          <w:color w:val="auto"/>
          <w:sz w:val="22"/>
          <w:szCs w:val="22"/>
        </w:rPr>
        <w:t xml:space="preserve"> </w:t>
      </w:r>
      <w:r w:rsidR="00A635F9" w:rsidRPr="00EB2612">
        <w:rPr>
          <w:b w:val="0"/>
          <w:color w:val="auto"/>
          <w:sz w:val="22"/>
          <w:szCs w:val="22"/>
        </w:rPr>
        <w:t>Podíl osob, které alespoň jednou v posledních 12 měsících navštívil</w:t>
      </w:r>
      <w:r w:rsidR="000A3293">
        <w:rPr>
          <w:b w:val="0"/>
          <w:color w:val="auto"/>
          <w:sz w:val="22"/>
          <w:szCs w:val="22"/>
        </w:rPr>
        <w:t>y</w:t>
      </w:r>
      <w:r w:rsidR="00A635F9" w:rsidRPr="00EB2612">
        <w:rPr>
          <w:b w:val="0"/>
          <w:color w:val="auto"/>
          <w:sz w:val="22"/>
          <w:szCs w:val="22"/>
        </w:rPr>
        <w:t xml:space="preserve"> kino, podle věkových kategorií, 2015</w:t>
      </w:r>
    </w:p>
    <w:p w:rsidR="00A65AE6" w:rsidRPr="00EB2612" w:rsidRDefault="00A65AE6" w:rsidP="00D52692">
      <w:pPr>
        <w:jc w:val="center"/>
        <w:rPr>
          <w:lang w:eastAsia="en-US"/>
        </w:rPr>
      </w:pPr>
      <w:r w:rsidRPr="00EB2612">
        <w:rPr>
          <w:noProof/>
        </w:rPr>
        <w:drawing>
          <wp:inline distT="0" distB="0" distL="0" distR="0">
            <wp:extent cx="4476750" cy="1704975"/>
            <wp:effectExtent l="0" t="0" r="0" b="0"/>
            <wp:docPr id="15"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B7D35" w:rsidRPr="00EB2612" w:rsidRDefault="007B7D35" w:rsidP="00F77FD7">
      <w:pPr>
        <w:rPr>
          <w:rFonts w:asciiTheme="minorHAnsi" w:hAnsiTheme="minorHAnsi"/>
          <w:sz w:val="22"/>
          <w:szCs w:val="22"/>
          <w:lang w:eastAsia="en-US"/>
        </w:rPr>
      </w:pPr>
      <w:r w:rsidRPr="00EB2612">
        <w:rPr>
          <w:rFonts w:asciiTheme="minorHAnsi" w:hAnsiTheme="minorHAnsi"/>
          <w:sz w:val="22"/>
          <w:szCs w:val="22"/>
          <w:lang w:eastAsia="en-US"/>
        </w:rPr>
        <w:t xml:space="preserve">Zdroj: Životní podmínky </w:t>
      </w:r>
      <w:r w:rsidR="000A1A9F" w:rsidRPr="00EB2612">
        <w:rPr>
          <w:rFonts w:asciiTheme="minorHAnsi" w:hAnsiTheme="minorHAnsi"/>
          <w:sz w:val="22"/>
          <w:szCs w:val="22"/>
          <w:lang w:eastAsia="en-US"/>
        </w:rPr>
        <w:t>ČR</w:t>
      </w:r>
      <w:r w:rsidRPr="00EB2612">
        <w:rPr>
          <w:rFonts w:asciiTheme="minorHAnsi" w:hAnsiTheme="minorHAnsi"/>
          <w:sz w:val="22"/>
          <w:szCs w:val="22"/>
          <w:lang w:eastAsia="en-US"/>
        </w:rPr>
        <w:t>, ČSÚ</w:t>
      </w:r>
    </w:p>
    <w:p w:rsidR="002920AC" w:rsidRPr="00EB2612" w:rsidRDefault="002920AC" w:rsidP="00B56E4B">
      <w:pPr>
        <w:rPr>
          <w:lang w:eastAsia="en-US"/>
        </w:rPr>
      </w:pPr>
      <w:r w:rsidRPr="00EB2612">
        <w:rPr>
          <w:lang w:eastAsia="en-US"/>
        </w:rPr>
        <w:t>V rámci mezinárodního srovnání návštěvnosti</w:t>
      </w:r>
      <w:r w:rsidR="00B41036" w:rsidRPr="00EB2612">
        <w:rPr>
          <w:rStyle w:val="Znakapoznpodarou"/>
          <w:rFonts w:asciiTheme="minorHAnsi" w:hAnsiTheme="minorHAnsi"/>
          <w:sz w:val="22"/>
          <w:szCs w:val="22"/>
          <w:lang w:eastAsia="en-US"/>
        </w:rPr>
        <w:footnoteReference w:id="7"/>
      </w:r>
      <w:r w:rsidRPr="00EB2612">
        <w:rPr>
          <w:lang w:eastAsia="en-US"/>
        </w:rPr>
        <w:t xml:space="preserve"> kin v zemích EU se Česká republika řadí do první </w:t>
      </w:r>
      <w:r w:rsidR="00A635F9" w:rsidRPr="00EB2612">
        <w:rPr>
          <w:lang w:eastAsia="en-US"/>
        </w:rPr>
        <w:t>poloviny</w:t>
      </w:r>
      <w:r w:rsidRPr="00EB2612">
        <w:rPr>
          <w:lang w:eastAsia="en-US"/>
        </w:rPr>
        <w:t xml:space="preserve"> zemí s největší návštěvností. Nej</w:t>
      </w:r>
      <w:r w:rsidR="00011F3D" w:rsidRPr="00EB2612">
        <w:rPr>
          <w:lang w:eastAsia="en-US"/>
        </w:rPr>
        <w:t>větší část populace chodila</w:t>
      </w:r>
      <w:r w:rsidRPr="00EB2612">
        <w:rPr>
          <w:lang w:eastAsia="en-US"/>
        </w:rPr>
        <w:t xml:space="preserve"> do kina v severských zemích Dánsku a Švédsku, kde alespoň jednou </w:t>
      </w:r>
      <w:r w:rsidR="003920A5" w:rsidRPr="00EB2612">
        <w:rPr>
          <w:lang w:eastAsia="en-US"/>
        </w:rPr>
        <w:t>v roce 2015 navštívi</w:t>
      </w:r>
      <w:r w:rsidRPr="00EB2612">
        <w:rPr>
          <w:lang w:eastAsia="en-US"/>
        </w:rPr>
        <w:t>lo</w:t>
      </w:r>
      <w:r w:rsidR="003920A5" w:rsidRPr="00EB2612">
        <w:rPr>
          <w:lang w:eastAsia="en-US"/>
        </w:rPr>
        <w:t xml:space="preserve"> kinosál</w:t>
      </w:r>
      <w:r w:rsidRPr="00EB2612">
        <w:rPr>
          <w:lang w:eastAsia="en-US"/>
        </w:rPr>
        <w:t xml:space="preserve"> více než 60 % populace. </w:t>
      </w:r>
      <w:r w:rsidR="00AA1776" w:rsidRPr="00EB2612">
        <w:rPr>
          <w:lang w:eastAsia="en-US"/>
        </w:rPr>
        <w:t>Nej</w:t>
      </w:r>
      <w:r w:rsidR="003920A5" w:rsidRPr="00EB2612">
        <w:rPr>
          <w:lang w:eastAsia="en-US"/>
        </w:rPr>
        <w:t>častěji</w:t>
      </w:r>
      <w:r w:rsidR="00AA1776" w:rsidRPr="00EB2612">
        <w:rPr>
          <w:lang w:eastAsia="en-US"/>
        </w:rPr>
        <w:t xml:space="preserve"> pak navš</w:t>
      </w:r>
      <w:r w:rsidR="003920A5" w:rsidRPr="00EB2612">
        <w:rPr>
          <w:lang w:eastAsia="en-US"/>
        </w:rPr>
        <w:t>těvovali kinosály</w:t>
      </w:r>
      <w:r w:rsidR="00AA1776" w:rsidRPr="00EB2612">
        <w:rPr>
          <w:lang w:eastAsia="en-US"/>
        </w:rPr>
        <w:t xml:space="preserve"> diváci ve Francii, kde </w:t>
      </w:r>
      <w:r w:rsidR="003920A5" w:rsidRPr="00EB2612">
        <w:rPr>
          <w:lang w:eastAsia="en-US"/>
        </w:rPr>
        <w:t>téměř</w:t>
      </w:r>
      <w:r w:rsidR="00AA1776" w:rsidRPr="00EB2612">
        <w:rPr>
          <w:lang w:eastAsia="en-US"/>
        </w:rPr>
        <w:t xml:space="preserve"> 30 % populace </w:t>
      </w:r>
      <w:r w:rsidR="003920A5" w:rsidRPr="00EB2612">
        <w:rPr>
          <w:lang w:eastAsia="en-US"/>
        </w:rPr>
        <w:t>přišlo do kina</w:t>
      </w:r>
      <w:r w:rsidR="00AA1776" w:rsidRPr="00EB2612">
        <w:rPr>
          <w:lang w:eastAsia="en-US"/>
        </w:rPr>
        <w:t xml:space="preserve"> v roce 2015 více než čtyřikrát.</w:t>
      </w:r>
    </w:p>
    <w:p w:rsidR="00560108" w:rsidRPr="00EB2612" w:rsidRDefault="00560108" w:rsidP="00560108">
      <w:pPr>
        <w:pStyle w:val="Titulek"/>
        <w:keepNext/>
        <w:rPr>
          <w:b w:val="0"/>
          <w:color w:val="auto"/>
          <w:sz w:val="22"/>
          <w:szCs w:val="22"/>
        </w:rPr>
      </w:pPr>
      <w:r w:rsidRPr="00EB2612">
        <w:rPr>
          <w:color w:val="auto"/>
          <w:sz w:val="22"/>
          <w:szCs w:val="22"/>
        </w:rPr>
        <w:t>Graf</w:t>
      </w:r>
      <w:r w:rsidR="007B7D35" w:rsidRPr="00EB2612">
        <w:rPr>
          <w:color w:val="auto"/>
          <w:sz w:val="22"/>
          <w:szCs w:val="22"/>
        </w:rPr>
        <w:t xml:space="preserve"> </w:t>
      </w:r>
      <w:r w:rsidR="001A4BAA" w:rsidRPr="00EB2612">
        <w:rPr>
          <w:color w:val="auto"/>
          <w:sz w:val="22"/>
          <w:szCs w:val="22"/>
        </w:rPr>
        <w:t>3</w:t>
      </w:r>
      <w:r w:rsidR="00424B58">
        <w:rPr>
          <w:color w:val="auto"/>
          <w:sz w:val="22"/>
          <w:szCs w:val="22"/>
        </w:rPr>
        <w:t>7</w:t>
      </w:r>
      <w:r w:rsidR="007B7D35" w:rsidRPr="00EB2612">
        <w:t xml:space="preserve"> </w:t>
      </w:r>
      <w:r w:rsidR="00A635F9" w:rsidRPr="00EB2612">
        <w:rPr>
          <w:b w:val="0"/>
          <w:color w:val="auto"/>
          <w:sz w:val="22"/>
          <w:szCs w:val="22"/>
        </w:rPr>
        <w:t>Podíl osob</w:t>
      </w:r>
      <w:r w:rsidR="007A250A">
        <w:rPr>
          <w:b w:val="0"/>
          <w:color w:val="auto"/>
          <w:sz w:val="22"/>
          <w:szCs w:val="22"/>
        </w:rPr>
        <w:t xml:space="preserve"> ve věku 16 a více let</w:t>
      </w:r>
      <w:r w:rsidR="00A635F9" w:rsidRPr="00EB2612">
        <w:rPr>
          <w:b w:val="0"/>
          <w:color w:val="auto"/>
          <w:sz w:val="22"/>
          <w:szCs w:val="22"/>
        </w:rPr>
        <w:t xml:space="preserve">, které v posledních 12 měsících navštívily </w:t>
      </w:r>
      <w:r w:rsidR="003920A5" w:rsidRPr="00EB2612">
        <w:rPr>
          <w:b w:val="0"/>
          <w:color w:val="auto"/>
          <w:sz w:val="22"/>
          <w:szCs w:val="22"/>
        </w:rPr>
        <w:t>kino</w:t>
      </w:r>
      <w:r w:rsidR="00AA1776" w:rsidRPr="00EB2612">
        <w:rPr>
          <w:b w:val="0"/>
          <w:color w:val="auto"/>
          <w:sz w:val="22"/>
          <w:szCs w:val="22"/>
        </w:rPr>
        <w:t xml:space="preserve"> (</w:t>
      </w:r>
      <w:r w:rsidR="001B0E1D">
        <w:rPr>
          <w:b w:val="0"/>
          <w:color w:val="auto"/>
          <w:sz w:val="22"/>
          <w:szCs w:val="22"/>
        </w:rPr>
        <w:t>v %)</w:t>
      </w:r>
      <w:r w:rsidR="00077ECA" w:rsidRPr="00EB2612">
        <w:rPr>
          <w:b w:val="0"/>
          <w:color w:val="auto"/>
          <w:sz w:val="22"/>
          <w:szCs w:val="22"/>
        </w:rPr>
        <w:t>, 2015</w:t>
      </w:r>
    </w:p>
    <w:p w:rsidR="00EA2F6A" w:rsidRPr="00EB2612" w:rsidRDefault="00077ECA" w:rsidP="007B7D35">
      <w:pPr>
        <w:jc w:val="center"/>
        <w:rPr>
          <w:lang w:eastAsia="en-US"/>
        </w:rPr>
      </w:pPr>
      <w:r w:rsidRPr="00EB2612">
        <w:rPr>
          <w:noProof/>
        </w:rPr>
        <w:drawing>
          <wp:inline distT="0" distB="0" distL="0" distR="0">
            <wp:extent cx="6134100" cy="2447925"/>
            <wp:effectExtent l="0" t="0" r="0" b="0"/>
            <wp:docPr id="14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F4DFA" w:rsidRPr="00EB2612" w:rsidRDefault="00560108" w:rsidP="00F77FD7">
      <w:pPr>
        <w:rPr>
          <w:rFonts w:asciiTheme="minorHAnsi" w:hAnsiTheme="minorHAnsi"/>
          <w:sz w:val="22"/>
          <w:szCs w:val="22"/>
          <w:lang w:eastAsia="en-US"/>
        </w:rPr>
      </w:pPr>
      <w:r w:rsidRPr="00EB2612">
        <w:rPr>
          <w:rFonts w:asciiTheme="minorHAnsi" w:hAnsiTheme="minorHAnsi"/>
          <w:sz w:val="22"/>
          <w:szCs w:val="22"/>
          <w:lang w:eastAsia="en-US"/>
        </w:rPr>
        <w:t xml:space="preserve">Zdroj: </w:t>
      </w:r>
      <w:r w:rsidR="00D20AAC" w:rsidRPr="00EB2612">
        <w:rPr>
          <w:rFonts w:asciiTheme="minorHAnsi" w:hAnsiTheme="minorHAnsi"/>
          <w:sz w:val="22"/>
          <w:szCs w:val="22"/>
          <w:lang w:eastAsia="en-US"/>
        </w:rPr>
        <w:t>EU-SILC</w:t>
      </w:r>
      <w:r w:rsidRPr="00EB2612">
        <w:rPr>
          <w:rFonts w:asciiTheme="minorHAnsi" w:hAnsiTheme="minorHAnsi"/>
          <w:sz w:val="22"/>
          <w:szCs w:val="22"/>
          <w:lang w:eastAsia="en-US"/>
        </w:rPr>
        <w:t xml:space="preserve">, </w:t>
      </w:r>
      <w:r w:rsidR="00D20AAC" w:rsidRPr="00EB2612">
        <w:rPr>
          <w:rFonts w:asciiTheme="minorHAnsi" w:hAnsiTheme="minorHAnsi"/>
          <w:sz w:val="22"/>
          <w:szCs w:val="22"/>
          <w:lang w:eastAsia="en-US"/>
        </w:rPr>
        <w:t>Eurostat</w:t>
      </w:r>
    </w:p>
    <w:p w:rsidR="004F4DFA" w:rsidRPr="00EB2612" w:rsidRDefault="004F4DFA">
      <w:pPr>
        <w:spacing w:after="0" w:line="240" w:lineRule="auto"/>
        <w:jc w:val="left"/>
        <w:rPr>
          <w:rFonts w:asciiTheme="minorHAnsi" w:hAnsiTheme="minorHAnsi"/>
          <w:sz w:val="22"/>
          <w:szCs w:val="22"/>
          <w:lang w:eastAsia="en-US"/>
        </w:rPr>
      </w:pPr>
    </w:p>
    <w:p w:rsidR="00BB64DB" w:rsidRPr="00EB2612" w:rsidRDefault="00BB64DB" w:rsidP="00694914">
      <w:pPr>
        <w:pStyle w:val="Nadpis2"/>
        <w:numPr>
          <w:ilvl w:val="1"/>
          <w:numId w:val="17"/>
        </w:numPr>
      </w:pPr>
      <w:bookmarkStart w:id="72" w:name="_Toc430189804"/>
      <w:bookmarkStart w:id="73" w:name="_Toc463969187"/>
      <w:bookmarkStart w:id="74" w:name="_Toc465253897"/>
      <w:bookmarkStart w:id="75" w:name="_Toc55384435"/>
      <w:r w:rsidRPr="00EB2612">
        <w:lastRenderedPageBreak/>
        <w:t>HUDBA</w:t>
      </w:r>
      <w:bookmarkEnd w:id="72"/>
      <w:bookmarkEnd w:id="73"/>
      <w:bookmarkEnd w:id="74"/>
      <w:bookmarkEnd w:id="75"/>
    </w:p>
    <w:p w:rsidR="00BB64DB" w:rsidRPr="00EB2612" w:rsidRDefault="00BB64DB" w:rsidP="00BB64DB">
      <w:pPr>
        <w:pStyle w:val="Titulek"/>
        <w:keepNext/>
        <w:jc w:val="right"/>
        <w:rPr>
          <w:color w:val="auto"/>
        </w:rPr>
      </w:pPr>
      <w:bookmarkStart w:id="76" w:name="_Toc464832051"/>
      <w:r w:rsidRPr="00EB2612">
        <w:rPr>
          <w:color w:val="auto"/>
          <w:sz w:val="22"/>
          <w:szCs w:val="22"/>
        </w:rPr>
        <w:t xml:space="preserve">Tabulka </w:t>
      </w:r>
      <w:r w:rsidR="00050886" w:rsidRPr="00EB2612">
        <w:rPr>
          <w:color w:val="auto"/>
          <w:sz w:val="22"/>
          <w:szCs w:val="22"/>
        </w:rPr>
        <w:t>6</w:t>
      </w:r>
      <w:r w:rsidRPr="00EB2612">
        <w:rPr>
          <w:color w:val="auto"/>
        </w:rPr>
        <w:t xml:space="preserve"> </w:t>
      </w:r>
      <w:r w:rsidRPr="00EB2612">
        <w:rPr>
          <w:b w:val="0"/>
          <w:color w:val="auto"/>
          <w:sz w:val="22"/>
          <w:szCs w:val="22"/>
        </w:rPr>
        <w:t>Vymezení oblasti hudby podle klasifikace NACE</w:t>
      </w:r>
      <w:bookmarkEnd w:id="76"/>
      <w:r w:rsidRPr="00EB2612">
        <w:rPr>
          <w:color w:val="auto"/>
        </w:rPr>
        <w:t xml:space="preserve"> </w:t>
      </w:r>
    </w:p>
    <w:tbl>
      <w:tblPr>
        <w:tblW w:w="6748" w:type="dxa"/>
        <w:jc w:val="right"/>
        <w:tblCellMar>
          <w:left w:w="70" w:type="dxa"/>
          <w:right w:w="70" w:type="dxa"/>
        </w:tblCellMar>
        <w:tblLook w:val="04A0"/>
      </w:tblPr>
      <w:tblGrid>
        <w:gridCol w:w="1380"/>
        <w:gridCol w:w="5368"/>
      </w:tblGrid>
      <w:tr w:rsidR="00BB64DB" w:rsidRPr="00EB2612" w:rsidTr="00005C1A">
        <w:trPr>
          <w:trHeight w:val="255"/>
          <w:jc w:val="right"/>
        </w:trPr>
        <w:tc>
          <w:tcPr>
            <w:tcW w:w="1380"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4D3A66">
            <w:pPr>
              <w:pStyle w:val="Box"/>
              <w:ind w:hanging="1133"/>
              <w:rPr>
                <w:rFonts w:asciiTheme="minorHAnsi" w:hAnsiTheme="minorHAnsi"/>
                <w:sz w:val="20"/>
                <w:szCs w:val="20"/>
              </w:rPr>
            </w:pP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4D3A66">
            <w:pPr>
              <w:pStyle w:val="Box"/>
              <w:ind w:left="0" w:hanging="15"/>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005C1A">
        <w:trPr>
          <w:trHeight w:val="255"/>
          <w:jc w:val="right"/>
        </w:trPr>
        <w:tc>
          <w:tcPr>
            <w:tcW w:w="1380" w:type="dxa"/>
            <w:tcBorders>
              <w:top w:val="single" w:sz="12" w:space="0" w:color="auto"/>
              <w:left w:val="nil"/>
              <w:bottom w:val="nil"/>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59.20</w:t>
            </w:r>
          </w:p>
        </w:tc>
        <w:tc>
          <w:tcPr>
            <w:tcW w:w="5368" w:type="dxa"/>
            <w:tcBorders>
              <w:top w:val="single" w:sz="12" w:space="0" w:color="auto"/>
              <w:left w:val="nil"/>
              <w:bottom w:val="nil"/>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Pořizování zvukových nahrávek</w:t>
            </w:r>
            <w:r w:rsidRPr="00EB2612">
              <w:rPr>
                <w:rFonts w:asciiTheme="minorHAnsi" w:hAnsiTheme="minorHAnsi"/>
                <w:b/>
                <w:bCs/>
                <w:szCs w:val="20"/>
              </w:rPr>
              <w:t xml:space="preserve"> </w:t>
            </w:r>
            <w:r w:rsidRPr="00EB2612">
              <w:rPr>
                <w:rFonts w:asciiTheme="minorHAnsi" w:hAnsiTheme="minorHAnsi"/>
                <w:szCs w:val="20"/>
              </w:rPr>
              <w:t>a hudební vydavatelské činnosti</w:t>
            </w:r>
          </w:p>
        </w:tc>
      </w:tr>
      <w:tr w:rsidR="00BB64DB" w:rsidRPr="00EB2612" w:rsidTr="00583523">
        <w:trPr>
          <w:trHeight w:val="255"/>
          <w:jc w:val="right"/>
        </w:trPr>
        <w:tc>
          <w:tcPr>
            <w:tcW w:w="1380" w:type="dxa"/>
            <w:tcBorders>
              <w:top w:val="nil"/>
              <w:left w:val="nil"/>
              <w:bottom w:val="single" w:sz="12" w:space="0" w:color="auto"/>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47.63</w:t>
            </w:r>
          </w:p>
        </w:tc>
        <w:tc>
          <w:tcPr>
            <w:tcW w:w="5368" w:type="dxa"/>
            <w:tcBorders>
              <w:top w:val="nil"/>
              <w:left w:val="nil"/>
              <w:bottom w:val="single" w:sz="12" w:space="0" w:color="auto"/>
              <w:right w:val="nil"/>
            </w:tcBorders>
            <w:shd w:val="clear" w:color="auto" w:fill="auto"/>
            <w:hideMark/>
          </w:tcPr>
          <w:p w:rsidR="00BB64DB" w:rsidRPr="00EB2612" w:rsidRDefault="00BB64DB" w:rsidP="00005C1A">
            <w:pPr>
              <w:spacing w:after="0"/>
              <w:rPr>
                <w:rFonts w:asciiTheme="minorHAnsi" w:hAnsiTheme="minorHAnsi"/>
                <w:szCs w:val="20"/>
              </w:rPr>
            </w:pPr>
            <w:r w:rsidRPr="00EB2612">
              <w:rPr>
                <w:rFonts w:asciiTheme="minorHAnsi" w:hAnsiTheme="minorHAnsi"/>
                <w:szCs w:val="20"/>
              </w:rPr>
              <w:t>Maloobchod s audio- a videozáznamy (50%)</w:t>
            </w:r>
          </w:p>
        </w:tc>
      </w:tr>
    </w:tbl>
    <w:p w:rsidR="00731CAB" w:rsidRPr="00EB2612" w:rsidRDefault="00BB64DB" w:rsidP="00BB64DB">
      <w:r w:rsidRPr="00EB2612">
        <w:rPr>
          <w:b/>
          <w:color w:val="C00000"/>
        </w:rPr>
        <w:br/>
      </w:r>
      <w:r w:rsidRPr="00EB2612">
        <w:t>Struktura oblasti hudby je vzhledem k jejímu užšímu vymezení ve srovnání s filmovou oblastí výrazně jednodušší. Trh s hudebními nahrávkami, na který je omezena hudební oblast v definici použité pro tuto analýzu, můžeme rozdělit na primá</w:t>
      </w:r>
      <w:r w:rsidR="00430E4E" w:rsidRPr="00EB2612">
        <w:t>rní a sekundární. Primární trh zahrnuje pořizování</w:t>
      </w:r>
      <w:r w:rsidRPr="00EB2612">
        <w:t xml:space="preserve"> nahrávek a jejich distribuci k cílovým konzumentům prostřednictvím fyzických nosičů a v současnosti stále častěji pomocí digitálních online služeb umožňujících stažení hudebních souborů a poslech hudby online. Na sekundárním trhu se pak nahrávky dostávají k cílovým spotřebitelům prostřednictvím dalších služeb jako je vysílání rádia či poslech ve společenských zařízeních (restaurace, sportovní stadion apod.). Prostředky, které platí provozovatelé zařízení kolektivním správcům, pak tito správci přerozdělují vlastníků</w:t>
      </w:r>
      <w:r w:rsidR="006A5E80" w:rsidRPr="00EB2612">
        <w:t>m autorských práv</w:t>
      </w:r>
      <w:r w:rsidR="00731CAB" w:rsidRPr="00EB2612">
        <w:t xml:space="preserve"> (Towse, 2010)</w:t>
      </w:r>
      <w:r w:rsidR="006A5E80" w:rsidRPr="00EB2612">
        <w:t>.</w:t>
      </w:r>
    </w:p>
    <w:p w:rsidR="00BB64DB" w:rsidRPr="00EB2612" w:rsidRDefault="00731CAB" w:rsidP="00BB64DB">
      <w:r w:rsidRPr="00EB2612">
        <w:tab/>
      </w:r>
      <w:r w:rsidR="00BB64DB" w:rsidRPr="00EB2612">
        <w:t xml:space="preserve">Tržby plynoucí z prodeje hudebních nahrávek jsou celosvětově rozděleny mezi několik velkých nahrávacích a vydavatelských společností. Menší nezávislé společnosti se pak zaměřují na okrajový trh, který však může být </w:t>
      </w:r>
      <w:r w:rsidRPr="00EB2612">
        <w:t xml:space="preserve">finančně </w:t>
      </w:r>
      <w:r w:rsidR="00BB64DB" w:rsidRPr="00EB2612">
        <w:t xml:space="preserve">zajímavý </w:t>
      </w:r>
      <w:r w:rsidRPr="00EB2612">
        <w:t>kvůli jiným návykům a větší loajalitě</w:t>
      </w:r>
      <w:r w:rsidR="00BB64DB" w:rsidRPr="00EB2612">
        <w:t xml:space="preserve"> hudebních posluchačů pohybujících se na tomto trhu. Stejná situace panuje také na českém trhu, který ovládá několik velkých společností a menší vydavatelství dosahují </w:t>
      </w:r>
      <w:r w:rsidR="00DB4861">
        <w:t xml:space="preserve">podle údajů z roku 2017 </w:t>
      </w:r>
      <w:r w:rsidR="00BB64DB" w:rsidRPr="00EB2612">
        <w:t>pou</w:t>
      </w:r>
      <w:r w:rsidR="00FA7D92" w:rsidRPr="00EB2612">
        <w:t>ze na 27</w:t>
      </w:r>
      <w:r w:rsidR="00BB64DB" w:rsidRPr="00EB2612">
        <w:t xml:space="preserve"> % z celkových tržeb (</w:t>
      </w:r>
      <w:r w:rsidR="00C8582D" w:rsidRPr="00EB2612">
        <w:t>ČNS</w:t>
      </w:r>
      <w:r w:rsidR="00F76EFC" w:rsidRPr="00EB2612">
        <w:t xml:space="preserve"> IFPI, 2020</w:t>
      </w:r>
      <w:r w:rsidR="00BB64DB" w:rsidRPr="00EB2612">
        <w:t>).</w:t>
      </w:r>
    </w:p>
    <w:p w:rsidR="00BB64DB" w:rsidRPr="00EB2612" w:rsidRDefault="00B414F8" w:rsidP="00694914">
      <w:pPr>
        <w:pStyle w:val="Nadpis3"/>
        <w:numPr>
          <w:ilvl w:val="2"/>
          <w:numId w:val="17"/>
        </w:numPr>
      </w:pPr>
      <w:bookmarkStart w:id="77" w:name="_Toc430189805"/>
      <w:bookmarkStart w:id="78" w:name="_Toc431475033"/>
      <w:bookmarkStart w:id="79" w:name="_Toc463969188"/>
      <w:bookmarkStart w:id="80" w:name="_Toc465253898"/>
      <w:bookmarkStart w:id="81" w:name="_Toc55384436"/>
      <w:r w:rsidRPr="00EB2612">
        <w:t>PŘÍJMY</w:t>
      </w:r>
      <w:r w:rsidR="00BB64DB" w:rsidRPr="00EB2612">
        <w:t xml:space="preserve"> A ZAMĚSTNANOST</w:t>
      </w:r>
      <w:bookmarkEnd w:id="77"/>
      <w:bookmarkEnd w:id="78"/>
      <w:bookmarkEnd w:id="79"/>
      <w:bookmarkEnd w:id="80"/>
      <w:bookmarkEnd w:id="81"/>
    </w:p>
    <w:p w:rsidR="00CC1BCB" w:rsidRPr="00EB2612" w:rsidRDefault="00C8582D" w:rsidP="00BB64DB">
      <w:pPr>
        <w:rPr>
          <w:color w:val="000000" w:themeColor="text1"/>
        </w:rPr>
      </w:pPr>
      <w:r w:rsidRPr="00EB2612">
        <w:rPr>
          <w:color w:val="000000" w:themeColor="text1"/>
        </w:rPr>
        <w:t>Pro</w:t>
      </w:r>
      <w:r w:rsidR="00BB64DB" w:rsidRPr="00EB2612">
        <w:rPr>
          <w:color w:val="000000" w:themeColor="text1"/>
        </w:rPr>
        <w:t xml:space="preserve"> </w:t>
      </w:r>
      <w:r w:rsidRPr="00EB2612">
        <w:rPr>
          <w:color w:val="000000" w:themeColor="text1"/>
        </w:rPr>
        <w:t>analýzu</w:t>
      </w:r>
      <w:r w:rsidR="00BB64DB" w:rsidRPr="00EB2612">
        <w:rPr>
          <w:color w:val="000000" w:themeColor="text1"/>
        </w:rPr>
        <w:t xml:space="preserve"> celkových </w:t>
      </w:r>
      <w:r w:rsidRPr="00EB2612">
        <w:rPr>
          <w:color w:val="000000" w:themeColor="text1"/>
        </w:rPr>
        <w:t>příjmů</w:t>
      </w:r>
      <w:r w:rsidR="00BB64DB" w:rsidRPr="00EB2612">
        <w:rPr>
          <w:color w:val="000000" w:themeColor="text1"/>
        </w:rPr>
        <w:t xml:space="preserve"> </w:t>
      </w:r>
      <w:r w:rsidRPr="00EB2612">
        <w:rPr>
          <w:color w:val="000000" w:themeColor="text1"/>
        </w:rPr>
        <w:t>v oblasti vydávání a prodeje zvukových nahrávek byla použita pouze data shromažďovaná Českou národní skupinou Mezinárodní federace hudebního průmyslu (ČNS IFPI) vzhledem k tomu, že poskytují úplnější přehled o prodeji nahrávek, který je navíc možné rozdělit na fyzické a digitální prodeje.</w:t>
      </w:r>
      <w:r w:rsidR="00CC1BCB" w:rsidRPr="00EB2612">
        <w:rPr>
          <w:color w:val="000000" w:themeColor="text1"/>
        </w:rPr>
        <w:t xml:space="preserve"> Na druhou stranu, údaje o prodeji nahrávek nezahrnují veškeré příjmy subjektů v oblasti hud</w:t>
      </w:r>
      <w:r w:rsidR="00701EC5" w:rsidRPr="00EB2612">
        <w:rPr>
          <w:color w:val="000000" w:themeColor="text1"/>
        </w:rPr>
        <w:t>b</w:t>
      </w:r>
      <w:r w:rsidR="00F76EFC" w:rsidRPr="00EB2612">
        <w:rPr>
          <w:color w:val="000000" w:themeColor="text1"/>
        </w:rPr>
        <w:t>y, které dosahovaly v roce 2018</w:t>
      </w:r>
      <w:r w:rsidR="00CC1BCB" w:rsidRPr="00EB2612">
        <w:rPr>
          <w:color w:val="000000" w:themeColor="text1"/>
        </w:rPr>
        <w:t xml:space="preserve"> podle Strukturální podn</w:t>
      </w:r>
      <w:r w:rsidR="00CC31D3" w:rsidRPr="00EB2612">
        <w:rPr>
          <w:color w:val="000000" w:themeColor="text1"/>
        </w:rPr>
        <w:t>ikové statistiky výše zhruba 2</w:t>
      </w:r>
      <w:r w:rsidR="0033411B" w:rsidRPr="00EB2612">
        <w:rPr>
          <w:color w:val="000000" w:themeColor="text1"/>
        </w:rPr>
        <w:t>,1</w:t>
      </w:r>
      <w:r w:rsidR="00CC31D3" w:rsidRPr="00EB2612">
        <w:rPr>
          <w:color w:val="000000" w:themeColor="text1"/>
        </w:rPr>
        <w:t xml:space="preserve"> mld. Kč.</w:t>
      </w:r>
    </w:p>
    <w:p w:rsidR="00BB64DB" w:rsidRPr="00EB2612" w:rsidRDefault="00CC1BCB" w:rsidP="00BB64DB">
      <w:r w:rsidRPr="00EB2612">
        <w:rPr>
          <w:color w:val="000000" w:themeColor="text1"/>
        </w:rPr>
        <w:tab/>
      </w:r>
      <w:r w:rsidRPr="00EB2612">
        <w:t>A</w:t>
      </w:r>
      <w:r w:rsidR="00BB64DB" w:rsidRPr="00EB2612">
        <w:t>sociace</w:t>
      </w:r>
      <w:r w:rsidRPr="00EB2612">
        <w:t xml:space="preserve"> IFPI</w:t>
      </w:r>
      <w:r w:rsidR="00BB64DB" w:rsidRPr="00EB2612">
        <w:t xml:space="preserve"> sdružuje velké společnosti</w:t>
      </w:r>
      <w:r w:rsidR="00731CAB" w:rsidRPr="00EB2612">
        <w:t xml:space="preserve">, jež se </w:t>
      </w:r>
      <w:r w:rsidR="00CC31D3" w:rsidRPr="00EB2612">
        <w:t xml:space="preserve">podílí na stěžejní části tržeb z hudebních nahrávek, spolupracuje však i s menšími vydavatelstvími, která dodávají </w:t>
      </w:r>
      <w:r w:rsidR="00A052DD" w:rsidRPr="00EB2612">
        <w:t>ekonomická data.</w:t>
      </w:r>
      <w:r w:rsidR="00BB64DB" w:rsidRPr="00EB2612">
        <w:t xml:space="preserve"> </w:t>
      </w:r>
      <w:r w:rsidR="000B3E9E" w:rsidRPr="00EB2612">
        <w:t xml:space="preserve">Časová řada v Grafu </w:t>
      </w:r>
      <w:r w:rsidR="00FF526E">
        <w:t>38</w:t>
      </w:r>
      <w:r w:rsidR="00C8582D" w:rsidRPr="00EB2612">
        <w:t xml:space="preserve"> zachycuje</w:t>
      </w:r>
      <w:r w:rsidR="00BB64DB" w:rsidRPr="00EB2612">
        <w:t xml:space="preserve"> </w:t>
      </w:r>
      <w:r w:rsidR="00C8582D" w:rsidRPr="00EB2612">
        <w:t xml:space="preserve">prudký pokles příjmů z prodeje hudebních nahrávek mezi lety 2008 a 2010 a následný </w:t>
      </w:r>
      <w:r w:rsidR="00BB64DB" w:rsidRPr="00EB2612">
        <w:t xml:space="preserve">zpomalující se </w:t>
      </w:r>
      <w:r w:rsidR="00C8582D" w:rsidRPr="00EB2612">
        <w:t>propad od roku 2010. Zpomalení poklesu tržeb bylo zřejmě způsobené</w:t>
      </w:r>
      <w:r w:rsidR="00BB64DB" w:rsidRPr="00EB2612">
        <w:t xml:space="preserve"> rozšířením nabídky online služeb, zejména zavedením služby </w:t>
      </w:r>
      <w:r w:rsidR="003150BE" w:rsidRPr="00EB2612">
        <w:rPr>
          <w:i/>
        </w:rPr>
        <w:t>iT</w:t>
      </w:r>
      <w:r w:rsidR="00BB64DB" w:rsidRPr="00EB2612">
        <w:rPr>
          <w:i/>
        </w:rPr>
        <w:t>unes</w:t>
      </w:r>
      <w:r w:rsidR="00BB64DB" w:rsidRPr="00EB2612">
        <w:t xml:space="preserve"> na český trh. </w:t>
      </w:r>
      <w:r w:rsidR="00C8582D" w:rsidRPr="00EB2612">
        <w:t xml:space="preserve">V </w:t>
      </w:r>
      <w:r w:rsidR="00BB64DB" w:rsidRPr="00EB2612">
        <w:t xml:space="preserve">roce 2014 </w:t>
      </w:r>
      <w:r w:rsidR="00C8582D" w:rsidRPr="00EB2612">
        <w:t xml:space="preserve">pak došlo </w:t>
      </w:r>
      <w:r w:rsidR="00BB64DB" w:rsidRPr="00EB2612">
        <w:t>po dlouhém období stagnac</w:t>
      </w:r>
      <w:r w:rsidR="00C8582D" w:rsidRPr="00EB2612">
        <w:t>e poprvé k růstu tržeb, který byl ovlivněn</w:t>
      </w:r>
      <w:r w:rsidR="00BB64DB" w:rsidRPr="00EB2612">
        <w:t xml:space="preserve"> </w:t>
      </w:r>
      <w:r w:rsidR="00C8582D" w:rsidRPr="00EB2612">
        <w:t>nárůstem příjmů ze</w:t>
      </w:r>
      <w:r w:rsidR="00BB64DB" w:rsidRPr="00EB2612">
        <w:t xml:space="preserve"> zpo</w:t>
      </w:r>
      <w:r w:rsidR="00C8582D" w:rsidRPr="00EB2612">
        <w:t>platněných digitálních služeb</w:t>
      </w:r>
      <w:r w:rsidR="00645CFB" w:rsidRPr="00EB2612">
        <w:t xml:space="preserve">. </w:t>
      </w:r>
      <w:r w:rsidR="00CA5B30" w:rsidRPr="00EB2612">
        <w:t>Tento růst pokračoval i</w:t>
      </w:r>
      <w:r w:rsidR="00645CFB" w:rsidRPr="00EB2612">
        <w:t> </w:t>
      </w:r>
      <w:r w:rsidR="00CA5B30" w:rsidRPr="00EB2612">
        <w:t>v</w:t>
      </w:r>
      <w:r w:rsidR="001B0E1D">
        <w:t> následujícím</w:t>
      </w:r>
      <w:r w:rsidR="00A052DD" w:rsidRPr="00EB2612">
        <w:t xml:space="preserve"> </w:t>
      </w:r>
      <w:r w:rsidR="001B0E1D">
        <w:t>období</w:t>
      </w:r>
      <w:r w:rsidR="00A052DD" w:rsidRPr="00EB2612">
        <w:t xml:space="preserve"> </w:t>
      </w:r>
      <w:r w:rsidR="00CA5B30" w:rsidRPr="00EB2612">
        <w:t>2015</w:t>
      </w:r>
      <w:r w:rsidR="001B0E1D">
        <w:t xml:space="preserve"> až</w:t>
      </w:r>
      <w:r w:rsidR="00667C2E" w:rsidRPr="00EB2612">
        <w:t xml:space="preserve"> 2019</w:t>
      </w:r>
      <w:r w:rsidR="00A052DD" w:rsidRPr="00EB2612">
        <w:t xml:space="preserve"> (tyto</w:t>
      </w:r>
      <w:r w:rsidR="00A543D4" w:rsidRPr="00EB2612">
        <w:t xml:space="preserve"> údaje jsou navíc mírně navýšeny</w:t>
      </w:r>
      <w:r w:rsidR="00A052DD" w:rsidRPr="00EB2612">
        <w:t xml:space="preserve"> o data z menších vydavatelství, která dříve nebyla sledována)</w:t>
      </w:r>
      <w:r w:rsidR="00CA5B30" w:rsidRPr="00EB2612">
        <w:t>.</w:t>
      </w:r>
    </w:p>
    <w:p w:rsidR="00BB64DB" w:rsidRPr="00EB2612" w:rsidRDefault="00BB64DB" w:rsidP="00BB64DB">
      <w:pPr>
        <w:pStyle w:val="Titulek"/>
        <w:keepNext/>
        <w:rPr>
          <w:color w:val="auto"/>
        </w:rPr>
      </w:pPr>
      <w:r w:rsidRPr="00EB2612">
        <w:rPr>
          <w:color w:val="auto"/>
          <w:sz w:val="22"/>
          <w:szCs w:val="22"/>
        </w:rPr>
        <w:lastRenderedPageBreak/>
        <w:t xml:space="preserve">Graf </w:t>
      </w:r>
      <w:r w:rsidR="001A4BAA" w:rsidRPr="00EB2612">
        <w:rPr>
          <w:color w:val="auto"/>
          <w:sz w:val="22"/>
          <w:szCs w:val="22"/>
        </w:rPr>
        <w:t>3</w:t>
      </w:r>
      <w:r w:rsidR="00424B58">
        <w:rPr>
          <w:color w:val="auto"/>
          <w:sz w:val="22"/>
          <w:szCs w:val="22"/>
        </w:rPr>
        <w:t>8</w:t>
      </w:r>
      <w:r w:rsidRPr="00EB2612">
        <w:rPr>
          <w:color w:val="auto"/>
        </w:rPr>
        <w:t xml:space="preserve"> </w:t>
      </w:r>
      <w:r w:rsidR="001D4ECA" w:rsidRPr="00EB2612">
        <w:rPr>
          <w:b w:val="0"/>
          <w:color w:val="auto"/>
          <w:sz w:val="22"/>
          <w:szCs w:val="22"/>
        </w:rPr>
        <w:t>Příjmy</w:t>
      </w:r>
      <w:r w:rsidRPr="00EB2612">
        <w:rPr>
          <w:b w:val="0"/>
          <w:color w:val="auto"/>
          <w:sz w:val="22"/>
          <w:szCs w:val="22"/>
        </w:rPr>
        <w:t xml:space="preserve"> </w:t>
      </w:r>
      <w:r w:rsidR="00697C18" w:rsidRPr="00EB2612">
        <w:rPr>
          <w:b w:val="0"/>
          <w:color w:val="auto"/>
          <w:sz w:val="22"/>
          <w:szCs w:val="22"/>
        </w:rPr>
        <w:t>z prodeje hudebních nahrávek</w:t>
      </w:r>
      <w:r w:rsidR="00126EBA" w:rsidRPr="00EB2612">
        <w:rPr>
          <w:b w:val="0"/>
          <w:color w:val="auto"/>
          <w:sz w:val="22"/>
          <w:szCs w:val="22"/>
        </w:rPr>
        <w:t xml:space="preserve"> </w:t>
      </w:r>
      <w:r w:rsidRPr="00EB2612">
        <w:rPr>
          <w:b w:val="0"/>
          <w:color w:val="auto"/>
          <w:sz w:val="22"/>
          <w:szCs w:val="22"/>
        </w:rPr>
        <w:t>(v mil. Kč)</w:t>
      </w:r>
    </w:p>
    <w:p w:rsidR="00BB64DB" w:rsidRPr="00EB2612" w:rsidRDefault="00667C2E" w:rsidP="00BB64DB">
      <w:pPr>
        <w:keepNext/>
        <w:jc w:val="center"/>
      </w:pPr>
      <w:r w:rsidRPr="00EB2612">
        <w:rPr>
          <w:noProof/>
        </w:rPr>
        <w:drawing>
          <wp:inline distT="0" distB="0" distL="0" distR="0">
            <wp:extent cx="6210300" cy="144780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5C19FC" w:rsidRPr="00EB2612">
        <w:rPr>
          <w:b w:val="0"/>
          <w:color w:val="auto"/>
          <w:sz w:val="22"/>
          <w:szCs w:val="22"/>
        </w:rPr>
        <w:t>ČNS IFPI</w:t>
      </w:r>
    </w:p>
    <w:p w:rsidR="00BB64DB" w:rsidRPr="00EB2612" w:rsidRDefault="00BB64DB" w:rsidP="00BB64DB">
      <w:r w:rsidRPr="00EB2612">
        <w:t xml:space="preserve">Vývoj příjmů z digitálních </w:t>
      </w:r>
      <w:r w:rsidR="00542B56">
        <w:t xml:space="preserve">služeb </w:t>
      </w:r>
      <w:r w:rsidRPr="00EB2612">
        <w:t>a fyzických nosičů</w:t>
      </w:r>
      <w:r w:rsidR="00610F13" w:rsidRPr="00EB2612">
        <w:t xml:space="preserve"> mezi zlomový</w:t>
      </w:r>
      <w:r w:rsidR="00842647" w:rsidRPr="00EB2612">
        <w:t>mi lety 2010 a 2019</w:t>
      </w:r>
      <w:r w:rsidRPr="00EB2612">
        <w:t xml:space="preserve"> zachycuje Graf </w:t>
      </w:r>
      <w:r w:rsidR="00424B58">
        <w:t>39</w:t>
      </w:r>
      <w:r w:rsidRPr="00EB2612">
        <w:t>. Jak</w:t>
      </w:r>
      <w:r w:rsidR="00220644" w:rsidRPr="00EB2612">
        <w:t> </w:t>
      </w:r>
      <w:r w:rsidRPr="00EB2612">
        <w:t>je</w:t>
      </w:r>
      <w:r w:rsidR="00220644" w:rsidRPr="00EB2612">
        <w:t> </w:t>
      </w:r>
      <w:r w:rsidRPr="00EB2612">
        <w:t>patrné z grafu,</w:t>
      </w:r>
      <w:r w:rsidR="009F1BE9" w:rsidRPr="00EB2612">
        <w:t xml:space="preserve"> podíl digitálních formátů</w:t>
      </w:r>
      <w:r w:rsidR="00610F13" w:rsidRPr="00EB2612">
        <w:t xml:space="preserve"> na celkových příjmech</w:t>
      </w:r>
      <w:r w:rsidR="009F1BE9" w:rsidRPr="00EB2612">
        <w:t xml:space="preserve"> </w:t>
      </w:r>
      <w:r w:rsidR="00842647" w:rsidRPr="00EB2612">
        <w:t>v roce 2019</w:t>
      </w:r>
      <w:r w:rsidR="00610F13" w:rsidRPr="00EB2612">
        <w:t xml:space="preserve"> </w:t>
      </w:r>
      <w:r w:rsidR="00842647" w:rsidRPr="00EB2612">
        <w:t>již podruhé</w:t>
      </w:r>
      <w:r w:rsidR="00610F13" w:rsidRPr="00EB2612">
        <w:t xml:space="preserve"> převýšil podíl fyzických nosičů.</w:t>
      </w:r>
      <w:r w:rsidR="00A052DD" w:rsidRPr="00EB2612">
        <w:t xml:space="preserve"> Český trh tak </w:t>
      </w:r>
      <w:r w:rsidR="009F1BE9" w:rsidRPr="00EB2612">
        <w:t>pomalu dohání trendy</w:t>
      </w:r>
      <w:r w:rsidR="00A052DD" w:rsidRPr="00EB2612">
        <w:t xml:space="preserve"> globálního trhu, kde </w:t>
      </w:r>
      <w:r w:rsidR="009B7A06" w:rsidRPr="00EB2612">
        <w:t xml:space="preserve">digitální služby již několik let jednoznačně dominují. </w:t>
      </w:r>
      <w:r w:rsidRPr="00EB2612">
        <w:t xml:space="preserve">Zajímavým </w:t>
      </w:r>
      <w:r w:rsidR="009F1BE9" w:rsidRPr="00EB2612">
        <w:t>úkazem</w:t>
      </w:r>
      <w:r w:rsidRPr="00EB2612">
        <w:t xml:space="preserve"> posledních několika let je zvýšení zájmu o vinylové nos</w:t>
      </w:r>
      <w:r w:rsidR="00CA5B30" w:rsidRPr="00EB2612">
        <w:t>i</w:t>
      </w:r>
      <w:r w:rsidR="00842647" w:rsidRPr="00EB2612">
        <w:t>če, které v roce 2019 tvořily 30</w:t>
      </w:r>
      <w:r w:rsidR="00542B56">
        <w:t> </w:t>
      </w:r>
      <w:r w:rsidRPr="00EB2612">
        <w:t>% prodeje fyzických formátů na českém trhu</w:t>
      </w:r>
      <w:r w:rsidR="009F1BE9" w:rsidRPr="00EB2612">
        <w:t xml:space="preserve"> a jejich prodeje již </w:t>
      </w:r>
      <w:r w:rsidR="00610F13" w:rsidRPr="00EB2612">
        <w:t>pátým</w:t>
      </w:r>
      <w:r w:rsidR="009F1BE9" w:rsidRPr="00EB2612">
        <w:t xml:space="preserve"> rokem po sobě stoupají</w:t>
      </w:r>
      <w:r w:rsidRPr="00EB2612">
        <w:t>.</w:t>
      </w:r>
      <w:r w:rsidR="008D10CC" w:rsidRPr="00EB2612">
        <w:t xml:space="preserve"> Příjmy z prodeje CD sice v roce 2019 oproti předchozímu roku mírně stouply, dlouhodobě však mají spíše sestupnou tendenci</w:t>
      </w:r>
      <w:r w:rsidR="009F1BE9" w:rsidRPr="00EB2612">
        <w:t xml:space="preserve">. </w:t>
      </w:r>
      <w:r w:rsidR="00B41036" w:rsidRPr="00EB2612">
        <w:t>Je třeba zmínit</w:t>
      </w:r>
      <w:r w:rsidR="009F1BE9" w:rsidRPr="00EB2612">
        <w:t>, že tyto údaje zahrnují pouze data od členských společností IFPI a</w:t>
      </w:r>
      <w:r w:rsidR="00362010">
        <w:t> </w:t>
      </w:r>
      <w:r w:rsidR="009F1BE9" w:rsidRPr="00EB2612">
        <w:t>několik</w:t>
      </w:r>
      <w:r w:rsidR="008D10CC" w:rsidRPr="00EB2612">
        <w:t>a</w:t>
      </w:r>
      <w:r w:rsidR="009F1BE9" w:rsidRPr="00EB2612">
        <w:t xml:space="preserve"> vybraných organizac</w:t>
      </w:r>
      <w:r w:rsidR="00610F13" w:rsidRPr="00EB2612">
        <w:t>í, se kterými IFPI spolupracuje</w:t>
      </w:r>
      <w:r w:rsidR="00E40913" w:rsidRPr="00EB2612">
        <w:t>.</w:t>
      </w:r>
      <w:r w:rsidR="00CA7634" w:rsidRPr="00EB2612">
        <w:t xml:space="preserve"> Údaje také nezahrnují příjmy z provozovacích práv ke zvukovým nahrávkám. Celkové příjmy hudebního průmyslu</w:t>
      </w:r>
      <w:r w:rsidR="008D10CC" w:rsidRPr="00EB2612">
        <w:t xml:space="preserve"> zahrnující všechny subjekty by</w:t>
      </w:r>
      <w:r w:rsidR="00CA7634" w:rsidRPr="00EB2612">
        <w:t xml:space="preserve"> dosáhly podle odhadu v</w:t>
      </w:r>
      <w:r w:rsidR="008D10CC" w:rsidRPr="00EB2612">
        <w:t xml:space="preserve"> tiskové zprávě IFPI v roce 2019</w:t>
      </w:r>
      <w:r w:rsidR="00CA7634" w:rsidRPr="00EB2612">
        <w:t xml:space="preserve"> přibližně </w:t>
      </w:r>
      <w:r w:rsidR="00DB4861">
        <w:t>1,1 mld</w:t>
      </w:r>
      <w:r w:rsidR="00CA7634" w:rsidRPr="00EB2612">
        <w:t>. Kč.</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424B58">
        <w:rPr>
          <w:color w:val="auto"/>
          <w:sz w:val="22"/>
          <w:szCs w:val="22"/>
        </w:rPr>
        <w:t>39</w:t>
      </w:r>
      <w:r w:rsidRPr="00EB2612">
        <w:rPr>
          <w:color w:val="auto"/>
          <w:sz w:val="22"/>
          <w:szCs w:val="22"/>
        </w:rPr>
        <w:t xml:space="preserve"> </w:t>
      </w:r>
      <w:r w:rsidR="00B41036" w:rsidRPr="00EB2612">
        <w:rPr>
          <w:b w:val="0"/>
          <w:color w:val="auto"/>
          <w:sz w:val="22"/>
          <w:szCs w:val="22"/>
        </w:rPr>
        <w:t xml:space="preserve">Příjmy </w:t>
      </w:r>
      <w:r w:rsidRPr="00EB2612">
        <w:rPr>
          <w:b w:val="0"/>
          <w:color w:val="auto"/>
          <w:sz w:val="22"/>
          <w:szCs w:val="22"/>
        </w:rPr>
        <w:t xml:space="preserve">z prodeje fyzických nosičů a digitálních </w:t>
      </w:r>
      <w:r w:rsidR="005C19FC" w:rsidRPr="00EB2612">
        <w:rPr>
          <w:b w:val="0"/>
          <w:color w:val="auto"/>
          <w:sz w:val="22"/>
          <w:szCs w:val="22"/>
        </w:rPr>
        <w:t>služeb (v mil</w:t>
      </w:r>
      <w:r w:rsidRPr="00EB2612">
        <w:rPr>
          <w:b w:val="0"/>
          <w:color w:val="auto"/>
          <w:sz w:val="22"/>
          <w:szCs w:val="22"/>
        </w:rPr>
        <w:t>. Kč</w:t>
      </w:r>
      <w:r w:rsidR="00CA7634" w:rsidRPr="00EB2612">
        <w:rPr>
          <w:b w:val="0"/>
          <w:color w:val="auto"/>
          <w:sz w:val="22"/>
          <w:szCs w:val="22"/>
        </w:rPr>
        <w:t>, pouze členské společnosti IFPI a</w:t>
      </w:r>
      <w:r w:rsidR="00362010">
        <w:rPr>
          <w:b w:val="0"/>
          <w:color w:val="auto"/>
          <w:sz w:val="22"/>
          <w:szCs w:val="22"/>
        </w:rPr>
        <w:t> </w:t>
      </w:r>
      <w:r w:rsidR="00CA7634" w:rsidRPr="00EB2612">
        <w:rPr>
          <w:b w:val="0"/>
          <w:color w:val="auto"/>
          <w:sz w:val="22"/>
          <w:szCs w:val="22"/>
        </w:rPr>
        <w:t>vybrané organizace</w:t>
      </w:r>
      <w:r w:rsidRPr="00EB2612">
        <w:rPr>
          <w:b w:val="0"/>
          <w:color w:val="auto"/>
          <w:sz w:val="22"/>
          <w:szCs w:val="22"/>
        </w:rPr>
        <w:t>)</w:t>
      </w:r>
    </w:p>
    <w:p w:rsidR="00BB64DB" w:rsidRPr="00EB2612" w:rsidRDefault="001B0E1D" w:rsidP="00BB64DB">
      <w:pPr>
        <w:keepNext/>
        <w:jc w:val="center"/>
      </w:pPr>
      <w:r w:rsidRPr="001B0E1D">
        <w:rPr>
          <w:noProof/>
        </w:rPr>
        <w:drawing>
          <wp:inline distT="0" distB="0" distL="0" distR="0">
            <wp:extent cx="5972810" cy="2334260"/>
            <wp:effectExtent l="0" t="0" r="0" b="0"/>
            <wp:docPr id="12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5C19FC" w:rsidRPr="00EB2612">
        <w:rPr>
          <w:b w:val="0"/>
          <w:color w:val="auto"/>
          <w:sz w:val="22"/>
          <w:szCs w:val="22"/>
        </w:rPr>
        <w:t>ČNS</w:t>
      </w:r>
      <w:r w:rsidRPr="00EB2612">
        <w:rPr>
          <w:b w:val="0"/>
          <w:color w:val="auto"/>
          <w:sz w:val="22"/>
          <w:szCs w:val="22"/>
        </w:rPr>
        <w:t xml:space="preserve"> IF</w:t>
      </w:r>
      <w:r w:rsidR="005C19FC" w:rsidRPr="00EB2612">
        <w:rPr>
          <w:b w:val="0"/>
          <w:color w:val="auto"/>
          <w:sz w:val="22"/>
          <w:szCs w:val="22"/>
        </w:rPr>
        <w:t>PI</w:t>
      </w:r>
    </w:p>
    <w:p w:rsidR="00A543D4" w:rsidRPr="00EB2612" w:rsidRDefault="00BB64DB" w:rsidP="00BB64DB">
      <w:r w:rsidRPr="00EB2612">
        <w:t>Zachytit údaje o pracovním trhu v oblasti hudby je stejně komplikované jako ve filmové oblasti. Prezentované</w:t>
      </w:r>
      <w:r w:rsidR="00220644" w:rsidRPr="00EB2612">
        <w:t> </w:t>
      </w:r>
      <w:r w:rsidRPr="00EB2612">
        <w:t xml:space="preserve">údaje se týkají </w:t>
      </w:r>
      <w:r w:rsidR="00844C07" w:rsidRPr="00EB2612">
        <w:t>primárně</w:t>
      </w:r>
      <w:r w:rsidRPr="00EB2612">
        <w:t xml:space="preserve"> zaměstnanců vydavatelských a produkčních společností a</w:t>
      </w:r>
      <w:r w:rsidR="00220644" w:rsidRPr="00EB2612">
        <w:t> </w:t>
      </w:r>
      <w:r w:rsidRPr="00EB2612">
        <w:t>obchodníků s hudbou. Nikoliv však samotných profesionálních hudebníků, kteří by svou ekonomickou činností spadali spíše do oblasti scénických umění</w:t>
      </w:r>
      <w:r w:rsidR="00542285" w:rsidRPr="00EB2612">
        <w:t xml:space="preserve">. </w:t>
      </w:r>
      <w:r w:rsidRPr="00EB2612">
        <w:t>Pro část hudebníků a skladatelů vytvářejících obsah, který je následně nahrá</w:t>
      </w:r>
      <w:r w:rsidR="00CD32B3">
        <w:t>vá</w:t>
      </w:r>
      <w:r w:rsidRPr="00EB2612">
        <w:t>n</w:t>
      </w:r>
      <w:r w:rsidR="00282CCA" w:rsidRPr="00EB2612">
        <w:t> </w:t>
      </w:r>
      <w:r w:rsidRPr="00EB2612">
        <w:t>a</w:t>
      </w:r>
      <w:r w:rsidR="00282CCA" w:rsidRPr="00EB2612">
        <w:t> </w:t>
      </w:r>
      <w:r w:rsidRPr="00EB2612">
        <w:t>distribuován, navíc aktivita</w:t>
      </w:r>
      <w:r w:rsidR="00CA5B30" w:rsidRPr="00EB2612">
        <w:t xml:space="preserve"> v rámci hudebního průmyslu</w:t>
      </w:r>
      <w:r w:rsidRPr="00EB2612">
        <w:t xml:space="preserve"> nepředstavuje hlavní povolání, ale pouze občasný přivýdělek. Jak vyplývá z Gr</w:t>
      </w:r>
      <w:r w:rsidR="004F4DFA" w:rsidRPr="00EB2612">
        <w:t xml:space="preserve">afu </w:t>
      </w:r>
      <w:r w:rsidR="00FF526E">
        <w:t>40</w:t>
      </w:r>
      <w:r w:rsidRPr="00EB2612">
        <w:t>, celková zaměstnan</w:t>
      </w:r>
      <w:r w:rsidR="00CA5B30" w:rsidRPr="00EB2612">
        <w:t xml:space="preserve">ost v takto vymezené </w:t>
      </w:r>
      <w:r w:rsidR="00CA5B30" w:rsidRPr="00EB2612">
        <w:lastRenderedPageBreak/>
        <w:t>oblasti má od roku 2006 spíše sestupnou tendenci</w:t>
      </w:r>
      <w:r w:rsidR="00DB3EA4" w:rsidRPr="00EB2612">
        <w:t xml:space="preserve"> a</w:t>
      </w:r>
      <w:r w:rsidRPr="00EB2612">
        <w:t xml:space="preserve"> </w:t>
      </w:r>
      <w:r w:rsidR="000D50FF" w:rsidRPr="00EB2612">
        <w:t>ve sledovaném období</w:t>
      </w:r>
      <w:r w:rsidR="00DB4861">
        <w:t xml:space="preserve"> 2006–</w:t>
      </w:r>
      <w:r w:rsidR="000D50FF" w:rsidRPr="00EB2612">
        <w:t>2018 klesla o polovinu na 261 zaměstnanců v roce 2018</w:t>
      </w:r>
      <w:r w:rsidRPr="00EB2612">
        <w:t>.</w:t>
      </w:r>
    </w:p>
    <w:p w:rsidR="00A543D4" w:rsidRPr="00EB2612" w:rsidRDefault="00A543D4" w:rsidP="00A543D4">
      <w:pPr>
        <w:pStyle w:val="Titulek"/>
        <w:keepNext/>
      </w:pPr>
      <w:r w:rsidRPr="00EB2612">
        <w:rPr>
          <w:noProof/>
        </w:rPr>
        <w:t xml:space="preserve"> </w:t>
      </w:r>
      <w:r w:rsidRPr="00EB2612">
        <w:rPr>
          <w:color w:val="auto"/>
          <w:sz w:val="22"/>
          <w:szCs w:val="22"/>
        </w:rPr>
        <w:t xml:space="preserve">Graf </w:t>
      </w:r>
      <w:r w:rsidR="00424B58">
        <w:rPr>
          <w:color w:val="auto"/>
          <w:sz w:val="22"/>
          <w:szCs w:val="22"/>
        </w:rPr>
        <w:t>40</w:t>
      </w:r>
      <w:r w:rsidRPr="00EB2612">
        <w:rPr>
          <w:color w:val="auto"/>
        </w:rPr>
        <w:t xml:space="preserve"> </w:t>
      </w:r>
      <w:r w:rsidRPr="00EB2612">
        <w:rPr>
          <w:b w:val="0"/>
          <w:color w:val="auto"/>
          <w:sz w:val="22"/>
          <w:szCs w:val="22"/>
        </w:rPr>
        <w:t>P</w:t>
      </w:r>
      <w:r w:rsidRPr="00EB2612">
        <w:rPr>
          <w:b w:val="0"/>
          <w:color w:val="000000" w:themeColor="text1"/>
          <w:sz w:val="22"/>
          <w:szCs w:val="22"/>
        </w:rPr>
        <w:t>očet zaměstnanců v oblasti hudby (v osobách, přepočteno na plné prac. úvazky)</w:t>
      </w:r>
    </w:p>
    <w:p w:rsidR="00BB64DB" w:rsidRPr="00EB2612" w:rsidRDefault="000D50FF" w:rsidP="00A543D4">
      <w:r w:rsidRPr="00EB2612">
        <w:rPr>
          <w:noProof/>
        </w:rPr>
        <w:drawing>
          <wp:inline distT="0" distB="0" distL="0" distR="0">
            <wp:extent cx="6105525" cy="1676400"/>
            <wp:effectExtent l="0" t="0" r="0" b="0"/>
            <wp:docPr id="2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543D4" w:rsidRPr="00EB2612" w:rsidRDefault="00A543D4" w:rsidP="00A543D4">
      <w:pPr>
        <w:keepNext/>
        <w:jc w:val="left"/>
      </w:pPr>
      <w:r w:rsidRPr="00EB2612">
        <w:t>Zdroj: Podniková strukturální statistika, ČSÚ</w:t>
      </w:r>
    </w:p>
    <w:p w:rsidR="00A543D4" w:rsidRPr="00EB2612" w:rsidRDefault="00A543D4" w:rsidP="00A543D4">
      <w:pPr>
        <w:keepNext/>
      </w:pPr>
      <w:r w:rsidRPr="00EB2612">
        <w:t xml:space="preserve">Úplnější odhad zaměstnanosti v oblasti hudby je možné získat z Výběrového šetření pracovních sil, které zohledňuje všechny </w:t>
      </w:r>
      <w:r w:rsidR="00145A10">
        <w:t>pracující</w:t>
      </w:r>
      <w:r w:rsidR="00145A10" w:rsidRPr="00EB2612">
        <w:t xml:space="preserve"> </w:t>
      </w:r>
      <w:r w:rsidRPr="00EB2612">
        <w:t xml:space="preserve">osoby (zaměstnance, podnikatele či pracovníky na dohody). Podle údajů z tohoto šetření pracovalo v oblasti hudby přibližně </w:t>
      </w:r>
      <w:r w:rsidR="0094244C" w:rsidRPr="00EB2612">
        <w:t>1,1</w:t>
      </w:r>
      <w:r w:rsidRPr="00EB2612">
        <w:t xml:space="preserve"> tis. zaměs</w:t>
      </w:r>
      <w:r w:rsidR="0094244C" w:rsidRPr="00EB2612">
        <w:t>tnaných osob, přičemž přibližně 1 tis. z nich</w:t>
      </w:r>
      <w:r w:rsidRPr="00EB2612">
        <w:t xml:space="preserve"> vykonávalo povo</w:t>
      </w:r>
      <w:r w:rsidR="0094244C" w:rsidRPr="00EB2612">
        <w:t>lání „kulturního“ charakteru a pouze desí</w:t>
      </w:r>
      <w:r w:rsidR="003F593B">
        <w:t>t</w:t>
      </w:r>
      <w:r w:rsidR="0094244C" w:rsidRPr="00EB2612">
        <w:t>ky</w:t>
      </w:r>
      <w:r w:rsidRPr="00EB2612">
        <w:t xml:space="preserve"> </w:t>
      </w:r>
      <w:r w:rsidR="0094244C" w:rsidRPr="00EB2612">
        <w:t xml:space="preserve">osob </w:t>
      </w:r>
      <w:r w:rsidRPr="00EB2612">
        <w:t>povolání spíše „ne-kulturního“ charakteru. Do výpočtů o povoláních kulturního charakteru vstupují zejména povolání technického rázu (technici v oblasti vysílání a audiovizuálních záznamů</w:t>
      </w:r>
      <w:r w:rsidR="00026804" w:rsidRPr="00EB2612">
        <w:t xml:space="preserve"> či produkční</w:t>
      </w:r>
      <w:r w:rsidRPr="00EB2612">
        <w:t>)</w:t>
      </w:r>
      <w:r w:rsidR="00844C07" w:rsidRPr="00EB2612">
        <w:t xml:space="preserve"> a samotní hudebníci, zpěvá</w:t>
      </w:r>
      <w:r w:rsidR="003D02CE" w:rsidRPr="00EB2612">
        <w:t>ci a skladatelé působí v oblasti</w:t>
      </w:r>
      <w:r w:rsidR="00844C07" w:rsidRPr="00EB2612">
        <w:t xml:space="preserve"> hudebního vydavatelství a maloobchodu </w:t>
      </w:r>
      <w:r w:rsidR="00026804" w:rsidRPr="00EB2612">
        <w:t>v</w:t>
      </w:r>
      <w:r w:rsidR="00DB4861">
        <w:t> </w:t>
      </w:r>
      <w:r w:rsidR="00026804" w:rsidRPr="00EB2612">
        <w:t>menší</w:t>
      </w:r>
      <w:r w:rsidR="00DB4861">
        <w:t xml:space="preserve"> míře</w:t>
      </w:r>
      <w:r w:rsidRPr="00EB2612">
        <w:t>.</w:t>
      </w:r>
      <w:r w:rsidR="00844C07" w:rsidRPr="00EB2612">
        <w:t xml:space="preserve"> Celkově p</w:t>
      </w:r>
      <w:r w:rsidR="002168C9" w:rsidRPr="00EB2612">
        <w:t>ak evidovala statistika VŠPS 6,3</w:t>
      </w:r>
      <w:r w:rsidR="00844C07" w:rsidRPr="00EB2612">
        <w:t xml:space="preserve"> tis. hudebníků, zpěváků a skladat</w:t>
      </w:r>
      <w:r w:rsidR="002168C9" w:rsidRPr="00EB2612">
        <w:t>elů, přičemž většina z nich (5,7</w:t>
      </w:r>
      <w:r w:rsidR="00844C07" w:rsidRPr="00EB2612">
        <w:t xml:space="preserve"> tis) pracovala v některé z kulturních </w:t>
      </w:r>
      <w:r w:rsidR="00AB451D">
        <w:t>organizací</w:t>
      </w:r>
      <w:r w:rsidR="00844C07" w:rsidRPr="00EB2612">
        <w:t>.</w:t>
      </w:r>
    </w:p>
    <w:p w:rsidR="00F33E22" w:rsidRPr="00EB2612" w:rsidRDefault="003D02CE" w:rsidP="00F33E22">
      <w:pPr>
        <w:pStyle w:val="Titulek"/>
        <w:keepNext/>
        <w:jc w:val="left"/>
        <w:rPr>
          <w:b w:val="0"/>
          <w:color w:val="auto"/>
          <w:sz w:val="22"/>
          <w:szCs w:val="22"/>
        </w:rPr>
      </w:pPr>
      <w:bookmarkStart w:id="82" w:name="_Toc464832052"/>
      <w:r w:rsidRPr="00EB2612">
        <w:rPr>
          <w:color w:val="auto"/>
          <w:sz w:val="22"/>
          <w:szCs w:val="22"/>
        </w:rPr>
        <w:t>Graf 4</w:t>
      </w:r>
      <w:r w:rsidR="00424B58">
        <w:rPr>
          <w:color w:val="auto"/>
          <w:sz w:val="22"/>
          <w:szCs w:val="22"/>
        </w:rPr>
        <w:t>1</w:t>
      </w:r>
      <w:r w:rsidR="00F33E22" w:rsidRPr="00EB2612">
        <w:t xml:space="preserve"> </w:t>
      </w:r>
      <w:r w:rsidR="00F33E22" w:rsidRPr="00EB2612">
        <w:rPr>
          <w:b w:val="0"/>
          <w:color w:val="auto"/>
          <w:sz w:val="22"/>
          <w:szCs w:val="22"/>
        </w:rPr>
        <w:t xml:space="preserve">Odhad počtu osob </w:t>
      </w:r>
      <w:r w:rsidR="00145A10">
        <w:rPr>
          <w:b w:val="0"/>
          <w:color w:val="auto"/>
          <w:sz w:val="22"/>
          <w:szCs w:val="22"/>
        </w:rPr>
        <w:t xml:space="preserve">pracujících </w:t>
      </w:r>
      <w:r w:rsidR="00F33E22" w:rsidRPr="00EB2612">
        <w:rPr>
          <w:b w:val="0"/>
          <w:color w:val="auto"/>
          <w:sz w:val="22"/>
          <w:szCs w:val="22"/>
        </w:rPr>
        <w:t xml:space="preserve">v oblasti </w:t>
      </w:r>
      <w:r w:rsidR="00DC44B4" w:rsidRPr="00EB2612">
        <w:rPr>
          <w:b w:val="0"/>
          <w:color w:val="auto"/>
          <w:sz w:val="22"/>
          <w:szCs w:val="22"/>
        </w:rPr>
        <w:t>hudby v roce</w:t>
      </w:r>
      <w:r w:rsidR="00526D24" w:rsidRPr="00EB2612">
        <w:rPr>
          <w:b w:val="0"/>
          <w:color w:val="auto"/>
          <w:sz w:val="22"/>
          <w:szCs w:val="22"/>
        </w:rPr>
        <w:t xml:space="preserve"> 2017</w:t>
      </w:r>
      <w:r w:rsidR="00DC44B4" w:rsidRPr="00EB2612">
        <w:rPr>
          <w:b w:val="0"/>
          <w:color w:val="auto"/>
          <w:sz w:val="22"/>
          <w:szCs w:val="22"/>
        </w:rPr>
        <w:t xml:space="preserve"> v tis. osob</w:t>
      </w:r>
      <w:bookmarkEnd w:id="82"/>
    </w:p>
    <w:p w:rsidR="00F6775F" w:rsidRPr="00EB2612" w:rsidRDefault="00781DF4" w:rsidP="00F6775F">
      <w:pPr>
        <w:rPr>
          <w:lang w:eastAsia="en-US"/>
        </w:rPr>
      </w:pPr>
      <w:r>
        <w:rPr>
          <w:noProof/>
        </w:rPr>
        <w:pict>
          <v:shape id="Text Box 36" o:spid="_x0000_s1038" type="#_x0000_t202" style="position:absolute;left:0;text-align:left;margin-left:351.55pt;margin-top:125.45pt;width:44.75pt;height:20.2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" strokecolor="white [3212]">
            <v:fill opacity="0"/>
            <v:textbox style="mso-next-textbox:#Text Box 36">
              <w:txbxContent>
                <w:p w:rsidR="00705045" w:rsidRPr="00FD1391" w:rsidRDefault="00705045" w:rsidP="00FD1391">
                  <w:pPr>
                    <w:rPr>
                      <w:rFonts w:ascii="Calibri" w:hAnsi="Calibri"/>
                    </w:rPr>
                  </w:pPr>
                  <w:r>
                    <w:rPr>
                      <w:rFonts w:ascii="Calibri" w:hAnsi="Calibri"/>
                    </w:rPr>
                    <w:t>6,3</w:t>
                  </w:r>
                  <w:r w:rsidRPr="00FD1391">
                    <w:rPr>
                      <w:rFonts w:ascii="Calibri" w:hAnsi="Calibri"/>
                    </w:rPr>
                    <w:t xml:space="preserve"> tis.</w:t>
                  </w:r>
                </w:p>
              </w:txbxContent>
            </v:textbox>
          </v:shape>
        </w:pict>
      </w:r>
      <w:r w:rsidRPr="00781DF4">
        <w:rPr>
          <w:b/>
          <w:noProof/>
          <w:sz w:val="22"/>
          <w:szCs w:val="22"/>
        </w:rPr>
        <w:pict>
          <v:shape id="Text Box 35" o:spid="_x0000_s1037" type="#_x0000_t202" style="position:absolute;left:0;text-align:left;margin-left:126.55pt;margin-top:120.2pt;width:44pt;height:25.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" strokecolor="white [3212]">
            <v:fill opacity="0"/>
            <v:textbox style="mso-next-textbox:#Text Box 35">
              <w:txbxContent>
                <w:p w:rsidR="00705045" w:rsidRPr="00FD1391" w:rsidRDefault="00705045">
                  <w:pPr>
                    <w:rPr>
                      <w:rFonts w:ascii="Calibri" w:hAnsi="Calibri"/>
                    </w:rPr>
                  </w:pPr>
                  <w:r>
                    <w:rPr>
                      <w:rFonts w:ascii="Calibri" w:hAnsi="Calibri"/>
                    </w:rPr>
                    <w:t>1,1</w:t>
                  </w:r>
                  <w:r w:rsidRPr="00FD1391">
                    <w:rPr>
                      <w:rFonts w:ascii="Calibri" w:hAnsi="Calibri"/>
                    </w:rPr>
                    <w:t xml:space="preserve"> tis.</w:t>
                  </w:r>
                </w:p>
              </w:txbxContent>
            </v:textbox>
          </v:shape>
        </w:pict>
      </w:r>
      <w:r w:rsidR="000D50FF" w:rsidRPr="00EB2612">
        <w:rPr>
          <w:noProof/>
        </w:rPr>
        <w:drawing>
          <wp:inline distT="0" distB="0" distL="0" distR="0">
            <wp:extent cx="3267075" cy="2486025"/>
            <wp:effectExtent l="0" t="0" r="0" b="0"/>
            <wp:docPr id="10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F6775F" w:rsidRPr="00EB2612">
        <w:rPr>
          <w:noProof/>
        </w:rPr>
        <w:t xml:space="preserve"> </w:t>
      </w:r>
      <w:r w:rsidR="0094244C" w:rsidRPr="00EB2612">
        <w:rPr>
          <w:noProof/>
        </w:rPr>
        <w:drawing>
          <wp:inline distT="0" distB="0" distL="0" distR="0">
            <wp:extent cx="2628900" cy="2438400"/>
            <wp:effectExtent l="0" t="0" r="0" b="0"/>
            <wp:docPr id="125"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90C58" w:rsidRPr="00EB2612" w:rsidRDefault="00BB64DB" w:rsidP="00130F4A">
      <w:pPr>
        <w:pStyle w:val="Titulek"/>
        <w:spacing w:before="120"/>
        <w:rPr>
          <w:b w:val="0"/>
          <w:color w:val="auto"/>
          <w:sz w:val="22"/>
          <w:szCs w:val="22"/>
        </w:rPr>
      </w:pPr>
      <w:r w:rsidRPr="00EB2612">
        <w:rPr>
          <w:b w:val="0"/>
          <w:color w:val="auto"/>
          <w:sz w:val="22"/>
          <w:szCs w:val="22"/>
        </w:rPr>
        <w:t xml:space="preserve">Zdroj: </w:t>
      </w:r>
      <w:r w:rsidR="00DC44B4" w:rsidRPr="00EB2612">
        <w:rPr>
          <w:b w:val="0"/>
          <w:color w:val="auto"/>
          <w:sz w:val="22"/>
          <w:szCs w:val="22"/>
        </w:rPr>
        <w:t>Výběrové šetření pracovních sil</w:t>
      </w:r>
      <w:r w:rsidR="00B90C58" w:rsidRPr="00EB2612">
        <w:rPr>
          <w:b w:val="0"/>
          <w:color w:val="auto"/>
          <w:sz w:val="22"/>
          <w:szCs w:val="22"/>
        </w:rPr>
        <w:t xml:space="preserve">, </w:t>
      </w:r>
      <w:r w:rsidRPr="00EB2612">
        <w:rPr>
          <w:b w:val="0"/>
          <w:color w:val="auto"/>
          <w:sz w:val="22"/>
          <w:szCs w:val="22"/>
        </w:rPr>
        <w:t>ČSÚ</w:t>
      </w:r>
    </w:p>
    <w:p w:rsidR="002A20E0" w:rsidRPr="00EB2612" w:rsidRDefault="002A20E0" w:rsidP="002A20E0">
      <w:r w:rsidRPr="00EB2612">
        <w:t xml:space="preserve">Tyto údaje je možné </w:t>
      </w:r>
      <w:r w:rsidR="002603B5" w:rsidRPr="00EB2612">
        <w:t xml:space="preserve">doplnit </w:t>
      </w:r>
      <w:r w:rsidRPr="00EB2612">
        <w:t xml:space="preserve">také o data o hudebnících, zpěvácích a </w:t>
      </w:r>
      <w:r w:rsidR="003F593B" w:rsidRPr="00EB2612">
        <w:t>skladatelích</w:t>
      </w:r>
      <w:r w:rsidRPr="00EB2612">
        <w:t xml:space="preserve"> </w:t>
      </w:r>
      <w:r w:rsidRPr="00EB2612">
        <w:rPr>
          <w:lang w:eastAsia="en-US"/>
        </w:rPr>
        <w:t>z </w:t>
      </w:r>
      <w:r w:rsidRPr="00EB2612">
        <w:t>Informačního systému o</w:t>
      </w:r>
      <w:r w:rsidR="00362010">
        <w:t> </w:t>
      </w:r>
      <w:r w:rsidRPr="00EB2612">
        <w:t>průměrném výdělku (ISPV), který zahrnuje pouze zaměstnance ve mzdové a platové sféře, nikoliv podnikatele a pracovníky na dohodu. Podle ISPV pracovalo ve mzdové a platov</w:t>
      </w:r>
      <w:r w:rsidR="002168C9" w:rsidRPr="00EB2612">
        <w:t>é sféře v roce 2019</w:t>
      </w:r>
      <w:r w:rsidRPr="00EB2612">
        <w:t xml:space="preserve"> přibližně </w:t>
      </w:r>
      <w:r w:rsidRPr="00EB2612">
        <w:lastRenderedPageBreak/>
        <w:t>2</w:t>
      </w:r>
      <w:r w:rsidR="002168C9" w:rsidRPr="00EB2612">
        <w:t>,4</w:t>
      </w:r>
      <w:r w:rsidRPr="00EB2612">
        <w:t xml:space="preserve"> tis. zaměstnanců spadajících charakterem svého povolání do kategorie </w:t>
      </w:r>
      <w:r w:rsidRPr="00EB2612">
        <w:rPr>
          <w:lang w:eastAsia="en-US"/>
        </w:rPr>
        <w:t xml:space="preserve">CZ-ISCO 2652 </w:t>
      </w:r>
      <w:r w:rsidR="00DB4861">
        <w:t xml:space="preserve">a jejich průměrná mzda </w:t>
      </w:r>
      <w:r w:rsidR="002168C9" w:rsidRPr="00EB2612">
        <w:t>dosahovala výše 35</w:t>
      </w:r>
      <w:r w:rsidRPr="00EB2612">
        <w:t>,6 tis. Kč.</w:t>
      </w:r>
    </w:p>
    <w:p w:rsidR="008A09ED" w:rsidRPr="00EB2612" w:rsidRDefault="008A09ED" w:rsidP="002A20E0">
      <w:r w:rsidRPr="00EB2612">
        <w:t xml:space="preserve">Největší dopady pandemie na hudební průmysl se dají očekávat v oblasti veřejných produkcí. Omezení kulturních akcí dopadne nejen na provozovatele klubů, hudebníky a techniky, ale také na </w:t>
      </w:r>
      <w:r w:rsidR="003F593B" w:rsidRPr="00EB2612">
        <w:t>vydavatele a</w:t>
      </w:r>
      <w:r w:rsidR="00362010">
        <w:t> </w:t>
      </w:r>
      <w:r w:rsidR="003F593B" w:rsidRPr="00EB2612">
        <w:t>autory</w:t>
      </w:r>
      <w:r w:rsidRPr="00EB2612">
        <w:t xml:space="preserve"> v souvislos</w:t>
      </w:r>
      <w:r w:rsidR="003F593B">
        <w:t>ti s příjmy z p</w:t>
      </w:r>
      <w:r w:rsidRPr="00EB2612">
        <w:t>rov</w:t>
      </w:r>
      <w:r w:rsidR="003F593B">
        <w:t>o</w:t>
      </w:r>
      <w:r w:rsidRPr="00EB2612">
        <w:t xml:space="preserve">zovacích práv. Jistý pokles může vlivem vládních opatření zaznamenat také trh s fyzickými nosiči, který se </w:t>
      </w:r>
      <w:r w:rsidR="00145A10">
        <w:t>už tak</w:t>
      </w:r>
      <w:r w:rsidR="00145A10" w:rsidRPr="00EB2612">
        <w:t xml:space="preserve"> </w:t>
      </w:r>
      <w:r w:rsidRPr="00EB2612">
        <w:t xml:space="preserve">v posledních letech potýkal s úbytkem zájmu. Naopak streamovacích platforem by se pandemie v takové míře dotknout neměla. Lídr na trhu </w:t>
      </w:r>
      <w:proofErr w:type="spellStart"/>
      <w:r w:rsidRPr="00EB2612">
        <w:t>streamingu</w:t>
      </w:r>
      <w:proofErr w:type="spellEnd"/>
      <w:r w:rsidR="00145A10">
        <w:t>,</w:t>
      </w:r>
      <w:r w:rsidRPr="00EB2612">
        <w:t xml:space="preserve"> </w:t>
      </w:r>
      <w:proofErr w:type="spellStart"/>
      <w:r w:rsidRPr="00EB2612">
        <w:t>Spotify</w:t>
      </w:r>
      <w:proofErr w:type="spellEnd"/>
      <w:r w:rsidR="00145A10">
        <w:t>,</w:t>
      </w:r>
      <w:r w:rsidRPr="00EB2612">
        <w:t xml:space="preserve"> sice zaznamenal v druhém kvartálu roku 2020 mírnější zájem inzerentů v období krize, ale počet předplatitelů vzrostl oproti prvnímu kvartálu o 6 % (CNBC, 2020c).</w:t>
      </w:r>
    </w:p>
    <w:p w:rsidR="00BB64DB" w:rsidRPr="00EB2612" w:rsidRDefault="00BB64DB" w:rsidP="00694914">
      <w:pPr>
        <w:pStyle w:val="Nadpis3"/>
        <w:numPr>
          <w:ilvl w:val="2"/>
          <w:numId w:val="17"/>
        </w:numPr>
      </w:pPr>
      <w:bookmarkStart w:id="83" w:name="_Toc430189806"/>
      <w:bookmarkStart w:id="84" w:name="_Toc431475034"/>
      <w:bookmarkStart w:id="85" w:name="_Toc463969189"/>
      <w:bookmarkStart w:id="86" w:name="_Toc465253899"/>
      <w:bookmarkStart w:id="87" w:name="_Toc55384437"/>
      <w:r w:rsidRPr="00EB2612">
        <w:t>POHLED SPOTŘEBITELE</w:t>
      </w:r>
      <w:bookmarkEnd w:id="83"/>
      <w:bookmarkEnd w:id="84"/>
      <w:bookmarkEnd w:id="85"/>
      <w:bookmarkEnd w:id="86"/>
      <w:bookmarkEnd w:id="87"/>
    </w:p>
    <w:p w:rsidR="00BB64DB" w:rsidRPr="00EB2612" w:rsidRDefault="00BB64DB" w:rsidP="00BB64DB">
      <w:r w:rsidRPr="00EB2612">
        <w:t>Podrobná studie, která by se zaměřovala pouze na posluchače hudby a jejich návyky</w:t>
      </w:r>
      <w:r w:rsidR="0025640A" w:rsidRPr="00EB2612">
        <w:t>,</w:t>
      </w:r>
      <w:r w:rsidRPr="00EB2612">
        <w:t xml:space="preserve"> </w:t>
      </w:r>
      <w:r w:rsidR="00772DA1" w:rsidRPr="00EB2612">
        <w:t xml:space="preserve">nebyla v době </w:t>
      </w:r>
      <w:r w:rsidR="00145A10">
        <w:t>zpracování</w:t>
      </w:r>
      <w:r w:rsidR="00145A10" w:rsidRPr="00EB2612">
        <w:t xml:space="preserve"> </w:t>
      </w:r>
      <w:r w:rsidR="00772DA1" w:rsidRPr="00EB2612">
        <w:t>tohoto textu</w:t>
      </w:r>
      <w:r w:rsidR="00282CCA" w:rsidRPr="00EB2612">
        <w:t> </w:t>
      </w:r>
      <w:r w:rsidR="00772DA1" w:rsidRPr="00EB2612">
        <w:t>k</w:t>
      </w:r>
      <w:r w:rsidR="00282CCA" w:rsidRPr="00EB2612">
        <w:t> </w:t>
      </w:r>
      <w:r w:rsidR="00772DA1" w:rsidRPr="00EB2612">
        <w:t>dispozici</w:t>
      </w:r>
      <w:r w:rsidRPr="00EB2612">
        <w:t xml:space="preserve">. </w:t>
      </w:r>
      <w:r w:rsidR="00772DA1" w:rsidRPr="00EB2612">
        <w:t>Nárůst</w:t>
      </w:r>
      <w:r w:rsidRPr="00EB2612">
        <w:t xml:space="preserve"> tržeb z digitálních prodejů nicméně naznačuje, že ochota internetových uživatelů </w:t>
      </w:r>
      <w:r w:rsidR="00DB4861">
        <w:t>platit za</w:t>
      </w:r>
      <w:r w:rsidRPr="00EB2612">
        <w:t xml:space="preserve"> online </w:t>
      </w:r>
      <w:r w:rsidR="00EF194E" w:rsidRPr="00EB2612">
        <w:t xml:space="preserve">a digitální služby se </w:t>
      </w:r>
      <w:r w:rsidR="00CD5C5C" w:rsidRPr="00EB2612">
        <w:t>zvyšuje</w:t>
      </w:r>
      <w:r w:rsidRPr="00EB2612">
        <w:t>. Z hlediska oblíbenosti digitálních služeb roste popularita poslechu online knihoven (stream), který</w:t>
      </w:r>
      <w:r w:rsidR="004702DC" w:rsidRPr="00EB2612">
        <w:t xml:space="preserve"> se v roce </w:t>
      </w:r>
      <w:r w:rsidR="00CB7D34" w:rsidRPr="00EB2612">
        <w:t>2019</w:t>
      </w:r>
      <w:r w:rsidRPr="00EB2612">
        <w:t xml:space="preserve"> postaral o </w:t>
      </w:r>
      <w:r w:rsidR="00A12B64">
        <w:t>36</w:t>
      </w:r>
      <w:r w:rsidRPr="00EB2612">
        <w:t xml:space="preserve"> %</w:t>
      </w:r>
      <w:r w:rsidR="004702DC" w:rsidRPr="00EB2612">
        <w:t xml:space="preserve"> celkových příjmů z hudebních nahrávek</w:t>
      </w:r>
      <w:r w:rsidR="00A12B64">
        <w:t xml:space="preserve"> ve výši 1,1 mld. Kč</w:t>
      </w:r>
      <w:r w:rsidRPr="00EB2612">
        <w:t>. Naopak oblíbenost staho</w:t>
      </w:r>
      <w:r w:rsidR="00B976FB" w:rsidRPr="00EB2612">
        <w:t>vání nahrávek</w:t>
      </w:r>
      <w:r w:rsidR="00130F4A" w:rsidRPr="00EB2612">
        <w:t xml:space="preserve"> (např. prostřednictvím služby </w:t>
      </w:r>
      <w:proofErr w:type="spellStart"/>
      <w:r w:rsidR="00130F4A" w:rsidRPr="00EB2612">
        <w:t>iTunes</w:t>
      </w:r>
      <w:proofErr w:type="spellEnd"/>
      <w:r w:rsidR="00130F4A" w:rsidRPr="00EB2612">
        <w:t>)</w:t>
      </w:r>
      <w:r w:rsidR="00656938" w:rsidRPr="00EB2612">
        <w:t xml:space="preserve"> v roce 201</w:t>
      </w:r>
      <w:r w:rsidR="00CB7D34" w:rsidRPr="00EB2612">
        <w:t>9</w:t>
      </w:r>
      <w:r w:rsidR="00DB4861">
        <w:t xml:space="preserve"> byla minimální a</w:t>
      </w:r>
      <w:r w:rsidR="00B976FB" w:rsidRPr="00EB2612">
        <w:t xml:space="preserve"> </w:t>
      </w:r>
      <w:r w:rsidR="00AB7963" w:rsidRPr="00EB2612">
        <w:t>tvořila pouhá</w:t>
      </w:r>
      <w:r w:rsidR="009D1443" w:rsidRPr="00EB2612">
        <w:t xml:space="preserve"> </w:t>
      </w:r>
      <w:r w:rsidR="00656938" w:rsidRPr="00EB2612">
        <w:t>3</w:t>
      </w:r>
      <w:r w:rsidR="00AB7963" w:rsidRPr="00EB2612">
        <w:t xml:space="preserve"> </w:t>
      </w:r>
      <w:r w:rsidR="009D1443" w:rsidRPr="00EB2612">
        <w:t xml:space="preserve">% </w:t>
      </w:r>
      <w:r w:rsidR="00AB7963" w:rsidRPr="00EB2612">
        <w:t>celkových prodejů</w:t>
      </w:r>
      <w:r w:rsidRPr="00EB2612">
        <w:t>.</w:t>
      </w:r>
      <w:r w:rsidR="00AB7963" w:rsidRPr="00EB2612">
        <w:t xml:space="preserve"> Z fyzických formá</w:t>
      </w:r>
      <w:r w:rsidR="00656938" w:rsidRPr="00EB2612">
        <w:t>t</w:t>
      </w:r>
      <w:r w:rsidR="00CB7D34" w:rsidRPr="00EB2612">
        <w:t>ů stále dominuje CD, nicméně 6</w:t>
      </w:r>
      <w:r w:rsidR="00AB7963" w:rsidRPr="00EB2612">
        <w:t>%</w:t>
      </w:r>
      <w:r w:rsidR="008979C4" w:rsidRPr="00EB2612">
        <w:t xml:space="preserve"> podíl</w:t>
      </w:r>
      <w:r w:rsidR="00AB7963" w:rsidRPr="00EB2612">
        <w:t xml:space="preserve"> </w:t>
      </w:r>
      <w:r w:rsidR="008979C4" w:rsidRPr="00EB2612">
        <w:t xml:space="preserve">vinylových desek </w:t>
      </w:r>
      <w:r w:rsidR="00AB7963" w:rsidRPr="00EB2612">
        <w:t>na c</w:t>
      </w:r>
      <w:r w:rsidR="008979C4" w:rsidRPr="00EB2612">
        <w:t>elkových příjmech hudebního trhu byl</w:t>
      </w:r>
      <w:r w:rsidR="00AB7963" w:rsidRPr="00EB2612">
        <w:t xml:space="preserve"> ještě před několika lety nepředstavitelný</w:t>
      </w:r>
      <w:r w:rsidR="008979C4" w:rsidRPr="00EB2612">
        <w:t xml:space="preserve"> a do budoucna lze očekávat další posílení pozice tohoto formátu</w:t>
      </w:r>
      <w:r w:rsidRPr="00EB2612">
        <w:t>.</w:t>
      </w:r>
    </w:p>
    <w:p w:rsidR="00BB64DB" w:rsidRPr="00EB2612" w:rsidRDefault="00BB64DB" w:rsidP="003A4800">
      <w:pPr>
        <w:pStyle w:val="Titulek"/>
        <w:keepNext/>
        <w:jc w:val="left"/>
        <w:rPr>
          <w:color w:val="auto"/>
          <w:sz w:val="22"/>
          <w:szCs w:val="22"/>
        </w:rPr>
      </w:pPr>
      <w:r w:rsidRPr="00EB2612">
        <w:rPr>
          <w:color w:val="auto"/>
          <w:sz w:val="22"/>
          <w:szCs w:val="22"/>
        </w:rPr>
        <w:t xml:space="preserve">Graf </w:t>
      </w:r>
      <w:r w:rsidR="00424B58">
        <w:rPr>
          <w:color w:val="auto"/>
          <w:sz w:val="22"/>
          <w:szCs w:val="22"/>
        </w:rPr>
        <w:t>42</w:t>
      </w:r>
      <w:r w:rsidRPr="00EB2612">
        <w:rPr>
          <w:color w:val="auto"/>
          <w:sz w:val="22"/>
          <w:szCs w:val="22"/>
        </w:rPr>
        <w:t xml:space="preserve"> </w:t>
      </w:r>
      <w:r w:rsidR="00FD1391" w:rsidRPr="00EB2612">
        <w:rPr>
          <w:b w:val="0"/>
          <w:color w:val="auto"/>
          <w:sz w:val="22"/>
          <w:szCs w:val="22"/>
        </w:rPr>
        <w:t xml:space="preserve">Podíl </w:t>
      </w:r>
      <w:r w:rsidR="008979C4" w:rsidRPr="00EB2612">
        <w:rPr>
          <w:b w:val="0"/>
          <w:color w:val="auto"/>
          <w:sz w:val="22"/>
          <w:szCs w:val="22"/>
        </w:rPr>
        <w:t xml:space="preserve">prodeje </w:t>
      </w:r>
      <w:r w:rsidR="00FD1391" w:rsidRPr="00EB2612">
        <w:rPr>
          <w:b w:val="0"/>
          <w:color w:val="auto"/>
          <w:sz w:val="22"/>
          <w:szCs w:val="22"/>
        </w:rPr>
        <w:t>jednotlivých formátů a práv k nahrávkám</w:t>
      </w:r>
      <w:r w:rsidRPr="00EB2612">
        <w:rPr>
          <w:b w:val="0"/>
          <w:color w:val="auto"/>
          <w:sz w:val="22"/>
          <w:szCs w:val="22"/>
        </w:rPr>
        <w:t xml:space="preserve"> na </w:t>
      </w:r>
      <w:r w:rsidR="004702DC" w:rsidRPr="00EB2612">
        <w:rPr>
          <w:b w:val="0"/>
          <w:color w:val="auto"/>
          <w:sz w:val="22"/>
          <w:szCs w:val="22"/>
        </w:rPr>
        <w:t>celkových příjmech</w:t>
      </w:r>
      <w:r w:rsidR="008979C4" w:rsidRPr="00EB2612">
        <w:rPr>
          <w:b w:val="0"/>
          <w:color w:val="auto"/>
          <w:sz w:val="22"/>
          <w:szCs w:val="22"/>
        </w:rPr>
        <w:t xml:space="preserve"> </w:t>
      </w:r>
      <w:r w:rsidR="00726F43">
        <w:rPr>
          <w:b w:val="0"/>
          <w:color w:val="auto"/>
          <w:sz w:val="22"/>
          <w:szCs w:val="22"/>
        </w:rPr>
        <w:t>z hudebních nahrávek</w:t>
      </w:r>
      <w:r w:rsidR="00145A10">
        <w:rPr>
          <w:b w:val="0"/>
          <w:color w:val="auto"/>
          <w:sz w:val="22"/>
          <w:szCs w:val="22"/>
        </w:rPr>
        <w:t xml:space="preserve"> </w:t>
      </w:r>
      <w:r w:rsidR="004702DC" w:rsidRPr="00EB2612">
        <w:rPr>
          <w:b w:val="0"/>
          <w:color w:val="auto"/>
          <w:sz w:val="22"/>
          <w:szCs w:val="22"/>
        </w:rPr>
        <w:t>v roce 201</w:t>
      </w:r>
      <w:r w:rsidR="00EA41D4" w:rsidRPr="00EB2612">
        <w:rPr>
          <w:b w:val="0"/>
          <w:color w:val="auto"/>
          <w:sz w:val="22"/>
          <w:szCs w:val="22"/>
        </w:rPr>
        <w:t>9</w:t>
      </w:r>
    </w:p>
    <w:p w:rsidR="00BB64DB" w:rsidRPr="00EB2612" w:rsidRDefault="00CB7D34" w:rsidP="00BB64DB">
      <w:pPr>
        <w:keepNext/>
        <w:jc w:val="center"/>
      </w:pPr>
      <w:r w:rsidRPr="00EB2612">
        <w:rPr>
          <w:noProof/>
        </w:rPr>
        <w:drawing>
          <wp:inline distT="0" distB="0" distL="0" distR="0">
            <wp:extent cx="4181475" cy="1809750"/>
            <wp:effectExtent l="0" t="0" r="0" b="0"/>
            <wp:docPr id="132"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B64DB" w:rsidRPr="00EB2612" w:rsidRDefault="00564762" w:rsidP="00BB64DB">
      <w:pPr>
        <w:pStyle w:val="Titulek"/>
        <w:rPr>
          <w:b w:val="0"/>
          <w:color w:val="auto"/>
          <w:sz w:val="22"/>
          <w:szCs w:val="22"/>
        </w:rPr>
      </w:pPr>
      <w:r w:rsidRPr="00EB2612">
        <w:rPr>
          <w:b w:val="0"/>
          <w:color w:val="auto"/>
          <w:sz w:val="22"/>
          <w:szCs w:val="22"/>
        </w:rPr>
        <w:t>Zdroj: ČNS</w:t>
      </w:r>
      <w:r w:rsidR="00BB64DB" w:rsidRPr="00EB2612">
        <w:rPr>
          <w:b w:val="0"/>
          <w:color w:val="auto"/>
          <w:sz w:val="22"/>
          <w:szCs w:val="22"/>
        </w:rPr>
        <w:t xml:space="preserve"> IFPI</w:t>
      </w:r>
    </w:p>
    <w:p w:rsidR="00C20932" w:rsidRPr="00EB2612" w:rsidRDefault="00C20932" w:rsidP="00C20932">
      <w:pPr>
        <w:rPr>
          <w:lang w:eastAsia="en-US"/>
        </w:rPr>
      </w:pPr>
      <w:r w:rsidRPr="00EB2612">
        <w:rPr>
          <w:lang w:eastAsia="en-US"/>
        </w:rPr>
        <w:t>To, že čeští posluchači dávají přednost digitálním formátům před těmi fyzickými</w:t>
      </w:r>
      <w:r w:rsidR="0065040F" w:rsidRPr="00EB2612">
        <w:rPr>
          <w:lang w:eastAsia="en-US"/>
        </w:rPr>
        <w:t>,</w:t>
      </w:r>
      <w:r w:rsidRPr="00EB2612">
        <w:rPr>
          <w:lang w:eastAsia="en-US"/>
        </w:rPr>
        <w:t xml:space="preserve"> dokládá časová řada v</w:t>
      </w:r>
      <w:r w:rsidR="003A4800" w:rsidRPr="00EB2612">
        <w:rPr>
          <w:lang w:eastAsia="en-US"/>
        </w:rPr>
        <w:t> </w:t>
      </w:r>
      <w:r w:rsidRPr="00EB2612">
        <w:rPr>
          <w:lang w:eastAsia="en-US"/>
        </w:rPr>
        <w:t>G</w:t>
      </w:r>
      <w:r w:rsidR="0065040F" w:rsidRPr="00EB2612">
        <w:rPr>
          <w:lang w:eastAsia="en-US"/>
        </w:rPr>
        <w:t>r</w:t>
      </w:r>
      <w:r w:rsidR="00CD5C5C" w:rsidRPr="00EB2612">
        <w:rPr>
          <w:lang w:eastAsia="en-US"/>
        </w:rPr>
        <w:t>afu</w:t>
      </w:r>
      <w:r w:rsidR="003A4800" w:rsidRPr="00EB2612">
        <w:rPr>
          <w:lang w:eastAsia="en-US"/>
        </w:rPr>
        <w:t> </w:t>
      </w:r>
      <w:r w:rsidR="00FF526E">
        <w:rPr>
          <w:lang w:eastAsia="en-US"/>
        </w:rPr>
        <w:t>43</w:t>
      </w:r>
      <w:r w:rsidRPr="00EB2612">
        <w:rPr>
          <w:lang w:eastAsia="en-US"/>
        </w:rPr>
        <w:t>. P</w:t>
      </w:r>
      <w:r w:rsidR="00141308" w:rsidRPr="00EB2612">
        <w:rPr>
          <w:lang w:eastAsia="en-US"/>
        </w:rPr>
        <w:t>odle odhadů ČNS IFPI v roce 2019</w:t>
      </w:r>
      <w:r w:rsidRPr="00EB2612">
        <w:rPr>
          <w:lang w:eastAsia="en-US"/>
        </w:rPr>
        <w:t xml:space="preserve"> příjmy z digitálních nahrávek </w:t>
      </w:r>
      <w:r w:rsidR="00656938" w:rsidRPr="00EB2612">
        <w:rPr>
          <w:lang w:eastAsia="en-US"/>
        </w:rPr>
        <w:t>již</w:t>
      </w:r>
      <w:r w:rsidR="00141308" w:rsidRPr="00EB2612">
        <w:rPr>
          <w:lang w:eastAsia="en-US"/>
        </w:rPr>
        <w:t xml:space="preserve"> potřetí</w:t>
      </w:r>
      <w:r w:rsidRPr="00EB2612">
        <w:rPr>
          <w:lang w:eastAsia="en-US"/>
        </w:rPr>
        <w:t xml:space="preserve"> </w:t>
      </w:r>
      <w:r w:rsidR="00141308" w:rsidRPr="00EB2612">
        <w:rPr>
          <w:lang w:eastAsia="en-US"/>
        </w:rPr>
        <w:t xml:space="preserve">překonaly </w:t>
      </w:r>
      <w:r w:rsidRPr="00EB2612">
        <w:rPr>
          <w:lang w:eastAsia="en-US"/>
        </w:rPr>
        <w:t xml:space="preserve">příjmy z fyzických formátů a od roku 2013 jejich podíl vzrostl </w:t>
      </w:r>
      <w:r w:rsidR="00656938" w:rsidRPr="00EB2612">
        <w:rPr>
          <w:lang w:eastAsia="en-US"/>
        </w:rPr>
        <w:t>více než</w:t>
      </w:r>
      <w:r w:rsidRPr="00EB2612">
        <w:rPr>
          <w:lang w:eastAsia="en-US"/>
        </w:rPr>
        <w:t xml:space="preserve"> dvojnásobně. Jak již bylo zmíněno výše, jedná se o odhad příjmů v celém hudebním trhu </w:t>
      </w:r>
      <w:r w:rsidR="001132C6" w:rsidRPr="00EB2612">
        <w:rPr>
          <w:lang w:eastAsia="en-US"/>
        </w:rPr>
        <w:t>zahrnující</w:t>
      </w:r>
      <w:r w:rsidRPr="00EB2612">
        <w:rPr>
          <w:lang w:eastAsia="en-US"/>
        </w:rPr>
        <w:t xml:space="preserve"> data od členských společností IFPI, spřízněných organizací a </w:t>
      </w:r>
      <w:r w:rsidR="003F593B" w:rsidRPr="00EB2612">
        <w:rPr>
          <w:lang w:eastAsia="en-US"/>
        </w:rPr>
        <w:t>dopočtená</w:t>
      </w:r>
      <w:r w:rsidR="001132C6" w:rsidRPr="00EB2612">
        <w:rPr>
          <w:lang w:eastAsia="en-US"/>
        </w:rPr>
        <w:t xml:space="preserve"> data chybějící</w:t>
      </w:r>
      <w:r w:rsidR="00CD5C5C" w:rsidRPr="00EB2612">
        <w:rPr>
          <w:lang w:eastAsia="en-US"/>
        </w:rPr>
        <w:t>ch subjektů.</w:t>
      </w:r>
    </w:p>
    <w:p w:rsidR="00BB64DB" w:rsidRPr="00EB2612" w:rsidRDefault="00BB64DB" w:rsidP="00BB64DB">
      <w:pPr>
        <w:pStyle w:val="Titulek"/>
        <w:keepNext/>
        <w:rPr>
          <w:b w:val="0"/>
          <w:color w:val="auto"/>
          <w:sz w:val="22"/>
          <w:szCs w:val="22"/>
        </w:rPr>
      </w:pPr>
      <w:r w:rsidRPr="00EB2612">
        <w:rPr>
          <w:color w:val="auto"/>
          <w:sz w:val="22"/>
          <w:szCs w:val="22"/>
        </w:rPr>
        <w:lastRenderedPageBreak/>
        <w:t xml:space="preserve">Graf </w:t>
      </w:r>
      <w:r w:rsidR="00424B58">
        <w:rPr>
          <w:color w:val="auto"/>
          <w:sz w:val="22"/>
          <w:szCs w:val="22"/>
        </w:rPr>
        <w:t>43</w:t>
      </w:r>
      <w:r w:rsidRPr="00EB2612">
        <w:rPr>
          <w:color w:val="auto"/>
          <w:sz w:val="22"/>
          <w:szCs w:val="22"/>
        </w:rPr>
        <w:t xml:space="preserve"> </w:t>
      </w:r>
      <w:r w:rsidR="0065040F" w:rsidRPr="00EB2612">
        <w:rPr>
          <w:b w:val="0"/>
          <w:color w:val="auto"/>
          <w:sz w:val="22"/>
          <w:szCs w:val="22"/>
        </w:rPr>
        <w:t xml:space="preserve">Podíl </w:t>
      </w:r>
      <w:r w:rsidR="00C20932" w:rsidRPr="00EB2612">
        <w:rPr>
          <w:b w:val="0"/>
          <w:color w:val="auto"/>
          <w:sz w:val="22"/>
          <w:szCs w:val="22"/>
        </w:rPr>
        <w:t>digitálních a fyzických nosičů</w:t>
      </w:r>
      <w:r w:rsidR="0065040F" w:rsidRPr="00EB2612">
        <w:rPr>
          <w:b w:val="0"/>
          <w:color w:val="auto"/>
          <w:sz w:val="22"/>
          <w:szCs w:val="22"/>
        </w:rPr>
        <w:t xml:space="preserve"> na příjmech z prodeje hudebních nahrávek</w:t>
      </w:r>
      <w:r w:rsidR="00CD5C5C" w:rsidRPr="00EB2612">
        <w:rPr>
          <w:b w:val="0"/>
          <w:color w:val="auto"/>
          <w:sz w:val="22"/>
          <w:szCs w:val="22"/>
        </w:rPr>
        <w:t xml:space="preserve"> (odhad)</w:t>
      </w:r>
    </w:p>
    <w:p w:rsidR="00BB64DB" w:rsidRPr="00EB2612" w:rsidRDefault="00141308" w:rsidP="00CD5C5C">
      <w:pPr>
        <w:jc w:val="center"/>
        <w:rPr>
          <w:lang w:eastAsia="en-US"/>
        </w:rPr>
      </w:pPr>
      <w:r w:rsidRPr="00EB2612">
        <w:rPr>
          <w:noProof/>
        </w:rPr>
        <w:drawing>
          <wp:inline distT="0" distB="0" distL="0" distR="0">
            <wp:extent cx="5476875" cy="1609725"/>
            <wp:effectExtent l="0" t="0" r="0" b="0"/>
            <wp:docPr id="13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141308" w:rsidRPr="00EB2612" w:rsidRDefault="00BB64DB" w:rsidP="00141308">
      <w:pPr>
        <w:pStyle w:val="Titulek"/>
        <w:rPr>
          <w:b w:val="0"/>
          <w:color w:val="auto"/>
          <w:sz w:val="22"/>
          <w:szCs w:val="22"/>
        </w:rPr>
      </w:pPr>
      <w:r w:rsidRPr="00EB2612">
        <w:rPr>
          <w:b w:val="0"/>
          <w:color w:val="auto"/>
          <w:sz w:val="22"/>
          <w:szCs w:val="22"/>
        </w:rPr>
        <w:t xml:space="preserve">Zdroj: </w:t>
      </w:r>
      <w:r w:rsidR="00564762" w:rsidRPr="00EB2612">
        <w:rPr>
          <w:b w:val="0"/>
          <w:color w:val="auto"/>
          <w:sz w:val="22"/>
          <w:szCs w:val="22"/>
        </w:rPr>
        <w:t>ČNS IFPI</w:t>
      </w:r>
    </w:p>
    <w:p w:rsidR="00427534" w:rsidRPr="00EB2612" w:rsidRDefault="00427534" w:rsidP="00EC5902">
      <w:r w:rsidRPr="00EB2612">
        <w:t xml:space="preserve">I přesto, že příjmy z placených </w:t>
      </w:r>
      <w:r w:rsidR="00356C82" w:rsidRPr="00EB2612">
        <w:t xml:space="preserve">streamingových platforem rostou, má jejich využití mezi českými posluchači </w:t>
      </w:r>
      <w:r w:rsidR="00EA41D4" w:rsidRPr="00EB2612">
        <w:t xml:space="preserve">zatím </w:t>
      </w:r>
      <w:r w:rsidR="00356C82" w:rsidRPr="00EB2612">
        <w:t xml:space="preserve">velké rezervy. Zatímco </w:t>
      </w:r>
      <w:r w:rsidR="00EA41D4" w:rsidRPr="00EB2612">
        <w:t>hudbu</w:t>
      </w:r>
      <w:r w:rsidR="00356C82" w:rsidRPr="00EB2612">
        <w:t xml:space="preserve"> přes internet poslo</w:t>
      </w:r>
      <w:r w:rsidR="00EA41D4" w:rsidRPr="00EB2612">
        <w:t>u</w:t>
      </w:r>
      <w:r w:rsidR="00356C82" w:rsidRPr="00EB2612">
        <w:t>chalo v roce 2019</w:t>
      </w:r>
      <w:r w:rsidR="00EA41D4" w:rsidRPr="00EB2612">
        <w:t xml:space="preserve"> přibližně 44</w:t>
      </w:r>
      <w:r w:rsidR="00356C82" w:rsidRPr="00EB2612">
        <w:t xml:space="preserve"> </w:t>
      </w:r>
      <w:r w:rsidR="00EA41D4" w:rsidRPr="00EB2612">
        <w:t>% osob starších 16 let, za poslech přes placené stránky či aplikace zaplatilo pouze 3 % osob ve sledované kategorii. Některé streamingové služby (jako např. Spotify či YouTube Music) jsou však dostupné uživatelům také zdarma přerušov</w:t>
      </w:r>
      <w:r w:rsidR="004D7235" w:rsidRPr="00EB2612">
        <w:t>ané</w:t>
      </w:r>
      <w:r w:rsidR="00EA41D4" w:rsidRPr="00EB2612">
        <w:t xml:space="preserve"> obchodním sdělením.</w:t>
      </w:r>
      <w:r w:rsidR="004D7235" w:rsidRPr="00EB2612">
        <w:t xml:space="preserve"> Nejvyšší podíl (89 %) posluchačů online hudby je mezi mladými lidmi ve věku 16 – 24 let a nejvyšší podíl (9 %) uživatelů placených služeb najdeme ve věkové kategorii 25 – 34 let. Mezi staršími lidmi nad 65 let je pouze 13 % posluchačů hudby</w:t>
      </w:r>
      <w:r w:rsidR="00EF2525" w:rsidRPr="00EB2612">
        <w:t xml:space="preserve"> online</w:t>
      </w:r>
      <w:r w:rsidR="004D7235" w:rsidRPr="00EB2612">
        <w:t xml:space="preserve"> a podíl uživatelů placených služeb se blíží nule. </w:t>
      </w:r>
    </w:p>
    <w:p w:rsidR="00EA41D4" w:rsidRPr="00EB2612" w:rsidRDefault="00424B58" w:rsidP="00EA41D4">
      <w:pPr>
        <w:pStyle w:val="Titulek"/>
        <w:keepNext/>
        <w:rPr>
          <w:color w:val="auto"/>
          <w:sz w:val="22"/>
          <w:szCs w:val="22"/>
        </w:rPr>
      </w:pPr>
      <w:r w:rsidRPr="00424B58">
        <w:rPr>
          <w:color w:val="auto"/>
          <w:sz w:val="22"/>
          <w:szCs w:val="22"/>
        </w:rPr>
        <w:t xml:space="preserve">Graf </w:t>
      </w:r>
      <w:r>
        <w:rPr>
          <w:color w:val="auto"/>
          <w:sz w:val="22"/>
          <w:szCs w:val="22"/>
        </w:rPr>
        <w:t>44</w:t>
      </w:r>
      <w:r w:rsidR="00EF2525" w:rsidRPr="00EB2612">
        <w:rPr>
          <w:color w:val="auto"/>
          <w:sz w:val="22"/>
          <w:szCs w:val="22"/>
        </w:rPr>
        <w:t xml:space="preserve"> </w:t>
      </w:r>
      <w:r w:rsidR="00EF2525" w:rsidRPr="00EB2612">
        <w:rPr>
          <w:b w:val="0"/>
          <w:color w:val="auto"/>
          <w:sz w:val="22"/>
          <w:szCs w:val="22"/>
        </w:rPr>
        <w:t xml:space="preserve">Podíl osob </w:t>
      </w:r>
      <w:r>
        <w:rPr>
          <w:b w:val="0"/>
          <w:color w:val="auto"/>
          <w:sz w:val="22"/>
          <w:szCs w:val="22"/>
        </w:rPr>
        <w:t xml:space="preserve">starších 16 let využívajících internet k </w:t>
      </w:r>
      <w:r w:rsidR="003F593B" w:rsidRPr="00EB2612">
        <w:rPr>
          <w:b w:val="0"/>
          <w:color w:val="auto"/>
          <w:sz w:val="22"/>
          <w:szCs w:val="22"/>
        </w:rPr>
        <w:t>poslechu</w:t>
      </w:r>
      <w:r>
        <w:rPr>
          <w:b w:val="0"/>
          <w:color w:val="auto"/>
          <w:sz w:val="22"/>
          <w:szCs w:val="22"/>
        </w:rPr>
        <w:t xml:space="preserve"> hudby</w:t>
      </w:r>
      <w:r w:rsidR="00EF2525" w:rsidRPr="00EB2612">
        <w:rPr>
          <w:b w:val="0"/>
          <w:color w:val="auto"/>
          <w:sz w:val="22"/>
          <w:szCs w:val="22"/>
        </w:rPr>
        <w:t xml:space="preserve"> v roce 2019</w:t>
      </w:r>
      <w:r>
        <w:rPr>
          <w:b w:val="0"/>
          <w:color w:val="auto"/>
          <w:sz w:val="22"/>
          <w:szCs w:val="22"/>
        </w:rPr>
        <w:t>,</w:t>
      </w:r>
      <w:r w:rsidR="00EF2525" w:rsidRPr="00EB2612">
        <w:rPr>
          <w:b w:val="0"/>
          <w:color w:val="auto"/>
          <w:sz w:val="22"/>
          <w:szCs w:val="22"/>
        </w:rPr>
        <w:t xml:space="preserve"> podle věkových kategorií</w:t>
      </w:r>
    </w:p>
    <w:p w:rsidR="00EF2525" w:rsidRPr="00EB2612" w:rsidRDefault="00427534" w:rsidP="00EF2525">
      <w:pPr>
        <w:pStyle w:val="Titulek"/>
        <w:rPr>
          <w:b w:val="0"/>
          <w:color w:val="auto"/>
          <w:sz w:val="22"/>
          <w:szCs w:val="22"/>
        </w:rPr>
      </w:pPr>
      <w:r w:rsidRPr="00EB2612">
        <w:rPr>
          <w:b w:val="0"/>
          <w:noProof/>
          <w:color w:val="auto"/>
          <w:sz w:val="22"/>
          <w:szCs w:val="22"/>
          <w:lang w:eastAsia="cs-CZ"/>
        </w:rPr>
        <w:drawing>
          <wp:inline distT="0" distB="0" distL="0" distR="0">
            <wp:extent cx="6124575" cy="2247900"/>
            <wp:effectExtent l="0" t="0" r="0" b="0"/>
            <wp:docPr id="144"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00EA41D4" w:rsidRPr="00EB2612">
        <w:rPr>
          <w:b w:val="0"/>
          <w:color w:val="auto"/>
          <w:sz w:val="22"/>
          <w:szCs w:val="22"/>
        </w:rPr>
        <w:t>Zdroj:</w:t>
      </w:r>
      <w:r w:rsidR="00EF2525" w:rsidRPr="00EB2612">
        <w:rPr>
          <w:b w:val="0"/>
          <w:color w:val="auto"/>
          <w:sz w:val="22"/>
          <w:szCs w:val="22"/>
        </w:rPr>
        <w:t xml:space="preserve"> Výběrové šetření o informačních a komunikačních technologiích, ČSÚ</w:t>
      </w:r>
    </w:p>
    <w:p w:rsidR="00CD5C5C" w:rsidRPr="00EB2612" w:rsidRDefault="00CD5C5C" w:rsidP="005A19D9">
      <w:pPr>
        <w:rPr>
          <w:sz w:val="22"/>
          <w:szCs w:val="22"/>
        </w:rPr>
      </w:pPr>
      <w:r w:rsidRPr="00EB2612">
        <w:br w:type="page"/>
      </w:r>
    </w:p>
    <w:p w:rsidR="00BB64DB" w:rsidRPr="00EB2612" w:rsidRDefault="00BB64DB" w:rsidP="00694914">
      <w:pPr>
        <w:pStyle w:val="Nadpis1"/>
        <w:numPr>
          <w:ilvl w:val="0"/>
          <w:numId w:val="17"/>
        </w:numPr>
      </w:pPr>
      <w:bookmarkStart w:id="88" w:name="_Toc430189807"/>
      <w:bookmarkStart w:id="89" w:name="_Toc55384438"/>
      <w:r w:rsidRPr="00EB2612">
        <w:lastRenderedPageBreak/>
        <w:t>ROZHLAS A TELEVIZE</w:t>
      </w:r>
      <w:bookmarkEnd w:id="88"/>
      <w:bookmarkEnd w:id="89"/>
    </w:p>
    <w:p w:rsidR="00A635F9" w:rsidRPr="00EB2612" w:rsidRDefault="00A635F9" w:rsidP="00A635F9">
      <w:r w:rsidRPr="00EB2612">
        <w:t>Rozhlasové a televizní vysílání v druhé dekádě nového milénia již není limitované vlastnictvím klasického přijímače (televize či rádia) a stále významnější roli hrají jiná technologická zařízení (počítač, tablet, chytrý telefon), přes která mohou diváci prostřednictvím internetu sledovat či poslouchat živé vysílání. Díky existenci hudebních a audiovizuálních katalogů není divák odkázán pouze na poslech či sledování obsahu v reálném čase, ale může si vybrat z televizní či hudební nabídky obsah, který chce ve zvolenou dobu přehrát. Tyto služby poskytují buďto přímo provozovatelé televizního a rozhlasového vysílání, nebo samostatní tvůrci hudebních či audiovizuálních katalogů (např. Netflix, HBO GO). Samozřejmostí se v průběhu minulých let stal také digitální přenos televizního vysílání.</w:t>
      </w:r>
    </w:p>
    <w:p w:rsidR="00BB64DB" w:rsidRPr="00EB2612" w:rsidRDefault="00A635F9" w:rsidP="00A635F9">
      <w:pPr>
        <w:ind w:firstLine="708"/>
      </w:pPr>
      <w:r w:rsidRPr="00EB2612">
        <w:t xml:space="preserve">I přes nárůst obliby online </w:t>
      </w:r>
      <w:r w:rsidR="00EB2612">
        <w:t>poslechu</w:t>
      </w:r>
      <w:r w:rsidRPr="00EB2612">
        <w:t xml:space="preserve"> rádia a </w:t>
      </w:r>
      <w:r w:rsidR="00EB2612">
        <w:t xml:space="preserve">sledování </w:t>
      </w:r>
      <w:r w:rsidRPr="00EB2612">
        <w:t>televize a vznik nových hudebních a</w:t>
      </w:r>
      <w:r w:rsidR="00362010">
        <w:t> </w:t>
      </w:r>
      <w:r w:rsidRPr="00EB2612">
        <w:t>audiovizuálních katalogů klesá zájem o provozování klasického vysílání prostřednictvím vysílačů pozvolna. Počet provozovatelů rozhlasového i televizního vysílání dle počtu udělených licencí v posledních deseti letech klesal jen mírně a v roce 2019 dosahoval výše 130 provozovatelů televizního vysílání a 48 provozovatelů rozhlasového vysílání. Nutno podotknout, že počet provozovatelů televizního vysílání zahrnuje ve velké míře regionální „infokanály“, které často omezují své vysílání na opakující se audiovizuální smyčku, a že licence jsou udělované také provozovatelům zahraničního vysílání sídlícím na území ČR. Struktura vysílání bude podrobněji popsaná v kapitolách věnujících se rozhlasu a televizi jednotlivě.</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424B58">
        <w:rPr>
          <w:color w:val="auto"/>
          <w:sz w:val="22"/>
          <w:szCs w:val="22"/>
        </w:rPr>
        <w:t>45</w:t>
      </w:r>
      <w:r w:rsidRPr="00EB2612">
        <w:rPr>
          <w:color w:val="auto"/>
          <w:sz w:val="22"/>
          <w:szCs w:val="22"/>
        </w:rPr>
        <w:t xml:space="preserve"> </w:t>
      </w:r>
      <w:r w:rsidRPr="00EB2612">
        <w:rPr>
          <w:b w:val="0"/>
          <w:color w:val="auto"/>
          <w:sz w:val="22"/>
          <w:szCs w:val="22"/>
        </w:rPr>
        <w:t>Počet provozovatelů rozhlasového a televizního vysílání</w:t>
      </w:r>
      <w:r w:rsidR="00A635F9" w:rsidRPr="00EB2612">
        <w:rPr>
          <w:b w:val="0"/>
          <w:color w:val="auto"/>
          <w:sz w:val="22"/>
          <w:szCs w:val="22"/>
        </w:rPr>
        <w:t xml:space="preserve"> v ČR</w:t>
      </w:r>
    </w:p>
    <w:p w:rsidR="00BB64DB" w:rsidRPr="00EB2612" w:rsidRDefault="005F646F" w:rsidP="00BB64DB">
      <w:pPr>
        <w:keepNext/>
      </w:pPr>
      <w:r w:rsidRPr="00EB2612">
        <w:rPr>
          <w:noProof/>
        </w:rPr>
        <w:drawing>
          <wp:inline distT="0" distB="0" distL="0" distR="0">
            <wp:extent cx="6124575" cy="2047875"/>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Zdroj: R</w:t>
      </w:r>
      <w:r w:rsidR="003F593B">
        <w:rPr>
          <w:b w:val="0"/>
          <w:color w:val="auto"/>
          <w:sz w:val="22"/>
          <w:szCs w:val="22"/>
        </w:rPr>
        <w:t>ada pro rozhlasové a televizní vysílání</w:t>
      </w:r>
    </w:p>
    <w:p w:rsidR="001275BC" w:rsidRPr="00EB2612" w:rsidRDefault="00BB64DB" w:rsidP="00BB64DB">
      <w:r w:rsidRPr="00EB2612">
        <w:t>Z hlediska struktury trhu lze dle platných zákonů</w:t>
      </w:r>
      <w:r w:rsidRPr="00EB2612">
        <w:rPr>
          <w:rStyle w:val="Znakapoznpodarou"/>
        </w:rPr>
        <w:footnoteReference w:id="8"/>
      </w:r>
      <w:r w:rsidRPr="00EB2612">
        <w:t xml:space="preserve"> členit provozovatele rozhlasového a televizního vysílání na provozovatele veřejnoprávního vysílání a na soukromé provozovatele, kteří tuto činnost vykonávají na základě licence </w:t>
      </w:r>
      <w:r w:rsidR="009D29C0" w:rsidRPr="00EB2612">
        <w:t>(</w:t>
      </w:r>
      <w:r w:rsidRPr="00EB2612">
        <w:t>či registrace</w:t>
      </w:r>
      <w:r w:rsidR="009D29C0" w:rsidRPr="00EB2612">
        <w:t xml:space="preserve"> v případě převzatého vysílání)</w:t>
      </w:r>
      <w:r w:rsidRPr="00EB2612">
        <w:t xml:space="preserve">. Dále je možné rozlišovat jednotlivé provozovatele podle rozsahu jejich pokrytí či dle programového zařazení. Při zkoumání ekonomických ukazatelů se budou lišit veřejnoprávní a soukromí </w:t>
      </w:r>
      <w:r w:rsidR="009D29C0" w:rsidRPr="00EB2612">
        <w:t>provozovatelé</w:t>
      </w:r>
      <w:r w:rsidRPr="00EB2612">
        <w:t xml:space="preserve"> zejména ve struktuře financování. Zatímco</w:t>
      </w:r>
      <w:r w:rsidR="00220644" w:rsidRPr="00EB2612">
        <w:t> </w:t>
      </w:r>
      <w:r w:rsidRPr="00EB2612">
        <w:t xml:space="preserve">důležitý zdroj příjmu provozovatelů veřejnoprávního vysílání tvoří koncesionářské poplatky, </w:t>
      </w:r>
      <w:r w:rsidRPr="00EB2612">
        <w:lastRenderedPageBreak/>
        <w:t>soukromí provozovatelé jsou odkázán</w:t>
      </w:r>
      <w:r w:rsidR="00927143" w:rsidRPr="00EB2612">
        <w:t>i</w:t>
      </w:r>
      <w:r w:rsidRPr="00EB2612">
        <w:t xml:space="preserve"> na příjmy z vlastní podnikatelské činnosti a to zejména na pro</w:t>
      </w:r>
      <w:r w:rsidR="00430E4E" w:rsidRPr="00EB2612">
        <w:t>dej reklamního času (</w:t>
      </w:r>
      <w:r w:rsidR="00841A5E" w:rsidRPr="00EB2612">
        <w:t>Křeček, 2015</w:t>
      </w:r>
      <w:r w:rsidRPr="00EB2612">
        <w:t>).</w:t>
      </w:r>
    </w:p>
    <w:p w:rsidR="00354201" w:rsidRPr="00EB2612" w:rsidRDefault="00BB64DB" w:rsidP="00471102">
      <w:pPr>
        <w:ind w:firstLine="708"/>
      </w:pPr>
      <w:r w:rsidRPr="00EB2612">
        <w:t xml:space="preserve">Údaje o příjmech a výdajích stejně jako o počtu zaměstnanců použité v rámci této analýzy pochází z šetření ČSÚ </w:t>
      </w:r>
      <w:r w:rsidR="00D45C2E" w:rsidRPr="00EB2612">
        <w:t>Kult 6-01</w:t>
      </w:r>
      <w:r w:rsidRPr="00EB2612">
        <w:t>, které je pro</w:t>
      </w:r>
      <w:r w:rsidR="00354201" w:rsidRPr="00EB2612">
        <w:t>váděné vyčerpávajícím zjišťováním. Lze tedy předpokládat, že takto získané údaje poskytují pro potřeby této publikace podrobnější vhled než v ostatních kapitolách použitá data Podnikové strukturální statistiky.</w:t>
      </w:r>
      <w:r w:rsidR="001275BC" w:rsidRPr="00EB2612">
        <w:t xml:space="preserve"> Šetření navíc prošlo v posledních letech úpravami v</w:t>
      </w:r>
      <w:r w:rsidR="00AB2949" w:rsidRPr="00EB2612">
        <w:t> souladu s potřebami uživatelů d</w:t>
      </w:r>
      <w:r w:rsidR="001275BC" w:rsidRPr="00EB2612">
        <w:t>at a současnými trendy v audiovizuálním a mediálním sektoru. Více prostoru získaly hudební pořady v rozhlasovém vysílání, které jsou nově členěny podle období vzniku nahrávky a státní příslušnosti interpreta. Dále byly ve zpracovatelském roce 2018 do šetření poprvé zahrnuty údaje o poskytovatelí</w:t>
      </w:r>
      <w:r w:rsidR="00AB2949" w:rsidRPr="00EB2612">
        <w:t>ch</w:t>
      </w:r>
      <w:r w:rsidR="00770610" w:rsidRPr="00EB2612">
        <w:t xml:space="preserve"> online katalogů pořadů.</w:t>
      </w:r>
    </w:p>
    <w:p w:rsidR="009E51E5" w:rsidRPr="00EB2612" w:rsidRDefault="00BB64DB" w:rsidP="00BB64DB">
      <w:pPr>
        <w:ind w:firstLine="708"/>
      </w:pPr>
      <w:r w:rsidRPr="00EB2612">
        <w:t xml:space="preserve">Výše výdajů domácností na služby a produkty rozhlasového a televizního vysílání je </w:t>
      </w:r>
      <w:r w:rsidR="00AB2949" w:rsidRPr="00EB2612">
        <w:t>v</w:t>
      </w:r>
      <w:r w:rsidRPr="00EB2612">
        <w:t xml:space="preserve">e velké míře ovlivněna výší koncesionářských poplatků. Ty </w:t>
      </w:r>
      <w:r w:rsidR="00927143" w:rsidRPr="00EB2612">
        <w:t xml:space="preserve">však </w:t>
      </w:r>
      <w:r w:rsidRPr="00EB2612">
        <w:t xml:space="preserve">ve struktuře výdajů domácností </w:t>
      </w:r>
      <w:r w:rsidR="00AB2949" w:rsidRPr="00EB2612">
        <w:t xml:space="preserve">na rozhlas a televizi </w:t>
      </w:r>
      <w:r w:rsidRPr="00EB2612">
        <w:t>v posledních letech již netvoří většinový</w:t>
      </w:r>
      <w:r w:rsidR="00FB03D2" w:rsidRPr="00EB2612">
        <w:t xml:space="preserve"> podíl. V roce 2019</w:t>
      </w:r>
      <w:r w:rsidRPr="00EB2612">
        <w:t xml:space="preserve"> dosahovaly výdaje domácností </w:t>
      </w:r>
      <w:r w:rsidR="009D29C0" w:rsidRPr="00EB2612">
        <w:t>na rozhlas a</w:t>
      </w:r>
      <w:r w:rsidR="00471102" w:rsidRPr="00EB2612">
        <w:t> </w:t>
      </w:r>
      <w:r w:rsidR="009D29C0" w:rsidRPr="00EB2612">
        <w:t xml:space="preserve">televizi výše </w:t>
      </w:r>
      <w:r w:rsidR="00FB03D2" w:rsidRPr="00EB2612">
        <w:t>22,5</w:t>
      </w:r>
      <w:r w:rsidR="009D29C0" w:rsidRPr="00EB2612">
        <w:t xml:space="preserve"> mld. Kč, přičemž </w:t>
      </w:r>
      <w:r w:rsidRPr="00EB2612">
        <w:t>poplatky za rozhlasové a televizní vysílání tvořily dle dostupných ú</w:t>
      </w:r>
      <w:r w:rsidR="00B02802" w:rsidRPr="00EB2612">
        <w:t>dajů</w:t>
      </w:r>
      <w:r w:rsidR="00735F55" w:rsidRPr="00EB2612">
        <w:t xml:space="preserve"> </w:t>
      </w:r>
      <w:r w:rsidR="00FB03D2" w:rsidRPr="00EB2612">
        <w:t>7,1</w:t>
      </w:r>
      <w:r w:rsidRPr="00EB2612">
        <w:t xml:space="preserve"> mld. Kč</w:t>
      </w:r>
      <w:r w:rsidR="00927143" w:rsidRPr="00EB2612">
        <w:t xml:space="preserve"> z této částky</w:t>
      </w:r>
      <w:r w:rsidRPr="00EB2612">
        <w:t>. Přesná struktura výdajů domácností není k dispozici, lze však předpokládat, že zbylé výdaje tvoří z velké části výdaje za služby zprostředkovatelům televizního a rozhlasového vysílání</w:t>
      </w:r>
      <w:r w:rsidR="00D42E39" w:rsidRPr="00EB2612">
        <w:t xml:space="preserve"> a</w:t>
      </w:r>
      <w:r w:rsidR="00362010">
        <w:t> </w:t>
      </w:r>
      <w:r w:rsidR="00D42E39" w:rsidRPr="00EB2612">
        <w:t>předplatné internetových katalogů pořadů</w:t>
      </w:r>
      <w:r w:rsidRPr="00EB2612">
        <w:t>.</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424B58">
        <w:rPr>
          <w:color w:val="auto"/>
          <w:sz w:val="22"/>
          <w:szCs w:val="22"/>
        </w:rPr>
        <w:t>46</w:t>
      </w:r>
      <w:r w:rsidRPr="00EB2612">
        <w:rPr>
          <w:color w:val="auto"/>
          <w:sz w:val="22"/>
          <w:szCs w:val="22"/>
        </w:rPr>
        <w:t xml:space="preserve"> </w:t>
      </w:r>
      <w:r w:rsidRPr="00EB2612">
        <w:rPr>
          <w:b w:val="0"/>
          <w:color w:val="auto"/>
          <w:sz w:val="22"/>
          <w:szCs w:val="22"/>
        </w:rPr>
        <w:t xml:space="preserve">Výdaje domácností na služby spojené s rozhlasovým a televizním vysíláním </w:t>
      </w:r>
      <w:r w:rsidR="001B6DBF" w:rsidRPr="00EB2612">
        <w:rPr>
          <w:b w:val="0"/>
          <w:color w:val="auto"/>
          <w:sz w:val="22"/>
          <w:szCs w:val="22"/>
        </w:rPr>
        <w:t>(</w:t>
      </w:r>
      <w:r w:rsidR="0016269D" w:rsidRPr="00EB2612">
        <w:rPr>
          <w:b w:val="0"/>
          <w:color w:val="auto"/>
          <w:sz w:val="22"/>
          <w:szCs w:val="22"/>
        </w:rPr>
        <w:t>včetně</w:t>
      </w:r>
      <w:r w:rsidR="00313494" w:rsidRPr="00EB2612">
        <w:rPr>
          <w:b w:val="0"/>
          <w:color w:val="auto"/>
          <w:sz w:val="22"/>
          <w:szCs w:val="22"/>
        </w:rPr>
        <w:t> </w:t>
      </w:r>
      <w:r w:rsidR="00B02B9F" w:rsidRPr="00EB2612">
        <w:rPr>
          <w:b w:val="0"/>
          <w:color w:val="auto"/>
          <w:sz w:val="22"/>
          <w:szCs w:val="22"/>
        </w:rPr>
        <w:t xml:space="preserve">koncesionářských poplatků, </w:t>
      </w:r>
      <w:r w:rsidR="001B6DBF" w:rsidRPr="00EB2612">
        <w:rPr>
          <w:b w:val="0"/>
          <w:color w:val="auto"/>
          <w:sz w:val="22"/>
          <w:szCs w:val="22"/>
        </w:rPr>
        <w:t>v mld</w:t>
      </w:r>
      <w:r w:rsidRPr="00EB2612">
        <w:rPr>
          <w:b w:val="0"/>
          <w:color w:val="auto"/>
          <w:sz w:val="22"/>
          <w:szCs w:val="22"/>
        </w:rPr>
        <w:t>. Kč</w:t>
      </w:r>
      <w:r w:rsidR="001B6DBF" w:rsidRPr="00EB2612">
        <w:rPr>
          <w:b w:val="0"/>
          <w:color w:val="auto"/>
          <w:sz w:val="22"/>
          <w:szCs w:val="22"/>
        </w:rPr>
        <w:t>)</w:t>
      </w:r>
    </w:p>
    <w:p w:rsidR="00EF1538" w:rsidRPr="00EB2612" w:rsidRDefault="00FB03D2" w:rsidP="00EF1538">
      <w:pPr>
        <w:keepNext/>
      </w:pPr>
      <w:r w:rsidRPr="00EB2612">
        <w:rPr>
          <w:noProof/>
        </w:rPr>
        <w:drawing>
          <wp:inline distT="0" distB="0" distL="0" distR="0">
            <wp:extent cx="6248400" cy="1447800"/>
            <wp:effectExtent l="0" t="0" r="0" b="0"/>
            <wp:docPr id="10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1275BC" w:rsidRPr="00EB2612" w:rsidRDefault="00C515BF" w:rsidP="00EF1538">
      <w:pPr>
        <w:keepNext/>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Národní účty, ČSÚ</w:t>
      </w:r>
    </w:p>
    <w:p w:rsidR="00BB64DB" w:rsidRPr="00EB2612" w:rsidRDefault="00BB64DB" w:rsidP="00694914">
      <w:pPr>
        <w:pStyle w:val="Nadpis2"/>
        <w:numPr>
          <w:ilvl w:val="1"/>
          <w:numId w:val="17"/>
        </w:numPr>
      </w:pPr>
      <w:bookmarkStart w:id="90" w:name="_Toc430189808"/>
      <w:bookmarkStart w:id="91" w:name="_Toc463969191"/>
      <w:bookmarkStart w:id="92" w:name="_Toc465253901"/>
      <w:bookmarkStart w:id="93" w:name="_Toc55384439"/>
      <w:r w:rsidRPr="00EB2612">
        <w:t>ROZHLAS</w:t>
      </w:r>
      <w:bookmarkEnd w:id="90"/>
      <w:bookmarkEnd w:id="91"/>
      <w:bookmarkEnd w:id="92"/>
      <w:bookmarkEnd w:id="93"/>
    </w:p>
    <w:p w:rsidR="00BB64DB" w:rsidRPr="00EB2612" w:rsidRDefault="00BB64DB" w:rsidP="00BB64DB">
      <w:pPr>
        <w:pStyle w:val="Titulek"/>
        <w:keepNext/>
        <w:jc w:val="right"/>
        <w:rPr>
          <w:b w:val="0"/>
          <w:color w:val="auto"/>
          <w:sz w:val="22"/>
          <w:szCs w:val="22"/>
        </w:rPr>
      </w:pPr>
      <w:bookmarkStart w:id="94" w:name="_Toc464832053"/>
      <w:r w:rsidRPr="00EB2612">
        <w:rPr>
          <w:color w:val="auto"/>
          <w:sz w:val="22"/>
          <w:szCs w:val="22"/>
        </w:rPr>
        <w:t xml:space="preserve">Tabulka </w:t>
      </w:r>
      <w:r w:rsidR="00D45C2E" w:rsidRPr="00EB2612">
        <w:rPr>
          <w:color w:val="auto"/>
          <w:sz w:val="22"/>
          <w:szCs w:val="22"/>
        </w:rPr>
        <w:t>7</w:t>
      </w:r>
      <w:r w:rsidRPr="00EB2612">
        <w:rPr>
          <w:b w:val="0"/>
          <w:color w:val="auto"/>
          <w:sz w:val="22"/>
          <w:szCs w:val="22"/>
        </w:rPr>
        <w:t xml:space="preserve"> Vymezení oblasti rozhlasu podle klasifikace NACE</w:t>
      </w:r>
      <w:bookmarkEnd w:id="94"/>
    </w:p>
    <w:tbl>
      <w:tblPr>
        <w:tblW w:w="6377" w:type="dxa"/>
        <w:jc w:val="right"/>
        <w:tblCellMar>
          <w:left w:w="70" w:type="dxa"/>
          <w:right w:w="70" w:type="dxa"/>
        </w:tblCellMar>
        <w:tblLook w:val="04A0"/>
      </w:tblPr>
      <w:tblGrid>
        <w:gridCol w:w="1009"/>
        <w:gridCol w:w="5368"/>
      </w:tblGrid>
      <w:tr w:rsidR="00BB64DB" w:rsidRPr="00EB2612" w:rsidTr="00BE7BBE">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BE7BBE">
            <w:pPr>
              <w:pStyle w:val="Box"/>
              <w:ind w:hanging="1133"/>
              <w:rPr>
                <w:rFonts w:asciiTheme="minorHAnsi" w:hAnsiTheme="minorHAnsi"/>
                <w:sz w:val="20"/>
                <w:szCs w:val="20"/>
              </w:rPr>
            </w:pP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BE7BBE">
            <w:pPr>
              <w:pStyle w:val="Box"/>
              <w:ind w:hanging="1134"/>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583523">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EB2612" w:rsidRDefault="00BB64DB" w:rsidP="00BE7BBE">
            <w:pPr>
              <w:spacing w:after="0" w:line="276" w:lineRule="auto"/>
              <w:rPr>
                <w:rFonts w:asciiTheme="minorHAnsi" w:hAnsiTheme="minorHAnsi"/>
                <w:szCs w:val="20"/>
              </w:rPr>
            </w:pPr>
            <w:r w:rsidRPr="00EB2612">
              <w:rPr>
                <w:rFonts w:asciiTheme="minorHAnsi" w:hAnsiTheme="minorHAnsi"/>
                <w:szCs w:val="20"/>
              </w:rPr>
              <w:t>60.10</w:t>
            </w:r>
          </w:p>
        </w:tc>
        <w:tc>
          <w:tcPr>
            <w:tcW w:w="5368" w:type="dxa"/>
            <w:tcBorders>
              <w:top w:val="single" w:sz="12" w:space="0" w:color="auto"/>
              <w:left w:val="nil"/>
              <w:bottom w:val="single" w:sz="12" w:space="0" w:color="auto"/>
              <w:right w:val="nil"/>
            </w:tcBorders>
            <w:shd w:val="clear" w:color="auto" w:fill="auto"/>
            <w:hideMark/>
          </w:tcPr>
          <w:p w:rsidR="00BB64DB" w:rsidRPr="00EB2612" w:rsidRDefault="00BB64DB" w:rsidP="00BE7BBE">
            <w:pPr>
              <w:spacing w:after="0" w:line="276" w:lineRule="auto"/>
              <w:rPr>
                <w:rFonts w:asciiTheme="minorHAnsi" w:hAnsiTheme="minorHAnsi"/>
                <w:szCs w:val="20"/>
              </w:rPr>
            </w:pPr>
            <w:r w:rsidRPr="00EB2612">
              <w:rPr>
                <w:rFonts w:asciiTheme="minorHAnsi" w:hAnsiTheme="minorHAnsi"/>
                <w:szCs w:val="20"/>
              </w:rPr>
              <w:t>Rozhlasové vysílání</w:t>
            </w:r>
          </w:p>
        </w:tc>
      </w:tr>
    </w:tbl>
    <w:p w:rsidR="00BB64DB" w:rsidRPr="00EB2612" w:rsidRDefault="00BB64DB" w:rsidP="00BB64DB"/>
    <w:p w:rsidR="00BB64DB" w:rsidRPr="00EB2612" w:rsidRDefault="00BB64DB" w:rsidP="00BB64DB">
      <w:r w:rsidRPr="00EB2612">
        <w:t xml:space="preserve">I přes rozvoj hudebních katalogů typu </w:t>
      </w:r>
      <w:r w:rsidRPr="00EB2612">
        <w:rPr>
          <w:i/>
        </w:rPr>
        <w:t>Spotify</w:t>
      </w:r>
      <w:r w:rsidRPr="00EB2612">
        <w:t xml:space="preserve"> a snadný přístup k žánrovým online rádiím, jež mohou nabídnout nepřetržitý hudební tok dle požadavků posluchačů, nedochází dlouhodobě k velkému úbytku posluchačů zavedených </w:t>
      </w:r>
      <w:r w:rsidR="00D93FAE" w:rsidRPr="00EB2612">
        <w:t>rozhlasových</w:t>
      </w:r>
      <w:r w:rsidRPr="00EB2612">
        <w:t xml:space="preserve"> </w:t>
      </w:r>
      <w:r w:rsidR="00D93FAE" w:rsidRPr="00EB2612">
        <w:t>programů</w:t>
      </w:r>
      <w:r w:rsidRPr="00EB2612">
        <w:t xml:space="preserve">. To může poukazovat na hodnotu vysílaných programů kombinujících mluvené slovo s hudebním obsahem v reálném čase, jež nemá zatím v rámci dostupných </w:t>
      </w:r>
      <w:r w:rsidRPr="00EB2612">
        <w:lastRenderedPageBreak/>
        <w:t xml:space="preserve">digitálních </w:t>
      </w:r>
      <w:r w:rsidR="00EA2491" w:rsidRPr="00EB2612">
        <w:t xml:space="preserve">služeb substitut. </w:t>
      </w:r>
      <w:r w:rsidR="006807FF" w:rsidRPr="00EB2612">
        <w:t>Poslechovost</w:t>
      </w:r>
      <w:r w:rsidR="006807FF" w:rsidRPr="00EB2612">
        <w:rPr>
          <w:rStyle w:val="Znakapoznpodarou"/>
        </w:rPr>
        <w:footnoteReference w:id="9"/>
      </w:r>
      <w:r w:rsidR="006807FF" w:rsidRPr="00EB2612">
        <w:t xml:space="preserve"> rozhla</w:t>
      </w:r>
      <w:r w:rsidR="00471102" w:rsidRPr="00EB2612">
        <w:t>sových programů v rámci jednoho týdne v populaci 12–</w:t>
      </w:r>
      <w:r w:rsidR="006807FF" w:rsidRPr="00EB2612">
        <w:t>79</w:t>
      </w:r>
      <w:r w:rsidR="003A7ABE" w:rsidRPr="00EB2612">
        <w:t xml:space="preserve"> let</w:t>
      </w:r>
      <w:r w:rsidR="006807FF" w:rsidRPr="00EB2612">
        <w:t xml:space="preserve"> dosah</w:t>
      </w:r>
      <w:r w:rsidR="00BA0781" w:rsidRPr="00EB2612">
        <w:t>ovala v </w:t>
      </w:r>
      <w:r w:rsidR="00F102BF">
        <w:t>druhé</w:t>
      </w:r>
      <w:r w:rsidR="00BA0781" w:rsidRPr="00EB2612">
        <w:t xml:space="preserve"> polovině roku 2019</w:t>
      </w:r>
      <w:r w:rsidR="006807FF" w:rsidRPr="00EB2612">
        <w:t xml:space="preserve"> podle výzkumu Radioprojekt </w:t>
      </w:r>
      <w:r w:rsidR="00BA0781" w:rsidRPr="00EB2612">
        <w:t>necelých 87</w:t>
      </w:r>
      <w:r w:rsidR="00905120" w:rsidRPr="00EB2612">
        <w:t xml:space="preserve"> %, což je podíl, který si rozhlasové stanice udržují s drobnými výkyvy několik posledních let</w:t>
      </w:r>
      <w:r w:rsidR="0016269D" w:rsidRPr="00EB2612">
        <w:t>. Jak ukazuje Graf 4</w:t>
      </w:r>
      <w:r w:rsidR="00424B58">
        <w:t>7</w:t>
      </w:r>
      <w:r w:rsidRPr="00EB2612">
        <w:t xml:space="preserve">, v rámci rozdělení trhu </w:t>
      </w:r>
      <w:r w:rsidR="00BE7BBE" w:rsidRPr="00EB2612">
        <w:t xml:space="preserve">ovládá většinu </w:t>
      </w:r>
      <w:r w:rsidRPr="00EB2612">
        <w:t>rádií pouze několik velkých mediálních zastupitelství (</w:t>
      </w:r>
      <w:r w:rsidR="006568DB" w:rsidRPr="00EB2612">
        <w:t xml:space="preserve">mediální zastupitelství </w:t>
      </w:r>
      <w:r w:rsidRPr="00EB2612">
        <w:t xml:space="preserve">Radiohouse a </w:t>
      </w:r>
      <w:r w:rsidR="006568DB" w:rsidRPr="00EB2612">
        <w:t xml:space="preserve">Media Club </w:t>
      </w:r>
      <w:r w:rsidR="00A35B08" w:rsidRPr="00EB2612">
        <w:t xml:space="preserve">ovládají </w:t>
      </w:r>
      <w:r w:rsidR="006568DB" w:rsidRPr="00EB2612">
        <w:t>přibližně</w:t>
      </w:r>
      <w:r w:rsidR="00AC4219" w:rsidRPr="00EB2612">
        <w:t xml:space="preserve"> 75</w:t>
      </w:r>
      <w:r w:rsidR="00471102" w:rsidRPr="00EB2612">
        <w:t xml:space="preserve"> </w:t>
      </w:r>
      <w:r w:rsidR="00BE7BBE" w:rsidRPr="00EB2612">
        <w:t>% trhu</w:t>
      </w:r>
      <w:r w:rsidRPr="00EB2612">
        <w:t>). Če</w:t>
      </w:r>
      <w:r w:rsidR="00F823B2" w:rsidRPr="00EB2612">
        <w:t>ský rozhlas pak dosahuje na 23</w:t>
      </w:r>
      <w:r w:rsidRPr="00EB2612">
        <w:t xml:space="preserve"> % z celkové poslechovosti a</w:t>
      </w:r>
      <w:r w:rsidR="000E0D24" w:rsidRPr="00EB2612">
        <w:t> </w:t>
      </w:r>
      <w:r w:rsidRPr="00EB2612">
        <w:t xml:space="preserve">na ostatní stanice zbývají </w:t>
      </w:r>
      <w:r w:rsidR="00EA2491" w:rsidRPr="00EB2612">
        <w:t>zhruba</w:t>
      </w:r>
      <w:r w:rsidR="00F823B2" w:rsidRPr="00EB2612">
        <w:t xml:space="preserve"> 1</w:t>
      </w:r>
      <w:r w:rsidR="00471102" w:rsidRPr="00EB2612">
        <w:t xml:space="preserve"> </w:t>
      </w:r>
      <w:r w:rsidR="00C515BF" w:rsidRPr="00EB2612">
        <w:t>% trhu</w:t>
      </w:r>
      <w:r w:rsidRPr="00EB2612">
        <w:t xml:space="preserve"> </w:t>
      </w:r>
      <w:r w:rsidR="00AC4219" w:rsidRPr="00EB2612">
        <w:t>(Radioprojekt, 2019</w:t>
      </w:r>
      <w:r w:rsidR="00A35B08" w:rsidRPr="00EB2612">
        <w:t>)</w:t>
      </w:r>
      <w:r w:rsidR="00C515BF" w:rsidRPr="00EB2612">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4</w:t>
      </w:r>
      <w:r w:rsidR="00424B58">
        <w:rPr>
          <w:color w:val="auto"/>
          <w:sz w:val="22"/>
          <w:szCs w:val="22"/>
        </w:rPr>
        <w:t>7</w:t>
      </w:r>
      <w:r w:rsidRPr="00EB2612">
        <w:rPr>
          <w:b w:val="0"/>
          <w:color w:val="auto"/>
          <w:sz w:val="22"/>
          <w:szCs w:val="22"/>
        </w:rPr>
        <w:t xml:space="preserve"> Podíl poskytovatelů rozhlasového vysílání na </w:t>
      </w:r>
      <w:r w:rsidR="00ED437A" w:rsidRPr="00EB2612">
        <w:rPr>
          <w:b w:val="0"/>
          <w:color w:val="auto"/>
          <w:sz w:val="22"/>
          <w:szCs w:val="22"/>
        </w:rPr>
        <w:t xml:space="preserve">celkové </w:t>
      </w:r>
      <w:proofErr w:type="spellStart"/>
      <w:r w:rsidR="00ED437A" w:rsidRPr="00EB2612">
        <w:rPr>
          <w:b w:val="0"/>
          <w:color w:val="auto"/>
          <w:sz w:val="22"/>
          <w:szCs w:val="22"/>
        </w:rPr>
        <w:t>poslechovosti</w:t>
      </w:r>
      <w:proofErr w:type="spellEnd"/>
      <w:r w:rsidR="00F102BF">
        <w:rPr>
          <w:b w:val="0"/>
          <w:color w:val="auto"/>
          <w:sz w:val="22"/>
          <w:szCs w:val="22"/>
        </w:rPr>
        <w:t xml:space="preserve"> v druhé polovině roku 2019</w:t>
      </w:r>
    </w:p>
    <w:p w:rsidR="00BB64DB" w:rsidRPr="00EB2612" w:rsidRDefault="00D07643" w:rsidP="00BB64DB">
      <w:pPr>
        <w:keepNext/>
        <w:jc w:val="center"/>
      </w:pPr>
      <w:r w:rsidRPr="00EB2612">
        <w:rPr>
          <w:noProof/>
        </w:rPr>
        <w:drawing>
          <wp:inline distT="0" distB="0" distL="0" distR="0">
            <wp:extent cx="4400550" cy="173355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B64DB" w:rsidRPr="00EB2612" w:rsidRDefault="00A35B08" w:rsidP="00BB64DB">
      <w:pPr>
        <w:pStyle w:val="Titulek"/>
        <w:rPr>
          <w:b w:val="0"/>
          <w:color w:val="auto"/>
          <w:sz w:val="22"/>
          <w:szCs w:val="22"/>
        </w:rPr>
      </w:pPr>
      <w:r w:rsidRPr="00EB2612">
        <w:rPr>
          <w:b w:val="0"/>
          <w:color w:val="auto"/>
          <w:sz w:val="22"/>
          <w:szCs w:val="22"/>
        </w:rPr>
        <w:t>Zdroj: RADIOPROJEKT</w:t>
      </w:r>
    </w:p>
    <w:p w:rsidR="00BB64DB" w:rsidRPr="00EB2612" w:rsidRDefault="00BB64DB" w:rsidP="00BB64DB">
      <w:r w:rsidRPr="00EB2612">
        <w:t xml:space="preserve">Přehled absolutních ukazatelů poslechovosti podle výzkumného projektu Radioprojekt </w:t>
      </w:r>
      <w:r w:rsidR="001342F6" w:rsidRPr="00EB2612">
        <w:t xml:space="preserve">prezentuje Graf </w:t>
      </w:r>
      <w:r w:rsidR="0016269D" w:rsidRPr="00EB2612">
        <w:t>4</w:t>
      </w:r>
      <w:r w:rsidR="00424B58">
        <w:t>8</w:t>
      </w:r>
      <w:r w:rsidRPr="00EB2612">
        <w:t>. Poslechovost celoplošných stanic v rámci rozdělení Radioprojektu dosahovala na konci</w:t>
      </w:r>
      <w:r w:rsidR="007D7921" w:rsidRPr="00EB2612">
        <w:t xml:space="preserve"> roku 201</w:t>
      </w:r>
      <w:r w:rsidR="009233B2" w:rsidRPr="00EB2612">
        <w:t>9</w:t>
      </w:r>
      <w:r w:rsidR="00ED437A" w:rsidRPr="00EB2612">
        <w:t xml:space="preserve"> </w:t>
      </w:r>
      <w:r w:rsidR="006807FF" w:rsidRPr="00EB2612">
        <w:t xml:space="preserve">přibližně </w:t>
      </w:r>
      <w:r w:rsidR="00ED437A" w:rsidRPr="00EB2612">
        <w:t>čtyř milionů</w:t>
      </w:r>
      <w:r w:rsidRPr="00EB2612">
        <w:t xml:space="preserve"> </w:t>
      </w:r>
      <w:r w:rsidR="00BE7BBE" w:rsidRPr="00EB2612">
        <w:t>posluchačů</w:t>
      </w:r>
      <w:r w:rsidRPr="00EB2612">
        <w:t xml:space="preserve"> za den.</w:t>
      </w:r>
      <w:r w:rsidR="009233B2" w:rsidRPr="00EB2612">
        <w:t xml:space="preserve"> Oproti stejnému období v roce 2018 si mírně polepšily celoplošné veřejnoprávní stanice, jejichž poslechovost </w:t>
      </w:r>
      <w:r w:rsidRPr="00EB2612">
        <w:t xml:space="preserve"> </w:t>
      </w:r>
      <w:r w:rsidR="009233B2" w:rsidRPr="00EB2612">
        <w:t xml:space="preserve">vzrostla přibližně o 3 %. Naopak </w:t>
      </w:r>
      <w:proofErr w:type="spellStart"/>
      <w:r w:rsidR="009233B2" w:rsidRPr="00EB2612">
        <w:t>poslechovost</w:t>
      </w:r>
      <w:proofErr w:type="spellEnd"/>
      <w:r w:rsidR="009233B2" w:rsidRPr="00EB2612">
        <w:t xml:space="preserve"> celoplošných </w:t>
      </w:r>
      <w:r w:rsidR="003F593B" w:rsidRPr="00EB2612">
        <w:t>soukro</w:t>
      </w:r>
      <w:r w:rsidR="003F593B">
        <w:t>m</w:t>
      </w:r>
      <w:r w:rsidR="003F593B" w:rsidRPr="00EB2612">
        <w:t>ých</w:t>
      </w:r>
      <w:r w:rsidR="009233B2" w:rsidRPr="00EB2612">
        <w:t xml:space="preserve"> stanic klesla oproti roku 2018 o 5 %. </w:t>
      </w:r>
      <w:r w:rsidRPr="00EB2612">
        <w:t>Na reg</w:t>
      </w:r>
      <w:r w:rsidR="009233B2" w:rsidRPr="00EB2612">
        <w:t>ionální stanice připadlo na konci roku 2019</w:t>
      </w:r>
      <w:r w:rsidRPr="00EB2612">
        <w:t xml:space="preserve"> </w:t>
      </w:r>
      <w:r w:rsidR="009233B2" w:rsidRPr="00EB2612">
        <w:t>přes</w:t>
      </w:r>
      <w:r w:rsidRPr="00EB2612">
        <w:t xml:space="preserve"> </w:t>
      </w:r>
      <w:r w:rsidR="005E47BF" w:rsidRPr="00EB2612">
        <w:t>tři</w:t>
      </w:r>
      <w:r w:rsidRPr="00EB2612">
        <w:t xml:space="preserve"> miliony posluchačů</w:t>
      </w:r>
      <w:r w:rsidR="009233B2" w:rsidRPr="00EB2612">
        <w:t xml:space="preserve">, přičemž </w:t>
      </w:r>
      <w:r w:rsidR="007D05E9" w:rsidRPr="00EB2612">
        <w:t>většinu diváků oslovily soukromé stanice</w:t>
      </w:r>
      <w:r w:rsidRPr="00EB2612">
        <w:t xml:space="preserve">. Rádio tak </w:t>
      </w:r>
      <w:r w:rsidR="00BE7BBE" w:rsidRPr="00EB2612">
        <w:t>v</w:t>
      </w:r>
      <w:r w:rsidR="000E0D24" w:rsidRPr="00EB2612">
        <w:t> </w:t>
      </w:r>
      <w:r w:rsidR="00BE7BBE" w:rsidRPr="00EB2612">
        <w:t>roce</w:t>
      </w:r>
      <w:r w:rsidR="005E47BF" w:rsidRPr="00EB2612">
        <w:t xml:space="preserve"> 201</w:t>
      </w:r>
      <w:r w:rsidR="009233B2" w:rsidRPr="00EB2612">
        <w:t>9</w:t>
      </w:r>
      <w:r w:rsidRPr="00EB2612">
        <w:t xml:space="preserve"> poslouchalo </w:t>
      </w:r>
      <w:r w:rsidR="009233B2" w:rsidRPr="00EB2612">
        <w:t>na denní bázi</w:t>
      </w:r>
      <w:r w:rsidR="00CF3994" w:rsidRPr="00EB2612">
        <w:t xml:space="preserve"> 62</w:t>
      </w:r>
      <w:r w:rsidRPr="00EB2612">
        <w:t xml:space="preserve"> %</w:t>
      </w:r>
      <w:r w:rsidR="00471102" w:rsidRPr="00EB2612">
        <w:t xml:space="preserve"> sledované populace ve věku 12–</w:t>
      </w:r>
      <w:r w:rsidRPr="00EB2612">
        <w:t>79</w:t>
      </w:r>
      <w:r w:rsidR="00ED437A" w:rsidRPr="00EB2612">
        <w:t xml:space="preserve"> let</w:t>
      </w:r>
      <w:r w:rsidRPr="00EB2612">
        <w:t xml:space="preserve">. Tyto údaje tak potvrzují poznatek, že </w:t>
      </w:r>
      <w:r w:rsidR="00430E4E" w:rsidRPr="00EB2612">
        <w:t>rozhlasové</w:t>
      </w:r>
      <w:r w:rsidRPr="00EB2612">
        <w:t xml:space="preserve"> vysílání šířené prostřednictvím vysílačů v reálném čase stále drží významnou pozici na českém mediálním trhu a tato pozice není v současnosti ve velké míře ohrožena.</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4</w:t>
      </w:r>
      <w:r w:rsidR="00424B58">
        <w:rPr>
          <w:color w:val="auto"/>
          <w:sz w:val="22"/>
          <w:szCs w:val="22"/>
        </w:rPr>
        <w:t>8</w:t>
      </w:r>
      <w:r w:rsidRPr="00EB2612">
        <w:rPr>
          <w:b w:val="0"/>
          <w:color w:val="auto"/>
          <w:sz w:val="22"/>
          <w:szCs w:val="22"/>
        </w:rPr>
        <w:t xml:space="preserve"> Poslechovost největších celoplošných a</w:t>
      </w:r>
      <w:r w:rsidR="005E47BF" w:rsidRPr="00EB2612">
        <w:rPr>
          <w:b w:val="0"/>
          <w:color w:val="auto"/>
          <w:sz w:val="22"/>
          <w:szCs w:val="22"/>
        </w:rPr>
        <w:t xml:space="preserve"> regionálních s</w:t>
      </w:r>
      <w:r w:rsidR="009233B2" w:rsidRPr="00EB2612">
        <w:rPr>
          <w:b w:val="0"/>
          <w:color w:val="auto"/>
          <w:sz w:val="22"/>
          <w:szCs w:val="22"/>
        </w:rPr>
        <w:t>tanic v druhé polovině roku 2019</w:t>
      </w:r>
      <w:r w:rsidRPr="00EB2612">
        <w:rPr>
          <w:b w:val="0"/>
          <w:color w:val="auto"/>
          <w:sz w:val="22"/>
          <w:szCs w:val="22"/>
        </w:rPr>
        <w:t xml:space="preserve"> v populaci 12 – 79 let</w:t>
      </w:r>
      <w:r w:rsidR="00C522C1" w:rsidRPr="00EB2612">
        <w:rPr>
          <w:b w:val="0"/>
          <w:color w:val="auto"/>
          <w:sz w:val="22"/>
          <w:szCs w:val="22"/>
        </w:rPr>
        <w:t xml:space="preserve"> (za</w:t>
      </w:r>
      <w:r w:rsidR="00220644" w:rsidRPr="00EB2612">
        <w:rPr>
          <w:b w:val="0"/>
          <w:color w:val="auto"/>
          <w:sz w:val="22"/>
          <w:szCs w:val="22"/>
        </w:rPr>
        <w:t> </w:t>
      </w:r>
      <w:r w:rsidR="00C522C1" w:rsidRPr="00EB2612">
        <w:rPr>
          <w:b w:val="0"/>
          <w:color w:val="auto"/>
          <w:sz w:val="22"/>
          <w:szCs w:val="22"/>
        </w:rPr>
        <w:t>jeden den</w:t>
      </w:r>
      <w:r w:rsidR="005B1EDC" w:rsidRPr="00EB2612">
        <w:rPr>
          <w:b w:val="0"/>
          <w:color w:val="auto"/>
          <w:sz w:val="22"/>
          <w:szCs w:val="22"/>
        </w:rPr>
        <w:t>,</w:t>
      </w:r>
      <w:r w:rsidR="00C522C1" w:rsidRPr="00EB2612">
        <w:rPr>
          <w:b w:val="0"/>
          <w:color w:val="auto"/>
          <w:sz w:val="22"/>
          <w:szCs w:val="22"/>
        </w:rPr>
        <w:t xml:space="preserve"> v mil. posluchačů)</w:t>
      </w:r>
    </w:p>
    <w:p w:rsidR="00BB64DB" w:rsidRPr="00EB2612" w:rsidRDefault="009233B2" w:rsidP="00BB64DB">
      <w:pPr>
        <w:keepNext/>
        <w:jc w:val="center"/>
      </w:pPr>
      <w:r w:rsidRPr="00EB2612">
        <w:rPr>
          <w:noProof/>
        </w:rPr>
        <w:drawing>
          <wp:inline distT="0" distB="0" distL="0" distR="0">
            <wp:extent cx="5591175" cy="1333500"/>
            <wp:effectExtent l="0" t="0" r="0" b="0"/>
            <wp:docPr id="6"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B64DB" w:rsidRPr="00EB2612" w:rsidRDefault="004D5A93" w:rsidP="00BB64DB">
      <w:pPr>
        <w:pStyle w:val="Titulek"/>
        <w:rPr>
          <w:b w:val="0"/>
          <w:color w:val="auto"/>
          <w:sz w:val="22"/>
          <w:szCs w:val="22"/>
        </w:rPr>
      </w:pPr>
      <w:r w:rsidRPr="00EB2612">
        <w:rPr>
          <w:b w:val="0"/>
          <w:color w:val="auto"/>
          <w:sz w:val="22"/>
          <w:szCs w:val="22"/>
        </w:rPr>
        <w:t>Zdroj: RADIOPROJEKT</w:t>
      </w:r>
      <w:r w:rsidR="003F593B">
        <w:rPr>
          <w:b w:val="0"/>
          <w:color w:val="auto"/>
          <w:sz w:val="22"/>
          <w:szCs w:val="22"/>
        </w:rPr>
        <w:t xml:space="preserve">, MEDIAN </w:t>
      </w:r>
      <w:r w:rsidR="003F593B" w:rsidRPr="003F593B">
        <w:rPr>
          <w:b w:val="0"/>
          <w:color w:val="auto"/>
          <w:sz w:val="22"/>
          <w:szCs w:val="22"/>
        </w:rPr>
        <w:t xml:space="preserve">– </w:t>
      </w:r>
      <w:r w:rsidR="003F593B">
        <w:rPr>
          <w:b w:val="0"/>
          <w:color w:val="auto"/>
          <w:sz w:val="22"/>
          <w:szCs w:val="22"/>
        </w:rPr>
        <w:t xml:space="preserve"> </w:t>
      </w:r>
      <w:r w:rsidR="003F593B" w:rsidRPr="003F593B">
        <w:rPr>
          <w:b w:val="0"/>
          <w:color w:val="auto"/>
          <w:sz w:val="22"/>
          <w:szCs w:val="22"/>
        </w:rPr>
        <w:t>STEM/MARK</w:t>
      </w:r>
      <w:r w:rsidR="003F593B">
        <w:rPr>
          <w:b w:val="0"/>
          <w:color w:val="auto"/>
          <w:sz w:val="22"/>
          <w:szCs w:val="22"/>
        </w:rPr>
        <w:t xml:space="preserve"> </w:t>
      </w:r>
    </w:p>
    <w:p w:rsidR="00BB64DB" w:rsidRPr="00EB2612" w:rsidRDefault="00BB64DB" w:rsidP="00C47F27">
      <w:pPr>
        <w:pStyle w:val="Titulek"/>
        <w:spacing w:line="360" w:lineRule="auto"/>
        <w:rPr>
          <w:rFonts w:ascii="Arial" w:hAnsi="Arial" w:cs="Arial"/>
          <w:b w:val="0"/>
          <w:color w:val="auto"/>
          <w:sz w:val="20"/>
          <w:szCs w:val="20"/>
        </w:rPr>
      </w:pPr>
      <w:r w:rsidRPr="00EB2612">
        <w:rPr>
          <w:rFonts w:ascii="Arial" w:hAnsi="Arial" w:cs="Arial"/>
          <w:b w:val="0"/>
          <w:color w:val="auto"/>
          <w:sz w:val="20"/>
          <w:szCs w:val="20"/>
        </w:rPr>
        <w:lastRenderedPageBreak/>
        <w:t xml:space="preserve">Z hlediska programové struktury rozhlasového vysílání převažují </w:t>
      </w:r>
      <w:r w:rsidR="00536FAD" w:rsidRPr="00EB2612">
        <w:rPr>
          <w:rFonts w:ascii="Arial" w:hAnsi="Arial" w:cs="Arial"/>
          <w:b w:val="0"/>
          <w:color w:val="auto"/>
          <w:sz w:val="20"/>
          <w:szCs w:val="20"/>
        </w:rPr>
        <w:t>hudební pořady</w:t>
      </w:r>
      <w:r w:rsidR="00ED437A" w:rsidRPr="00EB2612">
        <w:rPr>
          <w:rFonts w:ascii="Arial" w:hAnsi="Arial" w:cs="Arial"/>
          <w:b w:val="0"/>
          <w:color w:val="auto"/>
          <w:sz w:val="20"/>
          <w:szCs w:val="20"/>
        </w:rPr>
        <w:t>,</w:t>
      </w:r>
      <w:r w:rsidRPr="00EB2612">
        <w:rPr>
          <w:rFonts w:ascii="Arial" w:hAnsi="Arial" w:cs="Arial"/>
          <w:b w:val="0"/>
          <w:color w:val="auto"/>
          <w:sz w:val="20"/>
          <w:szCs w:val="20"/>
        </w:rPr>
        <w:t xml:space="preserve"> a to jak u soukromých</w:t>
      </w:r>
      <w:r w:rsidR="00ED437A" w:rsidRPr="00EB2612">
        <w:rPr>
          <w:rFonts w:ascii="Arial" w:hAnsi="Arial" w:cs="Arial"/>
          <w:b w:val="0"/>
          <w:color w:val="auto"/>
          <w:sz w:val="20"/>
          <w:szCs w:val="20"/>
        </w:rPr>
        <w:t>,</w:t>
      </w:r>
      <w:r w:rsidRPr="00EB2612">
        <w:rPr>
          <w:rFonts w:ascii="Arial" w:hAnsi="Arial" w:cs="Arial"/>
          <w:b w:val="0"/>
          <w:color w:val="auto"/>
          <w:sz w:val="20"/>
          <w:szCs w:val="20"/>
        </w:rPr>
        <w:t xml:space="preserve"> tak veřejnoprávních programů. </w:t>
      </w:r>
      <w:r w:rsidR="00200D8C" w:rsidRPr="00EB2612">
        <w:rPr>
          <w:rFonts w:ascii="Arial" w:hAnsi="Arial" w:cs="Arial"/>
          <w:b w:val="0"/>
          <w:color w:val="auto"/>
          <w:sz w:val="20"/>
          <w:szCs w:val="20"/>
        </w:rPr>
        <w:t>U</w:t>
      </w:r>
      <w:r w:rsidR="00B02802" w:rsidRPr="00EB2612">
        <w:rPr>
          <w:rFonts w:ascii="Arial" w:hAnsi="Arial" w:cs="Arial"/>
          <w:b w:val="0"/>
          <w:color w:val="auto"/>
          <w:sz w:val="20"/>
          <w:szCs w:val="20"/>
        </w:rPr>
        <w:t> </w:t>
      </w:r>
      <w:r w:rsidRPr="00EB2612">
        <w:rPr>
          <w:rFonts w:ascii="Arial" w:hAnsi="Arial" w:cs="Arial"/>
          <w:b w:val="0"/>
          <w:color w:val="auto"/>
          <w:sz w:val="20"/>
          <w:szCs w:val="20"/>
        </w:rPr>
        <w:t>veřejnoprávních programů jsou</w:t>
      </w:r>
      <w:r w:rsidR="00200D8C" w:rsidRPr="00EB2612">
        <w:rPr>
          <w:rFonts w:ascii="Arial" w:hAnsi="Arial" w:cs="Arial"/>
          <w:b w:val="0"/>
          <w:color w:val="auto"/>
          <w:sz w:val="20"/>
          <w:szCs w:val="20"/>
        </w:rPr>
        <w:t xml:space="preserve"> pak na druhém místě</w:t>
      </w:r>
      <w:r w:rsidRPr="00EB2612">
        <w:rPr>
          <w:rFonts w:ascii="Arial" w:hAnsi="Arial" w:cs="Arial"/>
          <w:b w:val="0"/>
          <w:color w:val="auto"/>
          <w:sz w:val="20"/>
          <w:szCs w:val="20"/>
        </w:rPr>
        <w:t xml:space="preserve"> zpravodajské, public</w:t>
      </w:r>
      <w:r w:rsidR="009A66C6" w:rsidRPr="00EB2612">
        <w:rPr>
          <w:rFonts w:ascii="Arial" w:hAnsi="Arial" w:cs="Arial"/>
          <w:b w:val="0"/>
          <w:color w:val="auto"/>
          <w:sz w:val="20"/>
          <w:szCs w:val="20"/>
        </w:rPr>
        <w:t>istické</w:t>
      </w:r>
      <w:r w:rsidR="00536FAD" w:rsidRPr="00EB2612">
        <w:rPr>
          <w:rFonts w:ascii="Arial" w:hAnsi="Arial" w:cs="Arial"/>
          <w:b w:val="0"/>
          <w:color w:val="auto"/>
          <w:sz w:val="20"/>
          <w:szCs w:val="20"/>
        </w:rPr>
        <w:t>, dramatické a zábavné</w:t>
      </w:r>
      <w:r w:rsidR="009A66C6" w:rsidRPr="00EB2612">
        <w:rPr>
          <w:rFonts w:ascii="Arial" w:hAnsi="Arial" w:cs="Arial"/>
          <w:b w:val="0"/>
          <w:color w:val="auto"/>
          <w:sz w:val="20"/>
          <w:szCs w:val="20"/>
        </w:rPr>
        <w:t xml:space="preserve"> </w:t>
      </w:r>
      <w:r w:rsidR="00BF08D4" w:rsidRPr="00EB2612">
        <w:rPr>
          <w:rFonts w:ascii="Arial" w:hAnsi="Arial" w:cs="Arial"/>
          <w:b w:val="0"/>
          <w:color w:val="auto"/>
          <w:sz w:val="20"/>
          <w:szCs w:val="20"/>
        </w:rPr>
        <w:t>pořady (32</w:t>
      </w:r>
      <w:r w:rsidRPr="00EB2612">
        <w:rPr>
          <w:rFonts w:ascii="Arial" w:hAnsi="Arial" w:cs="Arial"/>
          <w:b w:val="0"/>
          <w:color w:val="auto"/>
          <w:sz w:val="20"/>
          <w:szCs w:val="20"/>
        </w:rPr>
        <w:t xml:space="preserve"> %). Komerční progra</w:t>
      </w:r>
      <w:r w:rsidR="00BF08D4" w:rsidRPr="00EB2612">
        <w:rPr>
          <w:rFonts w:ascii="Arial" w:hAnsi="Arial" w:cs="Arial"/>
          <w:b w:val="0"/>
          <w:color w:val="auto"/>
          <w:sz w:val="20"/>
          <w:szCs w:val="20"/>
        </w:rPr>
        <w:t>my naopak vysílají jen 6</w:t>
      </w:r>
      <w:r w:rsidRPr="00EB2612">
        <w:rPr>
          <w:rFonts w:ascii="Arial" w:hAnsi="Arial" w:cs="Arial"/>
          <w:b w:val="0"/>
          <w:color w:val="auto"/>
          <w:sz w:val="20"/>
          <w:szCs w:val="20"/>
        </w:rPr>
        <w:t xml:space="preserve"> % takto orientovaných pořadů a </w:t>
      </w:r>
      <w:r w:rsidR="00C60EA0" w:rsidRPr="00EB2612">
        <w:rPr>
          <w:rFonts w:ascii="Arial" w:hAnsi="Arial" w:cs="Arial"/>
          <w:b w:val="0"/>
          <w:color w:val="auto"/>
          <w:sz w:val="20"/>
          <w:szCs w:val="20"/>
        </w:rPr>
        <w:t xml:space="preserve">ještě o něco nižší </w:t>
      </w:r>
      <w:r w:rsidR="00F17103" w:rsidRPr="00EB2612">
        <w:rPr>
          <w:rFonts w:ascii="Arial" w:hAnsi="Arial" w:cs="Arial"/>
          <w:b w:val="0"/>
          <w:color w:val="auto"/>
          <w:sz w:val="20"/>
          <w:szCs w:val="20"/>
        </w:rPr>
        <w:t xml:space="preserve">podíl na vysílání mají u soukromých provozovatelů </w:t>
      </w:r>
      <w:r w:rsidR="00BF08D4" w:rsidRPr="00EB2612">
        <w:rPr>
          <w:rFonts w:ascii="Arial" w:hAnsi="Arial" w:cs="Arial"/>
          <w:b w:val="0"/>
          <w:color w:val="auto"/>
          <w:sz w:val="20"/>
          <w:szCs w:val="20"/>
        </w:rPr>
        <w:t>obchodní sdělení (4</w:t>
      </w:r>
      <w:r w:rsidR="00536FAD" w:rsidRPr="00EB2612">
        <w:rPr>
          <w:rFonts w:ascii="Arial" w:hAnsi="Arial" w:cs="Arial"/>
          <w:b w:val="0"/>
          <w:color w:val="auto"/>
          <w:sz w:val="20"/>
          <w:szCs w:val="20"/>
        </w:rPr>
        <w:t xml:space="preserve"> </w:t>
      </w:r>
      <w:r w:rsidRPr="00EB2612">
        <w:rPr>
          <w:rFonts w:ascii="Arial" w:hAnsi="Arial" w:cs="Arial"/>
          <w:b w:val="0"/>
          <w:color w:val="auto"/>
          <w:sz w:val="20"/>
          <w:szCs w:val="20"/>
        </w:rPr>
        <w:t>%)</w:t>
      </w:r>
      <w:r w:rsidR="00BF08D4" w:rsidRPr="00EB2612">
        <w:rPr>
          <w:rFonts w:ascii="Arial" w:hAnsi="Arial" w:cs="Arial"/>
          <w:b w:val="0"/>
          <w:color w:val="auto"/>
          <w:sz w:val="20"/>
          <w:szCs w:val="20"/>
        </w:rPr>
        <w:t>. U veřejnoprávních programů j</w:t>
      </w:r>
      <w:r w:rsidR="00C60EA0" w:rsidRPr="00EB2612">
        <w:rPr>
          <w:rFonts w:ascii="Arial" w:hAnsi="Arial" w:cs="Arial"/>
          <w:b w:val="0"/>
          <w:color w:val="auto"/>
          <w:sz w:val="20"/>
          <w:szCs w:val="20"/>
        </w:rPr>
        <w:t>e</w:t>
      </w:r>
      <w:r w:rsidR="00BF08D4" w:rsidRPr="00EB2612">
        <w:rPr>
          <w:rFonts w:ascii="Arial" w:hAnsi="Arial" w:cs="Arial"/>
          <w:b w:val="0"/>
          <w:color w:val="auto"/>
          <w:sz w:val="20"/>
          <w:szCs w:val="20"/>
        </w:rPr>
        <w:t xml:space="preserve"> obchodní sdělení </w:t>
      </w:r>
      <w:r w:rsidR="00C60EA0" w:rsidRPr="00EB2612">
        <w:rPr>
          <w:rFonts w:ascii="Arial" w:hAnsi="Arial" w:cs="Arial"/>
          <w:b w:val="0"/>
          <w:color w:val="auto"/>
          <w:sz w:val="20"/>
          <w:szCs w:val="20"/>
        </w:rPr>
        <w:t>regulované</w:t>
      </w:r>
      <w:r w:rsidR="00B02802" w:rsidRPr="00EB2612">
        <w:rPr>
          <w:rFonts w:ascii="Arial" w:hAnsi="Arial" w:cs="Arial"/>
          <w:b w:val="0"/>
          <w:color w:val="auto"/>
          <w:sz w:val="20"/>
          <w:szCs w:val="20"/>
        </w:rPr>
        <w:t xml:space="preserve"> zákonem </w:t>
      </w:r>
      <w:r w:rsidR="00C60EA0" w:rsidRPr="00EB2612">
        <w:rPr>
          <w:rFonts w:ascii="Arial" w:hAnsi="Arial" w:cs="Arial"/>
          <w:b w:val="0"/>
          <w:color w:val="auto"/>
          <w:sz w:val="20"/>
          <w:szCs w:val="20"/>
        </w:rPr>
        <w:t>231/2001 Sb.</w:t>
      </w:r>
      <w:r w:rsidR="00C60EA0" w:rsidRPr="00EB2612">
        <w:rPr>
          <w:rStyle w:val="Znakapoznpodarou"/>
          <w:rFonts w:ascii="Arial" w:hAnsi="Arial" w:cs="Arial"/>
          <w:b w:val="0"/>
          <w:color w:val="auto"/>
          <w:sz w:val="20"/>
          <w:szCs w:val="20"/>
        </w:rPr>
        <w:footnoteReference w:id="10"/>
      </w:r>
      <w:r w:rsidRPr="00EB2612">
        <w:rPr>
          <w:rFonts w:ascii="Arial" w:hAnsi="Arial" w:cs="Arial"/>
          <w:b w:val="0"/>
          <w:color w:val="auto"/>
          <w:sz w:val="20"/>
          <w:szCs w:val="20"/>
        </w:rPr>
        <w:t xml:space="preserve"> a</w:t>
      </w:r>
      <w:r w:rsidR="00362010">
        <w:rPr>
          <w:rFonts w:ascii="Arial" w:hAnsi="Arial" w:cs="Arial"/>
          <w:b w:val="0"/>
          <w:color w:val="auto"/>
          <w:sz w:val="20"/>
          <w:szCs w:val="20"/>
        </w:rPr>
        <w:t> </w:t>
      </w:r>
      <w:r w:rsidR="00C60EA0" w:rsidRPr="00EB2612">
        <w:rPr>
          <w:rFonts w:ascii="Arial" w:hAnsi="Arial" w:cs="Arial"/>
          <w:b w:val="0"/>
          <w:color w:val="auto"/>
          <w:sz w:val="20"/>
          <w:szCs w:val="20"/>
        </w:rPr>
        <w:t>pohybuje se okolo 1 %</w:t>
      </w:r>
      <w:r w:rsidRPr="00EB2612">
        <w:rPr>
          <w:rFonts w:ascii="Arial" w:hAnsi="Arial" w:cs="Arial"/>
          <w:b w:val="0"/>
          <w:color w:val="auto"/>
          <w:sz w:val="20"/>
          <w:szCs w:val="20"/>
        </w:rPr>
        <w:t> celkového vysílacího času</w:t>
      </w:r>
      <w:r w:rsidR="00154174" w:rsidRPr="00EB2612">
        <w:rPr>
          <w:rFonts w:ascii="Arial" w:hAnsi="Arial" w:cs="Arial"/>
          <w:b w:val="0"/>
          <w:color w:val="auto"/>
          <w:sz w:val="20"/>
          <w:szCs w:val="20"/>
        </w:rPr>
        <w:t xml:space="preserve"> </w:t>
      </w:r>
      <w:r w:rsidR="003A7ABE" w:rsidRPr="00EB2612">
        <w:rPr>
          <w:rFonts w:ascii="Arial" w:hAnsi="Arial" w:cs="Arial"/>
          <w:b w:val="0"/>
          <w:color w:val="auto"/>
          <w:sz w:val="20"/>
          <w:szCs w:val="20"/>
        </w:rPr>
        <w:t>(včetně upoutávek na vlastní poř</w:t>
      </w:r>
      <w:r w:rsidR="00154174" w:rsidRPr="00EB2612">
        <w:rPr>
          <w:rFonts w:ascii="Arial" w:hAnsi="Arial" w:cs="Arial"/>
          <w:b w:val="0"/>
          <w:color w:val="auto"/>
          <w:sz w:val="20"/>
          <w:szCs w:val="20"/>
        </w:rPr>
        <w:t>ady)</w:t>
      </w:r>
      <w:r w:rsidRPr="00EB2612">
        <w:rPr>
          <w:rFonts w:ascii="Arial" w:hAnsi="Arial" w:cs="Arial"/>
          <w:b w:val="0"/>
          <w:color w:val="auto"/>
          <w:sz w:val="20"/>
          <w:szCs w:val="20"/>
        </w:rPr>
        <w:t>. Podrobnější</w:t>
      </w:r>
      <w:r w:rsidR="00220644" w:rsidRPr="00EB2612">
        <w:rPr>
          <w:rFonts w:ascii="Arial" w:hAnsi="Arial" w:cs="Arial"/>
          <w:b w:val="0"/>
          <w:color w:val="auto"/>
          <w:sz w:val="20"/>
          <w:szCs w:val="20"/>
        </w:rPr>
        <w:t> </w:t>
      </w:r>
      <w:r w:rsidRPr="00EB2612">
        <w:rPr>
          <w:rFonts w:ascii="Arial" w:hAnsi="Arial" w:cs="Arial"/>
          <w:b w:val="0"/>
          <w:color w:val="auto"/>
          <w:sz w:val="20"/>
          <w:szCs w:val="20"/>
        </w:rPr>
        <w:t>procentuální rozdělení vysílacího času pre</w:t>
      </w:r>
      <w:r w:rsidR="0016269D" w:rsidRPr="00EB2612">
        <w:rPr>
          <w:rFonts w:ascii="Arial" w:hAnsi="Arial" w:cs="Arial"/>
          <w:b w:val="0"/>
          <w:color w:val="auto"/>
          <w:sz w:val="20"/>
          <w:szCs w:val="20"/>
        </w:rPr>
        <w:t xml:space="preserve">zentuje Graf </w:t>
      </w:r>
      <w:r w:rsidR="00FF526E">
        <w:rPr>
          <w:rFonts w:ascii="Arial" w:hAnsi="Arial" w:cs="Arial"/>
          <w:b w:val="0"/>
          <w:color w:val="auto"/>
          <w:sz w:val="20"/>
          <w:szCs w:val="20"/>
        </w:rPr>
        <w:t>49</w:t>
      </w:r>
      <w:r w:rsidR="00C7180D" w:rsidRPr="00EB2612">
        <w:rPr>
          <w:rFonts w:ascii="Arial" w:hAnsi="Arial" w:cs="Arial"/>
          <w:b w:val="0"/>
          <w:color w:val="auto"/>
          <w:sz w:val="20"/>
          <w:szCs w:val="20"/>
        </w:rPr>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1A4BAA" w:rsidRPr="00EB2612">
        <w:rPr>
          <w:color w:val="auto"/>
          <w:sz w:val="22"/>
          <w:szCs w:val="22"/>
        </w:rPr>
        <w:t>4</w:t>
      </w:r>
      <w:r w:rsidR="00424B58">
        <w:rPr>
          <w:color w:val="auto"/>
          <w:sz w:val="22"/>
          <w:szCs w:val="22"/>
        </w:rPr>
        <w:t>9</w:t>
      </w:r>
      <w:r w:rsidRPr="00EB2612">
        <w:rPr>
          <w:b w:val="0"/>
          <w:color w:val="auto"/>
          <w:sz w:val="22"/>
          <w:szCs w:val="22"/>
        </w:rPr>
        <w:t xml:space="preserve"> </w:t>
      </w:r>
      <w:r w:rsidR="00536FAD" w:rsidRPr="00EB2612">
        <w:rPr>
          <w:b w:val="0"/>
          <w:color w:val="auto"/>
          <w:sz w:val="22"/>
          <w:szCs w:val="22"/>
        </w:rPr>
        <w:t>Týdenní p</w:t>
      </w:r>
      <w:r w:rsidRPr="00EB2612">
        <w:rPr>
          <w:b w:val="0"/>
          <w:color w:val="auto"/>
          <w:sz w:val="22"/>
          <w:szCs w:val="22"/>
        </w:rPr>
        <w:t xml:space="preserve">rogramová struktura </w:t>
      </w:r>
      <w:r w:rsidR="00014F4C">
        <w:rPr>
          <w:b w:val="0"/>
          <w:color w:val="auto"/>
          <w:sz w:val="22"/>
          <w:szCs w:val="22"/>
        </w:rPr>
        <w:t xml:space="preserve">vysílacího času </w:t>
      </w:r>
      <w:r w:rsidRPr="00EB2612">
        <w:rPr>
          <w:b w:val="0"/>
          <w:color w:val="auto"/>
          <w:sz w:val="22"/>
          <w:szCs w:val="22"/>
        </w:rPr>
        <w:t>rozhlasového</w:t>
      </w:r>
      <w:r w:rsidR="00C60EA0" w:rsidRPr="00EB2612">
        <w:rPr>
          <w:b w:val="0"/>
          <w:color w:val="auto"/>
          <w:sz w:val="22"/>
          <w:szCs w:val="22"/>
        </w:rPr>
        <w:t xml:space="preserve"> vysílání v roce 2019</w:t>
      </w:r>
      <w:r w:rsidRPr="00EB2612">
        <w:rPr>
          <w:b w:val="0"/>
          <w:color w:val="auto"/>
          <w:sz w:val="22"/>
          <w:szCs w:val="22"/>
        </w:rPr>
        <w:t xml:space="preserve"> podle pořadů</w:t>
      </w:r>
    </w:p>
    <w:p w:rsidR="00BB64DB" w:rsidRPr="00EB2612" w:rsidRDefault="00BF08D4" w:rsidP="00BB64DB">
      <w:pPr>
        <w:keepNext/>
        <w:jc w:val="center"/>
      </w:pPr>
      <w:r w:rsidRPr="00EB2612">
        <w:rPr>
          <w:noProof/>
        </w:rPr>
        <w:drawing>
          <wp:inline distT="0" distB="0" distL="0" distR="0">
            <wp:extent cx="5753100" cy="2381250"/>
            <wp:effectExtent l="0" t="0" r="0" b="0"/>
            <wp:docPr id="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9253A5" w:rsidRPr="00EB2612">
        <w:rPr>
          <w:b w:val="0"/>
          <w:color w:val="auto"/>
          <w:sz w:val="22"/>
          <w:szCs w:val="22"/>
        </w:rPr>
        <w:t xml:space="preserve">Kult, </w:t>
      </w:r>
      <w:r w:rsidRPr="00EB2612">
        <w:rPr>
          <w:b w:val="0"/>
          <w:color w:val="auto"/>
          <w:sz w:val="22"/>
          <w:szCs w:val="22"/>
        </w:rPr>
        <w:t>ČSÚ</w:t>
      </w:r>
    </w:p>
    <w:p w:rsidR="00154174" w:rsidRPr="00EB2612" w:rsidRDefault="008F61DD" w:rsidP="00154174">
      <w:pPr>
        <w:rPr>
          <w:lang w:eastAsia="en-US"/>
        </w:rPr>
      </w:pPr>
      <w:r w:rsidRPr="00EB2612">
        <w:rPr>
          <w:lang w:eastAsia="en-US"/>
        </w:rPr>
        <w:t>Pro refe</w:t>
      </w:r>
      <w:r w:rsidR="003A7ABE" w:rsidRPr="00EB2612">
        <w:rPr>
          <w:lang w:eastAsia="en-US"/>
        </w:rPr>
        <w:t>renční rok 2017 byly ve výkaze K</w:t>
      </w:r>
      <w:r w:rsidRPr="00EB2612">
        <w:rPr>
          <w:lang w:eastAsia="en-US"/>
        </w:rPr>
        <w:t>ult</w:t>
      </w:r>
      <w:r w:rsidR="003A7ABE" w:rsidRPr="00EB2612">
        <w:rPr>
          <w:lang w:eastAsia="en-US"/>
        </w:rPr>
        <w:t xml:space="preserve"> 6-01 značně rozšířeny</w:t>
      </w:r>
      <w:r w:rsidRPr="00EB2612">
        <w:rPr>
          <w:lang w:eastAsia="en-US"/>
        </w:rPr>
        <w:t xml:space="preserve"> otázky týkající se hudebního vysílání – nově se od tohoto roku sleduje datum vydání vysílaných skladeb a státní příslušnost interpretů. Upravila se ta</w:t>
      </w:r>
      <w:r w:rsidR="001132C6" w:rsidRPr="00EB2612">
        <w:rPr>
          <w:lang w:eastAsia="en-US"/>
        </w:rPr>
        <w:t>ké sledovaná perioda vysílacího</w:t>
      </w:r>
      <w:r w:rsidRPr="00EB2612">
        <w:rPr>
          <w:lang w:eastAsia="en-US"/>
        </w:rPr>
        <w:t xml:space="preserve"> času z ročního na týdenní schéma. Respondenti udávali údaje o běžném týdenním vysílacím schéma</w:t>
      </w:r>
      <w:r w:rsidR="003A7ABE" w:rsidRPr="00EB2612">
        <w:rPr>
          <w:lang w:eastAsia="en-US"/>
        </w:rPr>
        <w:t xml:space="preserve">tu, které není ovlivněno </w:t>
      </w:r>
      <w:r w:rsidR="001132C6" w:rsidRPr="00EB2612">
        <w:rPr>
          <w:lang w:eastAsia="en-US"/>
        </w:rPr>
        <w:t>sezónními</w:t>
      </w:r>
      <w:r w:rsidRPr="00EB2612">
        <w:rPr>
          <w:lang w:eastAsia="en-US"/>
        </w:rPr>
        <w:t xml:space="preserve"> </w:t>
      </w:r>
      <w:r w:rsidR="00AA2926" w:rsidRPr="00EB2612">
        <w:rPr>
          <w:lang w:eastAsia="en-US"/>
        </w:rPr>
        <w:t>výkyvy.</w:t>
      </w:r>
      <w:r w:rsidR="00432D49" w:rsidRPr="00EB2612">
        <w:rPr>
          <w:lang w:eastAsia="en-US"/>
        </w:rPr>
        <w:t xml:space="preserve"> V referenčním roce 201</w:t>
      </w:r>
      <w:r w:rsidR="00CB2058" w:rsidRPr="00EB2612">
        <w:rPr>
          <w:lang w:eastAsia="en-US"/>
        </w:rPr>
        <w:t>9</w:t>
      </w:r>
      <w:r w:rsidR="00432D49" w:rsidRPr="00EB2612">
        <w:rPr>
          <w:lang w:eastAsia="en-US"/>
        </w:rPr>
        <w:t xml:space="preserve"> se již takto členěná data sbírala </w:t>
      </w:r>
      <w:r w:rsidR="00CB2058" w:rsidRPr="00EB2612">
        <w:rPr>
          <w:lang w:eastAsia="en-US"/>
        </w:rPr>
        <w:t>potřetí</w:t>
      </w:r>
      <w:r w:rsidR="00432D49" w:rsidRPr="00EB2612">
        <w:rPr>
          <w:lang w:eastAsia="en-US"/>
        </w:rPr>
        <w:t>.</w:t>
      </w:r>
      <w:r w:rsidR="00AA2926" w:rsidRPr="00EB2612">
        <w:rPr>
          <w:lang w:eastAsia="en-US"/>
        </w:rPr>
        <w:t xml:space="preserve"> </w:t>
      </w:r>
      <w:r w:rsidR="006B4F63" w:rsidRPr="00EB2612">
        <w:rPr>
          <w:lang w:eastAsia="en-US"/>
        </w:rPr>
        <w:t>Nejvíce prostoru v rámci hudebního vysílání je dáno současné hudbě (vydané ve sledov</w:t>
      </w:r>
      <w:r w:rsidR="00432D49" w:rsidRPr="00EB2612">
        <w:rPr>
          <w:lang w:eastAsia="en-US"/>
        </w:rPr>
        <w:t>aném či předchozím roce) a</w:t>
      </w:r>
      <w:r w:rsidR="00CB2058" w:rsidRPr="00EB2612">
        <w:rPr>
          <w:lang w:eastAsia="en-US"/>
        </w:rPr>
        <w:t xml:space="preserve"> hudbě vydané po roce 2010 – dohromady tvoří dvě pětiny celkového vysílacího času</w:t>
      </w:r>
      <w:r w:rsidR="006B4F63" w:rsidRPr="00EB2612">
        <w:rPr>
          <w:lang w:eastAsia="en-US"/>
        </w:rPr>
        <w:t>.</w:t>
      </w:r>
      <w:r w:rsidR="006360F1" w:rsidRPr="00EB2612">
        <w:rPr>
          <w:lang w:eastAsia="en-US"/>
        </w:rPr>
        <w:t xml:space="preserve"> </w:t>
      </w:r>
      <w:r w:rsidR="00CB2058" w:rsidRPr="00EB2612">
        <w:rPr>
          <w:lang w:eastAsia="en-US"/>
        </w:rPr>
        <w:t xml:space="preserve">Další pětina vysílání připadne na hudbu devadesátých let. </w:t>
      </w:r>
      <w:r w:rsidR="006360F1" w:rsidRPr="00EB2612">
        <w:rPr>
          <w:lang w:eastAsia="en-US"/>
        </w:rPr>
        <w:t>Tzv. oldies</w:t>
      </w:r>
      <w:r w:rsidR="006360F1" w:rsidRPr="00EB2612">
        <w:rPr>
          <w:rStyle w:val="Znakapoznpodarou"/>
          <w:lang w:eastAsia="en-US"/>
        </w:rPr>
        <w:footnoteReference w:id="11"/>
      </w:r>
      <w:r w:rsidR="00C7180D" w:rsidRPr="00EB2612">
        <w:rPr>
          <w:lang w:eastAsia="en-US"/>
        </w:rPr>
        <w:t>, tedy hudbě 60.</w:t>
      </w:r>
      <w:r w:rsidR="006360F1" w:rsidRPr="00EB2612">
        <w:rPr>
          <w:lang w:eastAsia="en-US"/>
        </w:rPr>
        <w:t>–</w:t>
      </w:r>
      <w:r w:rsidR="00E916F2" w:rsidRPr="00EB2612">
        <w:rPr>
          <w:lang w:eastAsia="en-US"/>
        </w:rPr>
        <w:t>80</w:t>
      </w:r>
      <w:r w:rsidR="006360F1" w:rsidRPr="00EB2612">
        <w:rPr>
          <w:lang w:eastAsia="en-US"/>
        </w:rPr>
        <w:t>.</w:t>
      </w:r>
      <w:r w:rsidR="00432D49" w:rsidRPr="00EB2612">
        <w:rPr>
          <w:lang w:eastAsia="en-US"/>
        </w:rPr>
        <w:t xml:space="preserve"> let je věnov</w:t>
      </w:r>
      <w:r w:rsidR="00CB2058" w:rsidRPr="00EB2612">
        <w:rPr>
          <w:lang w:eastAsia="en-US"/>
        </w:rPr>
        <w:t>áno 25</w:t>
      </w:r>
      <w:r w:rsidR="00E916F2" w:rsidRPr="00EB2612">
        <w:rPr>
          <w:lang w:eastAsia="en-US"/>
        </w:rPr>
        <w:t xml:space="preserve"> % hudebního vysílání. Hudba </w:t>
      </w:r>
      <w:r w:rsidR="00CB2058" w:rsidRPr="00EB2612">
        <w:rPr>
          <w:lang w:eastAsia="en-US"/>
        </w:rPr>
        <w:t>vydaná v první dekádě nového milénia</w:t>
      </w:r>
      <w:r w:rsidR="00E916F2" w:rsidRPr="00EB2612">
        <w:rPr>
          <w:lang w:eastAsia="en-US"/>
        </w:rPr>
        <w:t xml:space="preserve"> zní obvykle</w:t>
      </w:r>
      <w:r w:rsidR="003A7ABE" w:rsidRPr="00EB2612">
        <w:rPr>
          <w:lang w:eastAsia="en-US"/>
        </w:rPr>
        <w:t xml:space="preserve"> v</w:t>
      </w:r>
      <w:r w:rsidR="00432D49" w:rsidRPr="00EB2612">
        <w:rPr>
          <w:lang w:eastAsia="en-US"/>
        </w:rPr>
        <w:t xml:space="preserve"> 15</w:t>
      </w:r>
      <w:r w:rsidR="00E916F2" w:rsidRPr="00EB2612">
        <w:rPr>
          <w:lang w:eastAsia="en-US"/>
        </w:rPr>
        <w:t xml:space="preserve"> % hudebního vysílání a</w:t>
      </w:r>
      <w:r w:rsidR="000E0D24" w:rsidRPr="00EB2612">
        <w:rPr>
          <w:lang w:eastAsia="en-US"/>
        </w:rPr>
        <w:t> </w:t>
      </w:r>
      <w:r w:rsidR="00E916F2" w:rsidRPr="00EB2612">
        <w:rPr>
          <w:lang w:eastAsia="en-US"/>
        </w:rPr>
        <w:t>jen velmi okrajově zní na</w:t>
      </w:r>
      <w:r w:rsidR="00CB2058" w:rsidRPr="00EB2612">
        <w:rPr>
          <w:lang w:eastAsia="en-US"/>
        </w:rPr>
        <w:t>hrávky vydané před rokem 1959 (1</w:t>
      </w:r>
      <w:r w:rsidR="00E916F2" w:rsidRPr="00EB2612">
        <w:rPr>
          <w:lang w:eastAsia="en-US"/>
        </w:rPr>
        <w:t xml:space="preserve"> % hudebního vysílání).</w:t>
      </w:r>
    </w:p>
    <w:p w:rsidR="00BB64DB" w:rsidRPr="00EB2612" w:rsidRDefault="00BB64DB" w:rsidP="00BB64DB">
      <w:pPr>
        <w:pStyle w:val="Titulek"/>
        <w:keepNext/>
        <w:rPr>
          <w:b w:val="0"/>
          <w:color w:val="auto"/>
          <w:sz w:val="22"/>
          <w:szCs w:val="22"/>
        </w:rPr>
      </w:pPr>
      <w:r w:rsidRPr="00EB2612">
        <w:rPr>
          <w:color w:val="auto"/>
          <w:sz w:val="22"/>
          <w:szCs w:val="22"/>
        </w:rPr>
        <w:lastRenderedPageBreak/>
        <w:t xml:space="preserve">Graf </w:t>
      </w:r>
      <w:r w:rsidR="00424B58">
        <w:rPr>
          <w:color w:val="auto"/>
          <w:sz w:val="22"/>
          <w:szCs w:val="22"/>
        </w:rPr>
        <w:t>50</w:t>
      </w:r>
      <w:r w:rsidRPr="00EB2612">
        <w:rPr>
          <w:color w:val="auto"/>
        </w:rPr>
        <w:t xml:space="preserve"> </w:t>
      </w:r>
      <w:r w:rsidR="003A7ABE" w:rsidRPr="00EB2612">
        <w:rPr>
          <w:b w:val="0"/>
          <w:color w:val="auto"/>
          <w:sz w:val="22"/>
          <w:szCs w:val="22"/>
        </w:rPr>
        <w:t>Hudební vysílání</w:t>
      </w:r>
      <w:r w:rsidR="008F61DD" w:rsidRPr="00EB2612">
        <w:rPr>
          <w:b w:val="0"/>
          <w:color w:val="auto"/>
          <w:sz w:val="22"/>
          <w:szCs w:val="22"/>
        </w:rPr>
        <w:t xml:space="preserve"> podle data vydání vysílaných skladeb</w:t>
      </w:r>
      <w:r w:rsidR="001132C6" w:rsidRPr="00EB2612">
        <w:rPr>
          <w:b w:val="0"/>
          <w:color w:val="auto"/>
          <w:sz w:val="22"/>
          <w:szCs w:val="22"/>
        </w:rPr>
        <w:t xml:space="preserve"> v</w:t>
      </w:r>
      <w:r w:rsidR="00F85F9A" w:rsidRPr="00EB2612">
        <w:rPr>
          <w:b w:val="0"/>
          <w:color w:val="auto"/>
          <w:sz w:val="22"/>
          <w:szCs w:val="22"/>
        </w:rPr>
        <w:t xml:space="preserve"> roce 2019</w:t>
      </w:r>
      <w:r w:rsidR="008F61DD" w:rsidRPr="00EB2612">
        <w:rPr>
          <w:b w:val="0"/>
          <w:color w:val="auto"/>
          <w:sz w:val="22"/>
          <w:szCs w:val="22"/>
        </w:rPr>
        <w:t xml:space="preserve"> (</w:t>
      </w:r>
      <w:r w:rsidR="00E047D9" w:rsidRPr="00EB2612">
        <w:rPr>
          <w:b w:val="0"/>
          <w:color w:val="auto"/>
          <w:sz w:val="22"/>
          <w:szCs w:val="22"/>
        </w:rPr>
        <w:t>běžný vysílací týden</w:t>
      </w:r>
      <w:r w:rsidR="008F61DD" w:rsidRPr="00EB2612">
        <w:rPr>
          <w:b w:val="0"/>
          <w:color w:val="auto"/>
          <w:sz w:val="22"/>
          <w:szCs w:val="22"/>
        </w:rPr>
        <w:t>)</w:t>
      </w:r>
    </w:p>
    <w:p w:rsidR="00BB64DB" w:rsidRPr="00EB2612" w:rsidRDefault="00C60EA0" w:rsidP="00BB64DB">
      <w:pPr>
        <w:keepNext/>
        <w:jc w:val="center"/>
      </w:pPr>
      <w:r w:rsidRPr="00EB2612">
        <w:rPr>
          <w:noProof/>
        </w:rPr>
        <w:drawing>
          <wp:inline distT="0" distB="0" distL="0" distR="0">
            <wp:extent cx="5953125" cy="2057400"/>
            <wp:effectExtent l="0" t="0" r="0" b="0"/>
            <wp:docPr id="1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B64DB" w:rsidRPr="00EB2612" w:rsidRDefault="00BB64DB" w:rsidP="00BB64DB">
      <w:pPr>
        <w:pStyle w:val="Titulek"/>
        <w:shd w:val="clear" w:color="auto" w:fill="FFFFFF" w:themeFill="background1"/>
        <w:rPr>
          <w:b w:val="0"/>
          <w:color w:val="auto"/>
          <w:sz w:val="22"/>
          <w:szCs w:val="22"/>
        </w:rPr>
      </w:pPr>
      <w:r w:rsidRPr="00EB2612">
        <w:rPr>
          <w:b w:val="0"/>
          <w:color w:val="auto"/>
          <w:sz w:val="22"/>
          <w:szCs w:val="22"/>
        </w:rPr>
        <w:t xml:space="preserve">Zdroj: </w:t>
      </w:r>
      <w:r w:rsidR="00E916F2" w:rsidRPr="00EB2612">
        <w:rPr>
          <w:b w:val="0"/>
          <w:color w:val="auto"/>
          <w:sz w:val="22"/>
          <w:szCs w:val="22"/>
        </w:rPr>
        <w:t>Kult, ČSÚ</w:t>
      </w:r>
    </w:p>
    <w:p w:rsidR="00E916F2" w:rsidRPr="00EB2612" w:rsidRDefault="00E916F2" w:rsidP="00E916F2">
      <w:pPr>
        <w:rPr>
          <w:lang w:eastAsia="en-US"/>
        </w:rPr>
      </w:pPr>
      <w:r w:rsidRPr="00EB2612">
        <w:rPr>
          <w:lang w:eastAsia="en-US"/>
        </w:rPr>
        <w:t>Když rozdělíme vysílanou</w:t>
      </w:r>
      <w:r w:rsidR="009150C0" w:rsidRPr="00EB2612">
        <w:rPr>
          <w:lang w:eastAsia="en-US"/>
        </w:rPr>
        <w:t xml:space="preserve"> hudbu</w:t>
      </w:r>
      <w:r w:rsidRPr="00EB2612">
        <w:rPr>
          <w:lang w:eastAsia="en-US"/>
        </w:rPr>
        <w:t xml:space="preserve"> </w:t>
      </w:r>
      <w:r w:rsidR="009150C0" w:rsidRPr="00EB2612">
        <w:rPr>
          <w:lang w:eastAsia="en-US"/>
        </w:rPr>
        <w:t>podle období</w:t>
      </w:r>
      <w:r w:rsidRPr="00EB2612">
        <w:rPr>
          <w:lang w:eastAsia="en-US"/>
        </w:rPr>
        <w:t xml:space="preserve"> </w:t>
      </w:r>
      <w:r w:rsidR="009150C0" w:rsidRPr="00EB2612">
        <w:rPr>
          <w:lang w:eastAsia="en-US"/>
        </w:rPr>
        <w:t xml:space="preserve">vydání i </w:t>
      </w:r>
      <w:r w:rsidRPr="00EB2612">
        <w:rPr>
          <w:lang w:eastAsia="en-US"/>
        </w:rPr>
        <w:t>podle státní př</w:t>
      </w:r>
      <w:r w:rsidR="00E047D9" w:rsidRPr="00EB2612">
        <w:rPr>
          <w:lang w:eastAsia="en-US"/>
        </w:rPr>
        <w:t xml:space="preserve">íslušnosti interpretů, zjistíme, že </w:t>
      </w:r>
      <w:r w:rsidR="005D6DE0" w:rsidRPr="00EB2612">
        <w:rPr>
          <w:lang w:eastAsia="en-US"/>
        </w:rPr>
        <w:t xml:space="preserve">zatímco </w:t>
      </w:r>
      <w:r w:rsidR="00E047D9" w:rsidRPr="00EB2612">
        <w:rPr>
          <w:lang w:eastAsia="en-US"/>
        </w:rPr>
        <w:t>u</w:t>
      </w:r>
      <w:r w:rsidR="00C7180D" w:rsidRPr="00EB2612">
        <w:rPr>
          <w:lang w:eastAsia="en-US"/>
        </w:rPr>
        <w:t> </w:t>
      </w:r>
      <w:r w:rsidR="00E047D9" w:rsidRPr="00EB2612">
        <w:rPr>
          <w:lang w:eastAsia="en-US"/>
        </w:rPr>
        <w:t>novějších skladeb dominují zahraniční interpreti,</w:t>
      </w:r>
      <w:r w:rsidR="005D6DE0" w:rsidRPr="00EB2612">
        <w:rPr>
          <w:lang w:eastAsia="en-US"/>
        </w:rPr>
        <w:t xml:space="preserve"> </w:t>
      </w:r>
      <w:r w:rsidR="00E047D9" w:rsidRPr="00EB2612">
        <w:rPr>
          <w:lang w:eastAsia="en-US"/>
        </w:rPr>
        <w:t>u starších skladeb</w:t>
      </w:r>
      <w:r w:rsidR="005D6DE0" w:rsidRPr="00EB2612">
        <w:rPr>
          <w:lang w:eastAsia="en-US"/>
        </w:rPr>
        <w:t xml:space="preserve"> spíše převažuje</w:t>
      </w:r>
      <w:r w:rsidR="00E047D9" w:rsidRPr="00EB2612">
        <w:rPr>
          <w:lang w:eastAsia="en-US"/>
        </w:rPr>
        <w:t xml:space="preserve"> </w:t>
      </w:r>
      <w:r w:rsidR="005D6DE0" w:rsidRPr="00EB2612">
        <w:rPr>
          <w:lang w:eastAsia="en-US"/>
        </w:rPr>
        <w:t>česká tvorba</w:t>
      </w:r>
      <w:r w:rsidR="00FF526E">
        <w:rPr>
          <w:lang w:eastAsia="en-US"/>
        </w:rPr>
        <w:t>. Jak je patrné z Grafu 51</w:t>
      </w:r>
      <w:r w:rsidR="00E047D9" w:rsidRPr="00EB2612">
        <w:rPr>
          <w:lang w:eastAsia="en-US"/>
        </w:rPr>
        <w:t xml:space="preserve">, u současné hudby (vydané ve sledovaném či předchozím roce) pochází </w:t>
      </w:r>
      <w:r w:rsidR="005D6DE0" w:rsidRPr="00EB2612">
        <w:rPr>
          <w:lang w:eastAsia="en-US"/>
        </w:rPr>
        <w:t xml:space="preserve">přibližně </w:t>
      </w:r>
      <w:proofErr w:type="spellStart"/>
      <w:r w:rsidR="005D6DE0" w:rsidRPr="00EB2612">
        <w:rPr>
          <w:lang w:eastAsia="en-US"/>
        </w:rPr>
        <w:t>třičtvrtě</w:t>
      </w:r>
      <w:proofErr w:type="spellEnd"/>
      <w:r w:rsidR="00E047D9" w:rsidRPr="00EB2612">
        <w:rPr>
          <w:lang w:eastAsia="en-US"/>
        </w:rPr>
        <w:t xml:space="preserve"> skladeb od zahraničních interpretů. Naopak u hudby šedesátých a sedmdesátých </w:t>
      </w:r>
      <w:r w:rsidR="00AE20F6">
        <w:rPr>
          <w:lang w:eastAsia="en-US"/>
        </w:rPr>
        <w:t xml:space="preserve">let </w:t>
      </w:r>
      <w:r w:rsidR="005D6DE0" w:rsidRPr="00EB2612">
        <w:rPr>
          <w:lang w:eastAsia="en-US"/>
        </w:rPr>
        <w:t xml:space="preserve">výrazněji </w:t>
      </w:r>
      <w:r w:rsidR="00AF447D" w:rsidRPr="00EB2612">
        <w:rPr>
          <w:lang w:eastAsia="en-US"/>
        </w:rPr>
        <w:t>převládá podíl</w:t>
      </w:r>
      <w:r w:rsidR="00E047D9" w:rsidRPr="00EB2612">
        <w:rPr>
          <w:lang w:eastAsia="en-US"/>
        </w:rPr>
        <w:t xml:space="preserve"> českých interpretů</w:t>
      </w:r>
      <w:r w:rsidR="00AF447D" w:rsidRPr="00EB2612">
        <w:rPr>
          <w:lang w:eastAsia="en-US"/>
        </w:rPr>
        <w:t xml:space="preserve">. Od osmdesátých let </w:t>
      </w:r>
      <w:r w:rsidR="0039428D" w:rsidRPr="00EB2612">
        <w:rPr>
          <w:lang w:eastAsia="en-US"/>
        </w:rPr>
        <w:t>začíná</w:t>
      </w:r>
      <w:r w:rsidR="005D6DE0" w:rsidRPr="00EB2612">
        <w:rPr>
          <w:lang w:eastAsia="en-US"/>
        </w:rPr>
        <w:t xml:space="preserve"> podíl nahrávek českých interpretů v každé následující dekádě klesat</w:t>
      </w:r>
      <w:r w:rsidR="0039428D" w:rsidRPr="00EB2612">
        <w:rPr>
          <w:lang w:eastAsia="en-US"/>
        </w:rPr>
        <w:t xml:space="preserve">. </w:t>
      </w:r>
      <w:r w:rsidR="00CF0318" w:rsidRPr="00EB2612">
        <w:rPr>
          <w:lang w:eastAsia="en-US"/>
        </w:rPr>
        <w:t>Nejpravděpodobnějším vysvětlením tohoto jevu bude cílení rozhlasových dram</w:t>
      </w:r>
      <w:r w:rsidR="00C7180D" w:rsidRPr="00EB2612">
        <w:rPr>
          <w:lang w:eastAsia="en-US"/>
        </w:rPr>
        <w:t xml:space="preserve">aturgů na různé cílové </w:t>
      </w:r>
      <w:r w:rsidR="003150BE" w:rsidRPr="00EB2612">
        <w:rPr>
          <w:lang w:eastAsia="en-US"/>
        </w:rPr>
        <w:t>skupiny – posluchači</w:t>
      </w:r>
      <w:r w:rsidR="00CF0318" w:rsidRPr="00EB2612">
        <w:rPr>
          <w:lang w:eastAsia="en-US"/>
        </w:rPr>
        <w:t xml:space="preserve"> po</w:t>
      </w:r>
      <w:r w:rsidR="009150C0" w:rsidRPr="00EB2612">
        <w:rPr>
          <w:lang w:eastAsia="en-US"/>
        </w:rPr>
        <w:t>řadů s hudbou staršího vydání (</w:t>
      </w:r>
      <w:r w:rsidR="00CF0318" w:rsidRPr="00EB2612">
        <w:rPr>
          <w:lang w:eastAsia="en-US"/>
        </w:rPr>
        <w:t>obvykle zřejmě starší generace) preferují spíše domácí tvorbu</w:t>
      </w:r>
      <w:r w:rsidR="009150C0" w:rsidRPr="00EB2612">
        <w:rPr>
          <w:lang w:eastAsia="en-US"/>
        </w:rPr>
        <w:t>, kterou z doby jejího vzniku znají,</w:t>
      </w:r>
      <w:r w:rsidR="00CF0318" w:rsidRPr="00EB2612">
        <w:rPr>
          <w:lang w:eastAsia="en-US"/>
        </w:rPr>
        <w:t xml:space="preserve"> na rozdíl od posluchačů pořadů s hudbou novějšího data vydání (obvykle zřejmě mladší generace), kteří pre</w:t>
      </w:r>
      <w:r w:rsidR="005D6DE0" w:rsidRPr="00EB2612">
        <w:rPr>
          <w:lang w:eastAsia="en-US"/>
        </w:rPr>
        <w:t>ferují spíše zahraniční tvorbu.</w:t>
      </w:r>
    </w:p>
    <w:p w:rsidR="00E047D9" w:rsidRPr="00EB2612" w:rsidRDefault="00E047D9" w:rsidP="00E047D9">
      <w:pPr>
        <w:pStyle w:val="Titulek"/>
        <w:keepNext/>
        <w:rPr>
          <w:b w:val="0"/>
          <w:color w:val="auto"/>
          <w:sz w:val="22"/>
          <w:szCs w:val="22"/>
        </w:rPr>
      </w:pPr>
      <w:r w:rsidRPr="00EB2612">
        <w:rPr>
          <w:color w:val="auto"/>
          <w:sz w:val="22"/>
          <w:szCs w:val="22"/>
        </w:rPr>
        <w:t xml:space="preserve">Graf </w:t>
      </w:r>
      <w:r w:rsidR="00AA2926" w:rsidRPr="00EB2612">
        <w:rPr>
          <w:color w:val="auto"/>
          <w:sz w:val="22"/>
          <w:szCs w:val="22"/>
        </w:rPr>
        <w:t>5</w:t>
      </w:r>
      <w:r w:rsidR="00424B58">
        <w:rPr>
          <w:color w:val="auto"/>
          <w:sz w:val="22"/>
          <w:szCs w:val="22"/>
        </w:rPr>
        <w:t>1</w:t>
      </w:r>
      <w:r w:rsidRPr="00EB2612">
        <w:rPr>
          <w:color w:val="auto"/>
        </w:rPr>
        <w:t xml:space="preserve"> </w:t>
      </w:r>
      <w:r w:rsidRPr="00EB2612">
        <w:rPr>
          <w:b w:val="0"/>
          <w:color w:val="auto"/>
          <w:sz w:val="22"/>
          <w:szCs w:val="22"/>
        </w:rPr>
        <w:t>Podíl skladeb zahraničních a českých interpretů v rámci sledovaných období</w:t>
      </w:r>
      <w:r w:rsidR="009150C0" w:rsidRPr="00EB2612">
        <w:rPr>
          <w:b w:val="0"/>
          <w:color w:val="auto"/>
          <w:sz w:val="22"/>
          <w:szCs w:val="22"/>
        </w:rPr>
        <w:t xml:space="preserve"> vydání skladby</w:t>
      </w:r>
      <w:r w:rsidR="00F85F9A" w:rsidRPr="00EB2612">
        <w:rPr>
          <w:b w:val="0"/>
          <w:color w:val="auto"/>
          <w:sz w:val="22"/>
          <w:szCs w:val="22"/>
        </w:rPr>
        <w:t xml:space="preserve"> v roce 2019</w:t>
      </w:r>
      <w:r w:rsidRPr="00EB2612">
        <w:rPr>
          <w:b w:val="0"/>
          <w:color w:val="auto"/>
          <w:sz w:val="22"/>
          <w:szCs w:val="22"/>
        </w:rPr>
        <w:t xml:space="preserve"> (běžný vysílací týden)</w:t>
      </w:r>
    </w:p>
    <w:p w:rsidR="00E916F2" w:rsidRPr="00EB2612" w:rsidRDefault="005D6DE0" w:rsidP="00E916F2">
      <w:pPr>
        <w:rPr>
          <w:lang w:eastAsia="en-US"/>
        </w:rPr>
      </w:pPr>
      <w:r w:rsidRPr="00EB2612">
        <w:rPr>
          <w:noProof/>
        </w:rPr>
        <w:drawing>
          <wp:inline distT="0" distB="0" distL="0" distR="0">
            <wp:extent cx="6105525" cy="2085975"/>
            <wp:effectExtent l="0" t="0" r="0" b="0"/>
            <wp:docPr id="119"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047D9" w:rsidRPr="00EB2612" w:rsidRDefault="00E047D9" w:rsidP="00E047D9">
      <w:pPr>
        <w:pStyle w:val="Titulek"/>
        <w:shd w:val="clear" w:color="auto" w:fill="FFFFFF" w:themeFill="background1"/>
        <w:rPr>
          <w:b w:val="0"/>
          <w:color w:val="auto"/>
          <w:sz w:val="22"/>
          <w:szCs w:val="22"/>
        </w:rPr>
      </w:pPr>
      <w:r w:rsidRPr="00EB2612">
        <w:rPr>
          <w:b w:val="0"/>
          <w:color w:val="auto"/>
          <w:sz w:val="22"/>
          <w:szCs w:val="22"/>
        </w:rPr>
        <w:t>Zdroj: Kult, ČSÚ</w:t>
      </w:r>
    </w:p>
    <w:p w:rsidR="00BB64DB" w:rsidRPr="00EB2612" w:rsidRDefault="00B414F8" w:rsidP="00694914">
      <w:pPr>
        <w:pStyle w:val="Nadpis3"/>
        <w:numPr>
          <w:ilvl w:val="2"/>
          <w:numId w:val="17"/>
        </w:numPr>
      </w:pPr>
      <w:bookmarkStart w:id="95" w:name="_Toc430189809"/>
      <w:bookmarkStart w:id="96" w:name="_Toc431475037"/>
      <w:bookmarkStart w:id="97" w:name="_Toc463969192"/>
      <w:bookmarkStart w:id="98" w:name="_Toc465253902"/>
      <w:bookmarkStart w:id="99" w:name="_Toc55384440"/>
      <w:r w:rsidRPr="00EB2612">
        <w:t>PŘÍJMY</w:t>
      </w:r>
      <w:r w:rsidR="00BB64DB" w:rsidRPr="00EB2612">
        <w:t xml:space="preserve"> A ZAMĚSTNANOST</w:t>
      </w:r>
      <w:bookmarkEnd w:id="95"/>
      <w:bookmarkEnd w:id="96"/>
      <w:bookmarkEnd w:id="97"/>
      <w:bookmarkEnd w:id="98"/>
      <w:bookmarkEnd w:id="99"/>
    </w:p>
    <w:p w:rsidR="00BB64DB" w:rsidRPr="00EB2612" w:rsidRDefault="00EE218B" w:rsidP="00BB64DB">
      <w:r w:rsidRPr="00EB2612">
        <w:t>Mezi lety 2012</w:t>
      </w:r>
      <w:r w:rsidR="00FE35E6" w:rsidRPr="00EB2612">
        <w:t xml:space="preserve"> a 2019</w:t>
      </w:r>
      <w:r w:rsidRPr="00EB2612">
        <w:t xml:space="preserve"> </w:t>
      </w:r>
      <w:r w:rsidR="00BB64DB" w:rsidRPr="00EB2612">
        <w:t>došlo k</w:t>
      </w:r>
      <w:r w:rsidRPr="00EB2612">
        <w:t xml:space="preserve"> mírnému </w:t>
      </w:r>
      <w:r w:rsidR="00BB64DB" w:rsidRPr="00EB2612">
        <w:t>úbytku počtu prov</w:t>
      </w:r>
      <w:r w:rsidRPr="00EB2612">
        <w:t>ozovatelů rozhlasového vysílání a tomu odpovídá také výše celkových</w:t>
      </w:r>
      <w:r w:rsidR="00220644" w:rsidRPr="00EB2612">
        <w:t> </w:t>
      </w:r>
      <w:r w:rsidR="0073527D" w:rsidRPr="00EB2612">
        <w:t>příjmů</w:t>
      </w:r>
      <w:r w:rsidR="00BB64DB" w:rsidRPr="00EB2612">
        <w:t xml:space="preserve"> v oblasti rozhlasu</w:t>
      </w:r>
      <w:r w:rsidRPr="00EB2612">
        <w:t>, která</w:t>
      </w:r>
      <w:r w:rsidR="00BB64DB" w:rsidRPr="00EB2612">
        <w:t xml:space="preserve"> </w:t>
      </w:r>
      <w:r w:rsidRPr="00EB2612">
        <w:t>v tomto období poklesla</w:t>
      </w:r>
      <w:r w:rsidR="00BB64DB" w:rsidRPr="00EB2612">
        <w:t xml:space="preserve"> z</w:t>
      </w:r>
      <w:r w:rsidR="00AE20F6">
        <w:t> </w:t>
      </w:r>
      <w:r w:rsidR="00BB64DB" w:rsidRPr="00EB2612">
        <w:t>5</w:t>
      </w:r>
      <w:r w:rsidR="00AE20F6">
        <w:t>,0</w:t>
      </w:r>
      <w:r w:rsidR="000E4FAD" w:rsidRPr="00EB2612">
        <w:t xml:space="preserve"> </w:t>
      </w:r>
      <w:r w:rsidR="00BB64DB" w:rsidRPr="00EB2612">
        <w:t>na 4</w:t>
      </w:r>
      <w:r w:rsidR="000E4FAD" w:rsidRPr="00EB2612">
        <w:t>,</w:t>
      </w:r>
      <w:r w:rsidR="00FE35E6" w:rsidRPr="00EB2612">
        <w:t>2</w:t>
      </w:r>
      <w:r w:rsidR="00BB64DB" w:rsidRPr="00EB2612">
        <w:t xml:space="preserve"> mld. Kč. Co se struktury příjmů týče, u veřejnoprávního vysílání (Českého rozhlasu) tvořil podle poslední dos</w:t>
      </w:r>
      <w:r w:rsidR="00FE35E6" w:rsidRPr="00EB2612">
        <w:t>tupné výroční zprávy z roku 2019</w:t>
      </w:r>
      <w:r w:rsidR="00BB64DB" w:rsidRPr="00EB2612">
        <w:t xml:space="preserve"> příjem z r</w:t>
      </w:r>
      <w:r w:rsidR="001C3E02" w:rsidRPr="00EB2612">
        <w:t>ozhlasových poplatků více než 91</w:t>
      </w:r>
      <w:r w:rsidR="00BB64DB" w:rsidRPr="00EB2612">
        <w:t xml:space="preserve"> % celkových příjmů</w:t>
      </w:r>
      <w:r w:rsidR="00C943FA" w:rsidRPr="00EB2612">
        <w:t>,</w:t>
      </w:r>
      <w:r w:rsidR="00BB64DB" w:rsidRPr="00EB2612">
        <w:t xml:space="preserve"> </w:t>
      </w:r>
      <w:r w:rsidR="00ED437A" w:rsidRPr="00EB2612">
        <w:t>zatímco</w:t>
      </w:r>
      <w:r w:rsidR="000E4FAD" w:rsidRPr="00EB2612">
        <w:t xml:space="preserve"> </w:t>
      </w:r>
      <w:r w:rsidR="000E4FAD" w:rsidRPr="00EB2612">
        <w:lastRenderedPageBreak/>
        <w:t>z</w:t>
      </w:r>
      <w:r w:rsidR="00282CCA" w:rsidRPr="00EB2612">
        <w:t> </w:t>
      </w:r>
      <w:r w:rsidR="000E4FAD" w:rsidRPr="00EB2612">
        <w:t>reklamy</w:t>
      </w:r>
      <w:r w:rsidR="00282CCA" w:rsidRPr="00EB2612">
        <w:t> </w:t>
      </w:r>
      <w:r w:rsidR="000E4FAD" w:rsidRPr="00EB2612">
        <w:t>a</w:t>
      </w:r>
      <w:r w:rsidR="00282CCA" w:rsidRPr="00EB2612">
        <w:t> </w:t>
      </w:r>
      <w:r w:rsidR="000E4FAD" w:rsidRPr="00EB2612">
        <w:t>sponzoringu plynula</w:t>
      </w:r>
      <w:r w:rsidR="00BB64DB" w:rsidRPr="00EB2612">
        <w:t xml:space="preserve"> pouze 4 % příjmů. Naopak komerčním poskytovatelům (bez provozovatele vysílání progr</w:t>
      </w:r>
      <w:r w:rsidR="00224F9D" w:rsidRPr="00EB2612">
        <w:t>amu Svob</w:t>
      </w:r>
      <w:r w:rsidR="00FE35E6" w:rsidRPr="00EB2612">
        <w:t>odná Evropa) v roce 2019</w:t>
      </w:r>
      <w:r w:rsidR="000E4FAD" w:rsidRPr="00EB2612">
        <w:t xml:space="preserve"> plynulo</w:t>
      </w:r>
      <w:r w:rsidR="00FE35E6" w:rsidRPr="00EB2612">
        <w:t xml:space="preserve"> podle dat ČSÚ 97</w:t>
      </w:r>
      <w:r w:rsidR="00BB64DB" w:rsidRPr="00EB2612">
        <w:t xml:space="preserve"> % příjmů z tržeb za vlastní výkony, tedy lze předpokládat, že </w:t>
      </w:r>
      <w:r w:rsidR="00ED437A" w:rsidRPr="00EB2612">
        <w:t>z velké čá</w:t>
      </w:r>
      <w:r w:rsidR="00BB64DB" w:rsidRPr="00EB2612">
        <w:t>sti z prodeje reklamního prostoru. P</w:t>
      </w:r>
      <w:r w:rsidR="00FE35E6" w:rsidRPr="00EB2612">
        <w:t>očet zaměstnanců v roce 2019</w:t>
      </w:r>
      <w:r w:rsidR="00BB64DB" w:rsidRPr="00EB2612">
        <w:t xml:space="preserve"> dosahoval u </w:t>
      </w:r>
      <w:r w:rsidR="00430E4E" w:rsidRPr="00EB2612">
        <w:t>provozovatelů</w:t>
      </w:r>
      <w:r w:rsidR="00BB64DB" w:rsidRPr="00EB2612">
        <w:t xml:space="preserve"> rozhlasového vy</w:t>
      </w:r>
      <w:r w:rsidR="00FE35E6" w:rsidRPr="00EB2612">
        <w:t>sílání 1,9</w:t>
      </w:r>
      <w:r w:rsidR="000E4FAD" w:rsidRPr="00EB2612">
        <w:t xml:space="preserve"> tis.</w:t>
      </w:r>
      <w:r w:rsidR="00BB64DB" w:rsidRPr="00EB2612">
        <w:t xml:space="preserve"> zaměstnanců a mezi lety 2012</w:t>
      </w:r>
      <w:r w:rsidR="00282CCA" w:rsidRPr="00EB2612">
        <w:t> </w:t>
      </w:r>
      <w:r w:rsidR="00BB64DB" w:rsidRPr="00EB2612">
        <w:t>a</w:t>
      </w:r>
      <w:r w:rsidR="00282CCA" w:rsidRPr="00EB2612">
        <w:t> </w:t>
      </w:r>
      <w:r w:rsidR="00FE35E6" w:rsidRPr="00EB2612">
        <w:t>2019 se držel na podobné úrovni</w:t>
      </w:r>
      <w:r w:rsidR="00BB64DB" w:rsidRPr="00EB2612">
        <w:t>. Zmíněné údaje o zaměstnan</w:t>
      </w:r>
      <w:r w:rsidR="00224F9D" w:rsidRPr="00EB2612">
        <w:t>o</w:t>
      </w:r>
      <w:r w:rsidR="00424B58">
        <w:t>sti a příjmech zachycuje Graf 52</w:t>
      </w:r>
      <w:r w:rsidR="00BB64DB" w:rsidRPr="00EB2612">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424B58">
        <w:rPr>
          <w:color w:val="auto"/>
          <w:sz w:val="22"/>
          <w:szCs w:val="22"/>
        </w:rPr>
        <w:t>52</w:t>
      </w:r>
      <w:r w:rsidRPr="00EB2612">
        <w:rPr>
          <w:color w:val="auto"/>
          <w:sz w:val="22"/>
          <w:szCs w:val="22"/>
        </w:rPr>
        <w:t xml:space="preserve"> </w:t>
      </w:r>
      <w:r w:rsidR="002B7E46" w:rsidRPr="00EB2612">
        <w:rPr>
          <w:b w:val="0"/>
          <w:color w:val="auto"/>
          <w:sz w:val="22"/>
          <w:szCs w:val="22"/>
        </w:rPr>
        <w:t>Příjmy</w:t>
      </w:r>
      <w:r w:rsidRPr="00EB2612">
        <w:rPr>
          <w:b w:val="0"/>
          <w:color w:val="auto"/>
          <w:sz w:val="22"/>
          <w:szCs w:val="22"/>
        </w:rPr>
        <w:t xml:space="preserve"> a </w:t>
      </w:r>
      <w:r w:rsidR="002B7E46" w:rsidRPr="00EB2612">
        <w:rPr>
          <w:b w:val="0"/>
          <w:color w:val="auto"/>
          <w:sz w:val="22"/>
          <w:szCs w:val="22"/>
        </w:rPr>
        <w:t>počet</w:t>
      </w:r>
      <w:r w:rsidR="00DD3310" w:rsidRPr="00EB2612">
        <w:rPr>
          <w:b w:val="0"/>
          <w:color w:val="auto"/>
          <w:sz w:val="22"/>
          <w:szCs w:val="22"/>
        </w:rPr>
        <w:t xml:space="preserve"> zaměstnanců</w:t>
      </w:r>
      <w:r w:rsidRPr="00EB2612">
        <w:rPr>
          <w:b w:val="0"/>
          <w:color w:val="auto"/>
          <w:sz w:val="22"/>
          <w:szCs w:val="22"/>
        </w:rPr>
        <w:t xml:space="preserve"> </w:t>
      </w:r>
      <w:r w:rsidR="00DD3310" w:rsidRPr="00EB2612">
        <w:rPr>
          <w:b w:val="0"/>
          <w:color w:val="auto"/>
          <w:sz w:val="22"/>
          <w:szCs w:val="22"/>
        </w:rPr>
        <w:t>pro</w:t>
      </w:r>
      <w:r w:rsidR="00E60C65" w:rsidRPr="00EB2612">
        <w:rPr>
          <w:b w:val="0"/>
          <w:color w:val="auto"/>
          <w:sz w:val="22"/>
          <w:szCs w:val="22"/>
        </w:rPr>
        <w:t>vozovatelů rozhlasového vysílání</w:t>
      </w:r>
    </w:p>
    <w:p w:rsidR="00BB64DB" w:rsidRPr="00EB2612" w:rsidRDefault="00FE35E6" w:rsidP="00DC44B4">
      <w:pPr>
        <w:tabs>
          <w:tab w:val="left" w:pos="1560"/>
        </w:tabs>
        <w:jc w:val="center"/>
        <w:rPr>
          <w:b/>
          <w:szCs w:val="20"/>
        </w:rPr>
      </w:pPr>
      <w:r w:rsidRPr="00EB2612">
        <w:rPr>
          <w:b/>
          <w:noProof/>
          <w:szCs w:val="20"/>
        </w:rPr>
        <w:drawing>
          <wp:inline distT="0" distB="0" distL="0" distR="0">
            <wp:extent cx="5667375" cy="1933575"/>
            <wp:effectExtent l="0" t="0" r="0" b="0"/>
            <wp:docPr id="12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A2926" w:rsidRPr="00EB2612" w:rsidRDefault="00BB64DB" w:rsidP="00AA2926">
      <w:pPr>
        <w:rPr>
          <w:rFonts w:asciiTheme="minorHAnsi" w:eastAsiaTheme="minorHAnsi" w:hAnsiTheme="minorHAnsi" w:cstheme="minorBidi"/>
          <w:bCs/>
          <w:sz w:val="22"/>
          <w:szCs w:val="22"/>
          <w:lang w:eastAsia="en-US"/>
        </w:rPr>
      </w:pPr>
      <w:r w:rsidRPr="00EB2612">
        <w:rPr>
          <w:rFonts w:asciiTheme="minorHAnsi" w:eastAsiaTheme="minorHAnsi" w:hAnsiTheme="minorHAnsi" w:cstheme="minorBidi"/>
          <w:bCs/>
          <w:sz w:val="22"/>
          <w:szCs w:val="22"/>
          <w:lang w:eastAsia="en-US"/>
        </w:rPr>
        <w:t xml:space="preserve">Zdroj: </w:t>
      </w:r>
      <w:r w:rsidR="009253A5" w:rsidRPr="00EB2612">
        <w:rPr>
          <w:rFonts w:asciiTheme="minorHAnsi" w:eastAsiaTheme="minorHAnsi" w:hAnsiTheme="minorHAnsi" w:cstheme="minorBidi"/>
          <w:bCs/>
          <w:sz w:val="22"/>
          <w:szCs w:val="22"/>
          <w:lang w:eastAsia="en-US"/>
        </w:rPr>
        <w:t xml:space="preserve">Kult, </w:t>
      </w:r>
      <w:r w:rsidRPr="00EB2612">
        <w:rPr>
          <w:rFonts w:asciiTheme="minorHAnsi" w:eastAsiaTheme="minorHAnsi" w:hAnsiTheme="minorHAnsi" w:cstheme="minorBidi"/>
          <w:bCs/>
          <w:sz w:val="22"/>
          <w:szCs w:val="22"/>
          <w:lang w:eastAsia="en-US"/>
        </w:rPr>
        <w:t>ČSÚ</w:t>
      </w:r>
    </w:p>
    <w:p w:rsidR="00C92E76" w:rsidRPr="00EB2612" w:rsidRDefault="00C92E76" w:rsidP="00AA2926">
      <w:pPr>
        <w:rPr>
          <w:rFonts w:asciiTheme="minorHAnsi" w:eastAsiaTheme="minorHAnsi" w:hAnsiTheme="minorHAnsi" w:cstheme="minorBidi"/>
          <w:bCs/>
          <w:sz w:val="22"/>
          <w:szCs w:val="22"/>
          <w:lang w:eastAsia="en-US"/>
        </w:rPr>
      </w:pPr>
      <w:r w:rsidRPr="00EB2612">
        <w:t>Údaje z</w:t>
      </w:r>
      <w:r w:rsidR="0042216F" w:rsidRPr="00EB2612">
        <w:t> šetření Kult</w:t>
      </w:r>
      <w:r w:rsidRPr="00EB2612">
        <w:t xml:space="preserve"> </w:t>
      </w:r>
      <w:r w:rsidR="00AE20F6" w:rsidRPr="00EB2612">
        <w:rPr>
          <w:lang w:eastAsia="en-US"/>
        </w:rPr>
        <w:t xml:space="preserve">6-01 </w:t>
      </w:r>
      <w:r w:rsidRPr="00EB2612">
        <w:t>je možné doplnit o údaje z Výběrového šetření pracovních sil, které zohledňuje všechny zaměstnané osoby (zaměstnance, podnikatele či pracovníky na dohody). Podle těchto údajů pracovalo v oblasti rozhlasu</w:t>
      </w:r>
      <w:r w:rsidR="00132090" w:rsidRPr="00EB2612">
        <w:t xml:space="preserve"> v roce 2019</w:t>
      </w:r>
      <w:r w:rsidR="00E70357" w:rsidRPr="00EB2612">
        <w:t xml:space="preserve"> přibližně 3,5</w:t>
      </w:r>
      <w:r w:rsidR="00E60C65" w:rsidRPr="00EB2612">
        <w:t xml:space="preserve"> </w:t>
      </w:r>
      <w:r w:rsidRPr="00EB2612">
        <w:t xml:space="preserve">tis. osob, přičemž </w:t>
      </w:r>
      <w:r w:rsidR="00E60C65" w:rsidRPr="00EB2612">
        <w:t>větší</w:t>
      </w:r>
      <w:r w:rsidRPr="00EB2612">
        <w:t xml:space="preserve"> část povolání</w:t>
      </w:r>
      <w:r w:rsidR="00BE07B2" w:rsidRPr="00EB2612">
        <w:t xml:space="preserve"> by</w:t>
      </w:r>
      <w:r w:rsidR="00E70357" w:rsidRPr="00EB2612">
        <w:t>la kulturního charakteru (2,3</w:t>
      </w:r>
      <w:r w:rsidRPr="00EB2612">
        <w:t xml:space="preserve"> tis.). </w:t>
      </w:r>
      <w:r w:rsidR="001C11CA" w:rsidRPr="00EB2612">
        <w:t xml:space="preserve">Z kulturních povolání </w:t>
      </w:r>
      <w:r w:rsidR="00E43274" w:rsidRPr="00EB2612">
        <w:t>byla</w:t>
      </w:r>
      <w:r w:rsidR="001C11CA" w:rsidRPr="00EB2612">
        <w:t xml:space="preserve"> nejvíce </w:t>
      </w:r>
      <w:r w:rsidR="00132090" w:rsidRPr="00EB2612">
        <w:t>zastoupena novinářská povolání a</w:t>
      </w:r>
      <w:r w:rsidR="001C11CA" w:rsidRPr="00EB2612">
        <w:t xml:space="preserve"> povolání moderátorů.</w:t>
      </w:r>
    </w:p>
    <w:p w:rsidR="00C92E76" w:rsidRPr="00EB2612" w:rsidRDefault="0073527D" w:rsidP="00C92E76">
      <w:pPr>
        <w:pStyle w:val="Titulek"/>
        <w:keepNext/>
      </w:pPr>
      <w:bookmarkStart w:id="100" w:name="_Toc464832054"/>
      <w:r w:rsidRPr="00EB2612">
        <w:rPr>
          <w:color w:val="auto"/>
          <w:sz w:val="22"/>
          <w:szCs w:val="22"/>
        </w:rPr>
        <w:t>Graf</w:t>
      </w:r>
      <w:r w:rsidR="00C92E76" w:rsidRPr="00EB2612">
        <w:rPr>
          <w:color w:val="auto"/>
          <w:sz w:val="22"/>
          <w:szCs w:val="22"/>
        </w:rPr>
        <w:t xml:space="preserve"> </w:t>
      </w:r>
      <w:r w:rsidRPr="00EB2612">
        <w:rPr>
          <w:color w:val="auto"/>
          <w:sz w:val="22"/>
          <w:szCs w:val="22"/>
        </w:rPr>
        <w:t>5</w:t>
      </w:r>
      <w:r w:rsidR="00424B58">
        <w:rPr>
          <w:color w:val="auto"/>
          <w:sz w:val="22"/>
          <w:szCs w:val="22"/>
        </w:rPr>
        <w:t>3</w:t>
      </w:r>
      <w:r w:rsidR="00C92E76" w:rsidRPr="00EB2612">
        <w:t xml:space="preserve"> </w:t>
      </w:r>
      <w:r w:rsidR="00C92E76" w:rsidRPr="00EB2612">
        <w:rPr>
          <w:b w:val="0"/>
          <w:color w:val="auto"/>
          <w:sz w:val="22"/>
          <w:szCs w:val="22"/>
        </w:rPr>
        <w:t>Odhad počtu oso</w:t>
      </w:r>
      <w:r w:rsidR="00BE07B2" w:rsidRPr="00EB2612">
        <w:rPr>
          <w:b w:val="0"/>
          <w:color w:val="auto"/>
          <w:sz w:val="22"/>
          <w:szCs w:val="22"/>
        </w:rPr>
        <w:t>b</w:t>
      </w:r>
      <w:r w:rsidR="003A73CF" w:rsidRPr="00EB2612">
        <w:rPr>
          <w:b w:val="0"/>
          <w:color w:val="auto"/>
          <w:sz w:val="22"/>
          <w:szCs w:val="22"/>
        </w:rPr>
        <w:t xml:space="preserve"> (v tis.)</w:t>
      </w:r>
      <w:r w:rsidR="00BE07B2" w:rsidRPr="00EB2612">
        <w:rPr>
          <w:b w:val="0"/>
          <w:color w:val="auto"/>
          <w:sz w:val="22"/>
          <w:szCs w:val="22"/>
        </w:rPr>
        <w:t xml:space="preserve"> </w:t>
      </w:r>
      <w:r w:rsidR="00AE20F6">
        <w:rPr>
          <w:b w:val="0"/>
          <w:color w:val="auto"/>
          <w:sz w:val="22"/>
          <w:szCs w:val="22"/>
        </w:rPr>
        <w:t>pracujících</w:t>
      </w:r>
      <w:r w:rsidR="00AE20F6" w:rsidRPr="00EB2612">
        <w:rPr>
          <w:b w:val="0"/>
          <w:color w:val="auto"/>
          <w:sz w:val="22"/>
          <w:szCs w:val="22"/>
        </w:rPr>
        <w:t xml:space="preserve"> </w:t>
      </w:r>
      <w:r w:rsidR="00BE07B2" w:rsidRPr="00EB2612">
        <w:rPr>
          <w:b w:val="0"/>
          <w:color w:val="auto"/>
          <w:sz w:val="22"/>
          <w:szCs w:val="22"/>
        </w:rPr>
        <w:t>v oblasti rozhla</w:t>
      </w:r>
      <w:r w:rsidR="00E60C65" w:rsidRPr="00EB2612">
        <w:rPr>
          <w:b w:val="0"/>
          <w:color w:val="auto"/>
          <w:sz w:val="22"/>
          <w:szCs w:val="22"/>
        </w:rPr>
        <w:t>su v roce 201</w:t>
      </w:r>
      <w:bookmarkEnd w:id="100"/>
      <w:r w:rsidR="00132090" w:rsidRPr="00EB2612">
        <w:rPr>
          <w:b w:val="0"/>
          <w:color w:val="auto"/>
          <w:sz w:val="22"/>
          <w:szCs w:val="22"/>
        </w:rPr>
        <w:t>9</w:t>
      </w:r>
    </w:p>
    <w:p w:rsidR="002931E4" w:rsidRPr="00EB2612" w:rsidRDefault="00781DF4" w:rsidP="002931E4">
      <w:pPr>
        <w:spacing w:before="120"/>
        <w:jc w:val="center"/>
        <w:rPr>
          <w:rFonts w:asciiTheme="minorHAnsi" w:hAnsiTheme="minorHAnsi"/>
          <w:sz w:val="22"/>
          <w:szCs w:val="22"/>
        </w:rPr>
      </w:pPr>
      <w:r>
        <w:rPr>
          <w:rFonts w:asciiTheme="minorHAnsi" w:hAnsiTheme="minorHAnsi"/>
          <w:noProof/>
          <w:sz w:val="22"/>
          <w:szCs w:val="22"/>
        </w:rPr>
        <w:pict>
          <v:shape id="Text Box 37" o:spid="_x0000_s1039" type="#_x0000_t202" style="position:absolute;left:0;text-align:left;margin-left:229.15pt;margin-top:82.05pt;width:43.4pt;height:21.3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" stroked="f" strokecolor="white [3212]">
            <v:fill opacity="0"/>
            <v:textbox>
              <w:txbxContent>
                <w:p w:rsidR="00705045" w:rsidRPr="002931E4" w:rsidRDefault="00705045">
                  <w:pPr>
                    <w:rPr>
                      <w:rFonts w:ascii="Calibri" w:hAnsi="Calibri"/>
                    </w:rPr>
                  </w:pPr>
                  <w:r>
                    <w:rPr>
                      <w:rFonts w:ascii="Calibri" w:hAnsi="Calibri"/>
                    </w:rPr>
                    <w:t>3,5</w:t>
                  </w:r>
                  <w:r w:rsidRPr="002931E4">
                    <w:rPr>
                      <w:rFonts w:ascii="Calibri" w:hAnsi="Calibri"/>
                    </w:rPr>
                    <w:t xml:space="preserve"> tis.</w:t>
                  </w:r>
                </w:p>
              </w:txbxContent>
            </v:textbox>
          </v:shape>
        </w:pict>
      </w:r>
      <w:r w:rsidR="00132090" w:rsidRPr="00EB2612">
        <w:rPr>
          <w:rFonts w:asciiTheme="minorHAnsi" w:hAnsiTheme="minorHAnsi"/>
          <w:noProof/>
          <w:sz w:val="22"/>
          <w:szCs w:val="22"/>
        </w:rPr>
        <w:drawing>
          <wp:inline distT="0" distB="0" distL="0" distR="0">
            <wp:extent cx="3857625" cy="1876425"/>
            <wp:effectExtent l="0" t="0" r="0" b="0"/>
            <wp:docPr id="13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78588D" w:rsidRPr="00EB2612" w:rsidRDefault="00C92E76" w:rsidP="00C92E76">
      <w:pPr>
        <w:spacing w:before="120"/>
        <w:rPr>
          <w:rFonts w:asciiTheme="minorHAnsi" w:hAnsiTheme="minorHAnsi"/>
          <w:sz w:val="22"/>
          <w:szCs w:val="22"/>
        </w:rPr>
      </w:pPr>
      <w:r w:rsidRPr="00EB2612">
        <w:rPr>
          <w:rFonts w:asciiTheme="minorHAnsi" w:hAnsiTheme="minorHAnsi"/>
          <w:sz w:val="22"/>
          <w:szCs w:val="22"/>
        </w:rPr>
        <w:t>Zdroj: Výběrové šetření pracovních sil</w:t>
      </w:r>
      <w:r w:rsidR="00AE20F6">
        <w:rPr>
          <w:rFonts w:asciiTheme="minorHAnsi" w:hAnsiTheme="minorHAnsi"/>
          <w:sz w:val="22"/>
          <w:szCs w:val="22"/>
        </w:rPr>
        <w:t>, ČSÚ</w:t>
      </w:r>
    </w:p>
    <w:p w:rsidR="00BB64DB" w:rsidRPr="00EB2612" w:rsidRDefault="00BB64DB" w:rsidP="00694914">
      <w:pPr>
        <w:pStyle w:val="Nadpis3"/>
        <w:numPr>
          <w:ilvl w:val="2"/>
          <w:numId w:val="17"/>
        </w:numPr>
      </w:pPr>
      <w:bookmarkStart w:id="101" w:name="_Toc430189810"/>
      <w:bookmarkStart w:id="102" w:name="_Toc431475038"/>
      <w:bookmarkStart w:id="103" w:name="_Toc463969193"/>
      <w:bookmarkStart w:id="104" w:name="_Toc465253903"/>
      <w:bookmarkStart w:id="105" w:name="_Toc55384441"/>
      <w:r w:rsidRPr="00EB2612">
        <w:t>POHLED SPOTŘEBITELE</w:t>
      </w:r>
      <w:bookmarkEnd w:id="101"/>
      <w:bookmarkEnd w:id="102"/>
      <w:bookmarkEnd w:id="103"/>
      <w:bookmarkEnd w:id="104"/>
      <w:bookmarkEnd w:id="105"/>
    </w:p>
    <w:p w:rsidR="00BB64DB" w:rsidRPr="00EB2612" w:rsidRDefault="00CA4E46" w:rsidP="00BB64DB">
      <w:r w:rsidRPr="00EB2612">
        <w:t xml:space="preserve">S rádiem přijdou do kontaktu na denní bázi necelé dvě třetiny osob ve věku mezi 12 a 79 let. </w:t>
      </w:r>
      <w:r w:rsidR="00A607F0" w:rsidRPr="00EB2612">
        <w:t>Nejčastěji poslouchají lidé rádio mimo domov ať už v zaměstnání (34 %) či při cestování autem (13 %). V rámci domácích aktivit poslouchají lidé rádio při vykonávání domácích prací (20 %) či při stravování. Při trávení volného času (ať už doma či mimo domácnost) poslouchá rádio 11 % osob a zbylý</w:t>
      </w:r>
      <w:r w:rsidR="008F2AED">
        <w:t>ch 16 % se věnuje poslechu rádia</w:t>
      </w:r>
      <w:r w:rsidR="00A607F0" w:rsidRPr="00EB2612">
        <w:t xml:space="preserve"> při jiných činnostech. </w:t>
      </w:r>
    </w:p>
    <w:p w:rsidR="00BB64DB" w:rsidRPr="00EB2612" w:rsidRDefault="00BB64DB" w:rsidP="00BB64DB">
      <w:pPr>
        <w:pStyle w:val="Titulek"/>
        <w:keepNext/>
        <w:rPr>
          <w:b w:val="0"/>
          <w:color w:val="auto"/>
          <w:sz w:val="22"/>
          <w:szCs w:val="22"/>
        </w:rPr>
      </w:pPr>
      <w:r w:rsidRPr="00EB2612">
        <w:rPr>
          <w:color w:val="auto"/>
          <w:sz w:val="22"/>
          <w:szCs w:val="22"/>
        </w:rPr>
        <w:lastRenderedPageBreak/>
        <w:t xml:space="preserve">Graf </w:t>
      </w:r>
      <w:r w:rsidR="0073527D" w:rsidRPr="00EB2612">
        <w:rPr>
          <w:color w:val="auto"/>
          <w:sz w:val="22"/>
          <w:szCs w:val="22"/>
        </w:rPr>
        <w:t>5</w:t>
      </w:r>
      <w:r w:rsidR="00424B58">
        <w:rPr>
          <w:color w:val="auto"/>
          <w:sz w:val="22"/>
          <w:szCs w:val="22"/>
        </w:rPr>
        <w:t>4</w:t>
      </w:r>
      <w:r w:rsidRPr="00EB2612">
        <w:rPr>
          <w:b w:val="0"/>
          <w:color w:val="auto"/>
          <w:sz w:val="22"/>
          <w:szCs w:val="22"/>
        </w:rPr>
        <w:t xml:space="preserve"> </w:t>
      </w:r>
      <w:r w:rsidR="00AE20F6">
        <w:rPr>
          <w:b w:val="0"/>
          <w:color w:val="auto"/>
          <w:sz w:val="22"/>
          <w:szCs w:val="22"/>
        </w:rPr>
        <w:t>Struktura</w:t>
      </w:r>
      <w:r w:rsidR="00AE20F6" w:rsidRPr="00EB2612">
        <w:rPr>
          <w:b w:val="0"/>
          <w:color w:val="auto"/>
          <w:sz w:val="22"/>
          <w:szCs w:val="22"/>
        </w:rPr>
        <w:t xml:space="preserve"> </w:t>
      </w:r>
      <w:r w:rsidR="00A607F0" w:rsidRPr="00EB2612">
        <w:rPr>
          <w:b w:val="0"/>
          <w:color w:val="auto"/>
          <w:sz w:val="22"/>
          <w:szCs w:val="22"/>
        </w:rPr>
        <w:t>činností vykonávaných při poslechu rádia</w:t>
      </w:r>
      <w:r w:rsidRPr="00EB2612">
        <w:rPr>
          <w:b w:val="0"/>
          <w:color w:val="auto"/>
          <w:sz w:val="22"/>
          <w:szCs w:val="22"/>
        </w:rPr>
        <w:t xml:space="preserve"> </w:t>
      </w:r>
      <w:r w:rsidR="00A607F0" w:rsidRPr="00EB2612">
        <w:rPr>
          <w:b w:val="0"/>
          <w:color w:val="auto"/>
          <w:sz w:val="22"/>
          <w:szCs w:val="22"/>
        </w:rPr>
        <w:t>v roce 2019</w:t>
      </w:r>
    </w:p>
    <w:p w:rsidR="00BB64DB" w:rsidRPr="00EB2612" w:rsidRDefault="00E978D1" w:rsidP="00BB64DB">
      <w:pPr>
        <w:keepNext/>
        <w:jc w:val="center"/>
      </w:pPr>
      <w:r w:rsidRPr="00EB2612">
        <w:rPr>
          <w:noProof/>
        </w:rPr>
        <w:drawing>
          <wp:inline distT="0" distB="0" distL="0" distR="0">
            <wp:extent cx="4610100" cy="2295525"/>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BB64DB" w:rsidRPr="00EB2612" w:rsidRDefault="00BB64DB" w:rsidP="00BB64DB">
      <w:pPr>
        <w:pStyle w:val="Titulek"/>
        <w:rPr>
          <w:color w:val="auto"/>
          <w:sz w:val="22"/>
          <w:szCs w:val="22"/>
        </w:rPr>
      </w:pPr>
      <w:r w:rsidRPr="00EB2612">
        <w:rPr>
          <w:color w:val="auto"/>
          <w:sz w:val="22"/>
          <w:szCs w:val="22"/>
        </w:rPr>
        <w:t xml:space="preserve">Zdroj: </w:t>
      </w:r>
      <w:r w:rsidRPr="00EB2612">
        <w:rPr>
          <w:b w:val="0"/>
          <w:color w:val="auto"/>
          <w:sz w:val="22"/>
          <w:szCs w:val="22"/>
        </w:rPr>
        <w:t>RADIOPROJEKT</w:t>
      </w:r>
      <w:r w:rsidR="003F593B">
        <w:rPr>
          <w:b w:val="0"/>
          <w:color w:val="auto"/>
          <w:sz w:val="22"/>
          <w:szCs w:val="22"/>
        </w:rPr>
        <w:t xml:space="preserve">, MEDIAN </w:t>
      </w:r>
      <w:r w:rsidR="003F593B" w:rsidRPr="003F593B">
        <w:rPr>
          <w:b w:val="0"/>
          <w:color w:val="auto"/>
          <w:sz w:val="22"/>
          <w:szCs w:val="22"/>
        </w:rPr>
        <w:t xml:space="preserve">– </w:t>
      </w:r>
      <w:r w:rsidR="003F593B">
        <w:rPr>
          <w:b w:val="0"/>
          <w:color w:val="auto"/>
          <w:sz w:val="22"/>
          <w:szCs w:val="22"/>
        </w:rPr>
        <w:t xml:space="preserve"> </w:t>
      </w:r>
      <w:r w:rsidR="003F593B" w:rsidRPr="003F593B">
        <w:rPr>
          <w:b w:val="0"/>
          <w:color w:val="auto"/>
          <w:sz w:val="22"/>
          <w:szCs w:val="22"/>
        </w:rPr>
        <w:t>STEM/MARK</w:t>
      </w:r>
    </w:p>
    <w:p w:rsidR="00FE09B6" w:rsidRPr="00EB2612" w:rsidRDefault="009D6FD4" w:rsidP="00DD3310">
      <w:r w:rsidRPr="00EB2612">
        <w:t xml:space="preserve">Návyky posluchačů </w:t>
      </w:r>
      <w:r w:rsidR="0010042A" w:rsidRPr="00EB2612">
        <w:t xml:space="preserve">rádia </w:t>
      </w:r>
      <w:r w:rsidR="00C44D39" w:rsidRPr="00EB2612">
        <w:t xml:space="preserve">se </w:t>
      </w:r>
      <w:r w:rsidR="0010042A" w:rsidRPr="00EB2612">
        <w:t xml:space="preserve">v souvislosti s první </w:t>
      </w:r>
      <w:r w:rsidRPr="00EB2612">
        <w:t>vlnou pandemie na jaře roku 202</w:t>
      </w:r>
      <w:r w:rsidR="0010042A" w:rsidRPr="00EB2612">
        <w:t>0</w:t>
      </w:r>
      <w:r w:rsidRPr="00EB2612">
        <w:t xml:space="preserve"> měnil</w:t>
      </w:r>
      <w:r w:rsidR="00AE20F6">
        <w:t>y</w:t>
      </w:r>
      <w:r w:rsidRPr="00EB2612">
        <w:t xml:space="preserve"> jen v menší míře. Pouze 10 % osob ve věku 12</w:t>
      </w:r>
      <w:r w:rsidR="003F593B">
        <w:t>–</w:t>
      </w:r>
      <w:r w:rsidRPr="00EB2612">
        <w:t>79</w:t>
      </w:r>
      <w:r w:rsidR="008F2AED">
        <w:t xml:space="preserve"> let</w:t>
      </w:r>
      <w:r w:rsidRPr="00EB2612">
        <w:t xml:space="preserve"> omezilo </w:t>
      </w:r>
      <w:r w:rsidR="008F2AED">
        <w:t>během této vlny</w:t>
      </w:r>
      <w:r w:rsidRPr="00EB2612">
        <w:t xml:space="preserve"> nějakým způsobem poslech rádia. To může souviset s</w:t>
      </w:r>
      <w:r w:rsidR="00C44D39" w:rsidRPr="00EB2612">
        <w:t> dopady vládních restrikcí</w:t>
      </w:r>
      <w:r w:rsidRPr="00EB2612">
        <w:t xml:space="preserve"> a s tím </w:t>
      </w:r>
      <w:r w:rsidR="00FE09B6" w:rsidRPr="00EB2612">
        <w:t>spojeným</w:t>
      </w:r>
      <w:r w:rsidRPr="00EB2612">
        <w:t xml:space="preserve"> omezením poslechu při cestování automobilem či v zaměstnání. </w:t>
      </w:r>
      <w:r w:rsidR="00FE09B6" w:rsidRPr="00EB2612">
        <w:t>Přibližně s</w:t>
      </w:r>
      <w:r w:rsidR="005B3EF6" w:rsidRPr="00EB2612">
        <w:t>tejn</w:t>
      </w:r>
      <w:r w:rsidR="00FE09B6" w:rsidRPr="00EB2612">
        <w:t>ý počet</w:t>
      </w:r>
      <w:r w:rsidR="005B3EF6" w:rsidRPr="00EB2612">
        <w:t xml:space="preserve"> </w:t>
      </w:r>
      <w:r w:rsidR="00FE09B6" w:rsidRPr="00EB2612">
        <w:t>lidí</w:t>
      </w:r>
      <w:r w:rsidR="005B3EF6" w:rsidRPr="00EB2612">
        <w:t xml:space="preserve"> (10</w:t>
      </w:r>
      <w:r w:rsidR="00AE20F6">
        <w:t> </w:t>
      </w:r>
      <w:r w:rsidR="005B3EF6" w:rsidRPr="00EB2612">
        <w:t>%</w:t>
      </w:r>
      <w:r w:rsidR="008F2AED">
        <w:t xml:space="preserve"> osob ve věku 12–</w:t>
      </w:r>
      <w:r w:rsidR="00FE09B6" w:rsidRPr="00EB2612">
        <w:t>79</w:t>
      </w:r>
      <w:r w:rsidR="008F2AED">
        <w:t xml:space="preserve"> let</w:t>
      </w:r>
      <w:r w:rsidR="005B3EF6" w:rsidRPr="00EB2612">
        <w:t xml:space="preserve">) však začal během jarní pandemické vlny poslouchat rádio více než předtím, čímž se provozovatelům rozhlasového vysílání výpadek posluchačů </w:t>
      </w:r>
      <w:r w:rsidR="00C44D39" w:rsidRPr="00EB2612">
        <w:t>mohl vyrovnat</w:t>
      </w:r>
      <w:r w:rsidR="00FE09B6" w:rsidRPr="00EB2612">
        <w:t xml:space="preserve"> (MEDIAN, STEM/MARK, 2020)</w:t>
      </w:r>
      <w:r w:rsidR="005B3EF6" w:rsidRPr="00EB2612">
        <w:t>.</w:t>
      </w:r>
    </w:p>
    <w:p w:rsidR="0010042A" w:rsidRPr="00EB2612" w:rsidRDefault="00B56E4B" w:rsidP="00DD3310">
      <w:r>
        <w:tab/>
      </w:r>
      <w:r w:rsidR="005B3EF6" w:rsidRPr="00EB2612">
        <w:t>Zvýšený zájem zaznamenalo na začátku pandemie zejména veřejnoprávní vysílání</w:t>
      </w:r>
      <w:r w:rsidR="00C44D39" w:rsidRPr="00EB2612">
        <w:t>, které se více než jiné rozhlasové stanice zaměřuje na zpravodajské a publicistické pořady</w:t>
      </w:r>
      <w:r w:rsidR="005B3EF6" w:rsidRPr="00EB2612">
        <w:t>. Týdenní poslechovost</w:t>
      </w:r>
      <w:r w:rsidR="00FE09B6" w:rsidRPr="00EB2612">
        <w:t xml:space="preserve"> </w:t>
      </w:r>
      <w:r w:rsidR="005B3EF6" w:rsidRPr="00EB2612">
        <w:t xml:space="preserve">ČRo Radiožurnál </w:t>
      </w:r>
      <w:r w:rsidR="00FE09B6" w:rsidRPr="00EB2612">
        <w:t xml:space="preserve">(v populaci 15 – 69 let) se </w:t>
      </w:r>
      <w:r w:rsidR="005B3EF6" w:rsidRPr="00EB2612">
        <w:t xml:space="preserve">v březnu v porovnání s únorovými údaji navýšila o </w:t>
      </w:r>
      <w:r w:rsidR="007F6D8D" w:rsidRPr="00EB2612">
        <w:t xml:space="preserve">4 </w:t>
      </w:r>
      <w:r w:rsidR="00D52054" w:rsidRPr="00EB2612">
        <w:t xml:space="preserve">p. </w:t>
      </w:r>
      <w:r w:rsidR="00362010">
        <w:t>b. Aktivita v </w:t>
      </w:r>
      <w:r w:rsidR="00FE09B6" w:rsidRPr="00EB2612">
        <w:t>souvislosti s webem</w:t>
      </w:r>
      <w:r w:rsidR="00C44D39" w:rsidRPr="00EB2612">
        <w:t xml:space="preserve"> i</w:t>
      </w:r>
      <w:r w:rsidR="00512EEF" w:rsidRPr="00EB2612">
        <w:t>ROZHLAS</w:t>
      </w:r>
      <w:r w:rsidR="00C44D39" w:rsidRPr="00EB2612">
        <w:t xml:space="preserve">.cz </w:t>
      </w:r>
      <w:r w:rsidR="00FE09B6" w:rsidRPr="00EB2612">
        <w:t>či aplikací</w:t>
      </w:r>
      <w:r w:rsidR="007F6D8D" w:rsidRPr="00EB2612">
        <w:t xml:space="preserve"> Český rozhlas</w:t>
      </w:r>
      <w:r w:rsidR="00FE09B6" w:rsidRPr="00EB2612">
        <w:t xml:space="preserve"> se navýšila </w:t>
      </w:r>
      <w:r w:rsidR="007F6D8D" w:rsidRPr="00EB2612">
        <w:t>o 5 p.</w:t>
      </w:r>
      <w:r w:rsidR="00D52054" w:rsidRPr="00EB2612">
        <w:t xml:space="preserve"> </w:t>
      </w:r>
      <w:r w:rsidR="007F6D8D" w:rsidRPr="00EB2612">
        <w:t>b.</w:t>
      </w:r>
      <w:r w:rsidR="00FE09B6" w:rsidRPr="00EB2612">
        <w:t>(MEDIAN, 2020)</w:t>
      </w:r>
      <w:r w:rsidR="00D52054" w:rsidRPr="00EB2612">
        <w:t xml:space="preserve">. Porovnání únorových a březnových údajů z roku 2020 </w:t>
      </w:r>
      <w:r w:rsidR="00D52054" w:rsidRPr="00424B58">
        <w:t xml:space="preserve">nabízí Graf </w:t>
      </w:r>
      <w:r w:rsidR="00424B58" w:rsidRPr="00424B58">
        <w:t>55</w:t>
      </w:r>
      <w:r w:rsidR="00D52054" w:rsidRPr="00424B58">
        <w:t>.</w:t>
      </w:r>
    </w:p>
    <w:p w:rsidR="00C44D39" w:rsidRPr="00EB2612" w:rsidRDefault="00C44D39" w:rsidP="00C44D39">
      <w:pPr>
        <w:pStyle w:val="Titulek"/>
        <w:keepNext/>
        <w:rPr>
          <w:b w:val="0"/>
          <w:color w:val="auto"/>
          <w:sz w:val="22"/>
          <w:szCs w:val="22"/>
        </w:rPr>
      </w:pPr>
      <w:r w:rsidRPr="00424B58">
        <w:rPr>
          <w:color w:val="auto"/>
          <w:sz w:val="22"/>
          <w:szCs w:val="22"/>
        </w:rPr>
        <w:t xml:space="preserve">Graf </w:t>
      </w:r>
      <w:r w:rsidR="00424B58" w:rsidRPr="00424B58">
        <w:rPr>
          <w:color w:val="auto"/>
          <w:sz w:val="22"/>
          <w:szCs w:val="22"/>
        </w:rPr>
        <w:t>55</w:t>
      </w:r>
      <w:r w:rsidRPr="00424B58">
        <w:rPr>
          <w:b w:val="0"/>
          <w:color w:val="auto"/>
          <w:sz w:val="22"/>
          <w:szCs w:val="22"/>
        </w:rPr>
        <w:t xml:space="preserve"> </w:t>
      </w:r>
      <w:r w:rsidR="009E2A0D">
        <w:rPr>
          <w:b w:val="0"/>
          <w:color w:val="auto"/>
          <w:sz w:val="22"/>
          <w:szCs w:val="22"/>
        </w:rPr>
        <w:t xml:space="preserve">Týdenní </w:t>
      </w:r>
      <w:proofErr w:type="spellStart"/>
      <w:r w:rsidR="009E2A0D">
        <w:rPr>
          <w:b w:val="0"/>
          <w:color w:val="auto"/>
          <w:sz w:val="22"/>
          <w:szCs w:val="22"/>
        </w:rPr>
        <w:t>poslechovost</w:t>
      </w:r>
      <w:proofErr w:type="spellEnd"/>
      <w:r w:rsidR="009E2A0D" w:rsidRPr="00EB2612">
        <w:rPr>
          <w:b w:val="0"/>
          <w:color w:val="auto"/>
          <w:sz w:val="22"/>
          <w:szCs w:val="22"/>
        </w:rPr>
        <w:t xml:space="preserve"> </w:t>
      </w:r>
      <w:r w:rsidRPr="00EB2612">
        <w:rPr>
          <w:b w:val="0"/>
          <w:color w:val="auto"/>
          <w:sz w:val="22"/>
          <w:szCs w:val="22"/>
        </w:rPr>
        <w:t xml:space="preserve">vybraných kanálů veřejnoprávního </w:t>
      </w:r>
      <w:r w:rsidR="009E2A0D">
        <w:rPr>
          <w:b w:val="0"/>
          <w:color w:val="auto"/>
          <w:sz w:val="22"/>
          <w:szCs w:val="22"/>
        </w:rPr>
        <w:t xml:space="preserve">rozhlasového </w:t>
      </w:r>
      <w:r w:rsidRPr="00EB2612">
        <w:rPr>
          <w:b w:val="0"/>
          <w:color w:val="auto"/>
          <w:sz w:val="22"/>
          <w:szCs w:val="22"/>
        </w:rPr>
        <w:t>vysílání v populaci 15</w:t>
      </w:r>
      <w:r w:rsidR="00EE6118" w:rsidRPr="00EB2612">
        <w:rPr>
          <w:b w:val="0"/>
          <w:color w:val="auto"/>
          <w:sz w:val="22"/>
          <w:szCs w:val="22"/>
        </w:rPr>
        <w:t xml:space="preserve"> </w:t>
      </w:r>
      <w:r w:rsidR="00EE6118" w:rsidRPr="00E23A1A">
        <w:rPr>
          <w:b w:val="0"/>
          <w:color w:val="auto"/>
          <w:sz w:val="22"/>
          <w:szCs w:val="22"/>
        </w:rPr>
        <w:t xml:space="preserve">– </w:t>
      </w:r>
      <w:r w:rsidR="00EE6118" w:rsidRPr="00EB2612">
        <w:rPr>
          <w:b w:val="0"/>
          <w:color w:val="auto"/>
          <w:sz w:val="22"/>
          <w:szCs w:val="22"/>
        </w:rPr>
        <w:t>69 let</w:t>
      </w:r>
      <w:r w:rsidR="00D52054" w:rsidRPr="00EB2612">
        <w:rPr>
          <w:b w:val="0"/>
          <w:color w:val="auto"/>
          <w:sz w:val="22"/>
          <w:szCs w:val="22"/>
        </w:rPr>
        <w:t xml:space="preserve"> v </w:t>
      </w:r>
      <w:r w:rsidR="009E2A0D">
        <w:rPr>
          <w:b w:val="0"/>
          <w:color w:val="auto"/>
          <w:sz w:val="22"/>
          <w:szCs w:val="22"/>
        </w:rPr>
        <w:t>únoru a březnu</w:t>
      </w:r>
      <w:r w:rsidR="009E2A0D" w:rsidRPr="00EB2612">
        <w:rPr>
          <w:b w:val="0"/>
          <w:color w:val="auto"/>
          <w:sz w:val="22"/>
          <w:szCs w:val="22"/>
        </w:rPr>
        <w:t xml:space="preserve"> </w:t>
      </w:r>
      <w:r w:rsidR="00D52054" w:rsidRPr="00EB2612">
        <w:rPr>
          <w:b w:val="0"/>
          <w:color w:val="auto"/>
          <w:sz w:val="22"/>
          <w:szCs w:val="22"/>
        </w:rPr>
        <w:t>2020</w:t>
      </w:r>
      <w:r w:rsidR="00EE6118" w:rsidRPr="00EB2612">
        <w:rPr>
          <w:b w:val="0"/>
          <w:color w:val="auto"/>
          <w:sz w:val="22"/>
          <w:szCs w:val="22"/>
        </w:rPr>
        <w:t xml:space="preserve"> </w:t>
      </w:r>
    </w:p>
    <w:p w:rsidR="00C44D39" w:rsidRPr="00EB2612" w:rsidRDefault="00E23A1A" w:rsidP="00E23A1A">
      <w:pPr>
        <w:jc w:val="center"/>
      </w:pPr>
      <w:r w:rsidRPr="00E23A1A">
        <w:rPr>
          <w:noProof/>
        </w:rPr>
        <w:drawing>
          <wp:inline distT="0" distB="0" distL="0" distR="0">
            <wp:extent cx="4074567" cy="1697126"/>
            <wp:effectExtent l="0" t="0" r="0" b="0"/>
            <wp:docPr id="14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C44D39" w:rsidRPr="00EB2612" w:rsidRDefault="00C44D39" w:rsidP="00DD3310">
      <w:r w:rsidRPr="00EB2612">
        <w:t>Zdroj:</w:t>
      </w:r>
      <w:r w:rsidR="00EE6118" w:rsidRPr="00EB2612">
        <w:t xml:space="preserve"> MEDIAN</w:t>
      </w:r>
    </w:p>
    <w:p w:rsidR="008E2F03" w:rsidRPr="00EB2612" w:rsidRDefault="008E2F03" w:rsidP="008E2F03">
      <w:r w:rsidRPr="00EB2612">
        <w:t xml:space="preserve">Internetové rádio přes webové stránky (jako např. iROZHLAS.cz) či aplikace poslouchalo v roce 2019 přibližně 21 % osob starších 16 let. O něco více poslouchali </w:t>
      </w:r>
      <w:r w:rsidR="003F593B" w:rsidRPr="00EB2612">
        <w:t>rádio</w:t>
      </w:r>
      <w:r w:rsidRPr="00EB2612">
        <w:t xml:space="preserve"> přes internet muži (24 %) než ženy (19%).</w:t>
      </w:r>
      <w:r w:rsidR="00512EEF" w:rsidRPr="00EB2612">
        <w:t xml:space="preserve"> </w:t>
      </w:r>
      <w:r w:rsidR="00167452" w:rsidRPr="00EB2612">
        <w:t>Po</w:t>
      </w:r>
      <w:r w:rsidR="00167452">
        <w:t>sl</w:t>
      </w:r>
      <w:r w:rsidR="00167452" w:rsidRPr="00EB2612">
        <w:t xml:space="preserve">ech </w:t>
      </w:r>
      <w:r w:rsidR="00512EEF" w:rsidRPr="00EB2612">
        <w:t xml:space="preserve">internetového rádia je doménou zejména mladší a střední generace. Podíl osob mladších 45 let, </w:t>
      </w:r>
      <w:r w:rsidR="00512EEF" w:rsidRPr="00EB2612">
        <w:lastRenderedPageBreak/>
        <w:t xml:space="preserve">které poslouchali internetové </w:t>
      </w:r>
      <w:r w:rsidR="003F593B" w:rsidRPr="00EB2612">
        <w:t>rádio</w:t>
      </w:r>
      <w:r w:rsidR="00512EEF" w:rsidRPr="00EB2612">
        <w:t xml:space="preserve">, byl přibližně třetinový. Ve věkové </w:t>
      </w:r>
      <w:r w:rsidR="008F2AED">
        <w:t>kategorii 45</w:t>
      </w:r>
      <w:r w:rsidR="00167452">
        <w:t xml:space="preserve"> </w:t>
      </w:r>
      <w:r w:rsidR="008F2AED">
        <w:t xml:space="preserve">- 54 let </w:t>
      </w:r>
      <w:r w:rsidR="00512EEF" w:rsidRPr="00EB2612">
        <w:t xml:space="preserve">poslouchal internetové </w:t>
      </w:r>
      <w:r w:rsidR="003F593B" w:rsidRPr="00EB2612">
        <w:t>rádio</w:t>
      </w:r>
      <w:r w:rsidR="00512EEF" w:rsidRPr="00EB2612">
        <w:t xml:space="preserve"> každý </w:t>
      </w:r>
      <w:r w:rsidR="003F593B" w:rsidRPr="00EB2612">
        <w:t>pátý</w:t>
      </w:r>
      <w:r w:rsidR="00512EEF" w:rsidRPr="00EB2612">
        <w:t xml:space="preserve"> a s přibývajícím věkem se podíl posluchačů </w:t>
      </w:r>
      <w:r w:rsidR="003F593B" w:rsidRPr="00EB2612">
        <w:t>dále</w:t>
      </w:r>
      <w:r w:rsidR="00512EEF" w:rsidRPr="00EB2612">
        <w:t xml:space="preserve"> snižoval. </w:t>
      </w:r>
    </w:p>
    <w:p w:rsidR="008E2F03" w:rsidRPr="00EB2612" w:rsidRDefault="00B36210" w:rsidP="008E2F03">
      <w:pPr>
        <w:pStyle w:val="Titulek"/>
        <w:keepNext/>
        <w:jc w:val="left"/>
        <w:rPr>
          <w:b w:val="0"/>
          <w:color w:val="auto"/>
          <w:sz w:val="22"/>
          <w:szCs w:val="22"/>
        </w:rPr>
      </w:pPr>
      <w:r w:rsidRPr="00B36210">
        <w:rPr>
          <w:color w:val="auto"/>
          <w:sz w:val="22"/>
          <w:szCs w:val="22"/>
        </w:rPr>
        <w:t>Graf 56</w:t>
      </w:r>
      <w:r w:rsidR="008E2F03" w:rsidRPr="00EB2612">
        <w:rPr>
          <w:b w:val="0"/>
          <w:color w:val="auto"/>
          <w:sz w:val="22"/>
          <w:szCs w:val="22"/>
        </w:rPr>
        <w:t xml:space="preserve"> </w:t>
      </w:r>
      <w:r w:rsidR="00512EEF" w:rsidRPr="00EB2612">
        <w:rPr>
          <w:b w:val="0"/>
          <w:color w:val="auto"/>
          <w:sz w:val="22"/>
          <w:szCs w:val="22"/>
        </w:rPr>
        <w:t xml:space="preserve">Podíl </w:t>
      </w:r>
      <w:r w:rsidR="00424B58">
        <w:rPr>
          <w:b w:val="0"/>
          <w:color w:val="auto"/>
          <w:sz w:val="22"/>
          <w:szCs w:val="22"/>
        </w:rPr>
        <w:t xml:space="preserve">osob využívajících internet k poslechu </w:t>
      </w:r>
      <w:r w:rsidR="00512EEF" w:rsidRPr="00EB2612">
        <w:rPr>
          <w:b w:val="0"/>
          <w:color w:val="auto"/>
          <w:sz w:val="22"/>
          <w:szCs w:val="22"/>
        </w:rPr>
        <w:t>rádia v roce 2019</w:t>
      </w:r>
      <w:r w:rsidR="00424B58">
        <w:rPr>
          <w:b w:val="0"/>
          <w:color w:val="auto"/>
          <w:sz w:val="22"/>
          <w:szCs w:val="22"/>
        </w:rPr>
        <w:t xml:space="preserve">, </w:t>
      </w:r>
      <w:r w:rsidR="008F2AED">
        <w:rPr>
          <w:b w:val="0"/>
          <w:color w:val="auto"/>
          <w:sz w:val="22"/>
          <w:szCs w:val="22"/>
        </w:rPr>
        <w:t>podle věkových kategorií</w:t>
      </w:r>
    </w:p>
    <w:p w:rsidR="00EE6118" w:rsidRPr="00EB2612" w:rsidRDefault="00D52054" w:rsidP="008E2F03">
      <w:pPr>
        <w:jc w:val="center"/>
      </w:pPr>
      <w:r w:rsidRPr="00EB2612">
        <w:rPr>
          <w:noProof/>
        </w:rPr>
        <w:drawing>
          <wp:inline distT="0" distB="0" distL="0" distR="0">
            <wp:extent cx="5648325" cy="2381250"/>
            <wp:effectExtent l="0" t="0" r="0" b="0"/>
            <wp:docPr id="17"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8E2F03" w:rsidRPr="00EB2612" w:rsidRDefault="008E2F03" w:rsidP="008E2F03">
      <w:pPr>
        <w:jc w:val="left"/>
      </w:pPr>
      <w:r w:rsidRPr="00EB2612">
        <w:t>Zdroj:</w:t>
      </w:r>
      <w:r w:rsidR="00512EEF" w:rsidRPr="00EB2612">
        <w:t xml:space="preserve"> Výběrové šetření o informačních a komunikačních technologiích, ČSÚ</w:t>
      </w:r>
    </w:p>
    <w:p w:rsidR="00BB64DB" w:rsidRPr="00EB2612" w:rsidRDefault="00BB64DB" w:rsidP="00694914">
      <w:pPr>
        <w:pStyle w:val="Nadpis2"/>
        <w:numPr>
          <w:ilvl w:val="1"/>
          <w:numId w:val="17"/>
        </w:numPr>
      </w:pPr>
      <w:bookmarkStart w:id="106" w:name="_Toc430189811"/>
      <w:bookmarkStart w:id="107" w:name="_Toc463969194"/>
      <w:bookmarkStart w:id="108" w:name="_Toc465253904"/>
      <w:bookmarkStart w:id="109" w:name="_Toc55384442"/>
      <w:r w:rsidRPr="00EB2612">
        <w:t>TELEVIZE</w:t>
      </w:r>
      <w:bookmarkEnd w:id="106"/>
      <w:bookmarkEnd w:id="107"/>
      <w:bookmarkEnd w:id="108"/>
      <w:bookmarkEnd w:id="109"/>
    </w:p>
    <w:p w:rsidR="00BB64DB" w:rsidRPr="00EB2612" w:rsidRDefault="00BB64DB" w:rsidP="00BB64DB">
      <w:pPr>
        <w:pStyle w:val="Titulek"/>
        <w:keepNext/>
        <w:jc w:val="right"/>
        <w:rPr>
          <w:color w:val="auto"/>
        </w:rPr>
      </w:pPr>
      <w:bookmarkStart w:id="110" w:name="_Toc464832055"/>
      <w:r w:rsidRPr="00EB2612">
        <w:rPr>
          <w:color w:val="auto"/>
          <w:sz w:val="22"/>
          <w:szCs w:val="22"/>
        </w:rPr>
        <w:t xml:space="preserve">Tabulka </w:t>
      </w:r>
      <w:r w:rsidR="001918B2" w:rsidRPr="00EB2612">
        <w:rPr>
          <w:color w:val="auto"/>
          <w:sz w:val="22"/>
          <w:szCs w:val="22"/>
        </w:rPr>
        <w:t>8</w:t>
      </w:r>
      <w:r w:rsidRPr="00EB2612">
        <w:rPr>
          <w:color w:val="auto"/>
        </w:rPr>
        <w:t xml:space="preserve"> </w:t>
      </w:r>
      <w:r w:rsidRPr="00EB2612">
        <w:rPr>
          <w:b w:val="0"/>
          <w:color w:val="auto"/>
          <w:sz w:val="22"/>
          <w:szCs w:val="22"/>
        </w:rPr>
        <w:t>Vymezení oblasti televize podle klasifikace NACE</w:t>
      </w:r>
      <w:bookmarkEnd w:id="110"/>
    </w:p>
    <w:tbl>
      <w:tblPr>
        <w:tblW w:w="6377" w:type="dxa"/>
        <w:jc w:val="right"/>
        <w:tblCellMar>
          <w:left w:w="70" w:type="dxa"/>
          <w:right w:w="70" w:type="dxa"/>
        </w:tblCellMar>
        <w:tblLook w:val="04A0"/>
      </w:tblPr>
      <w:tblGrid>
        <w:gridCol w:w="1009"/>
        <w:gridCol w:w="5368"/>
      </w:tblGrid>
      <w:tr w:rsidR="00BB64DB" w:rsidRPr="00EB2612" w:rsidTr="000728C1">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0728C1">
            <w:pPr>
              <w:pStyle w:val="Box"/>
              <w:ind w:hanging="1133"/>
              <w:rPr>
                <w:rFonts w:asciiTheme="minorHAnsi" w:hAnsiTheme="minorHAnsi"/>
                <w:sz w:val="20"/>
                <w:szCs w:val="20"/>
              </w:rPr>
            </w:pP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0728C1">
            <w:pPr>
              <w:pStyle w:val="Box"/>
              <w:ind w:hanging="1134"/>
              <w:rPr>
                <w:rFonts w:asciiTheme="minorHAnsi" w:hAnsiTheme="minorHAnsi"/>
                <w:sz w:val="20"/>
                <w:szCs w:val="20"/>
              </w:rPr>
            </w:pPr>
            <w:r w:rsidRPr="00EB2612">
              <w:rPr>
                <w:rFonts w:asciiTheme="minorHAnsi" w:hAnsiTheme="minorHAnsi"/>
                <w:color w:val="auto"/>
                <w:sz w:val="20"/>
                <w:szCs w:val="20"/>
              </w:rPr>
              <w:t>EKONOMICKÁ</w:t>
            </w:r>
            <w:r w:rsidRPr="00EB2612">
              <w:rPr>
                <w:rFonts w:asciiTheme="minorHAnsi" w:hAnsiTheme="minorHAnsi"/>
                <w:sz w:val="20"/>
                <w:szCs w:val="20"/>
              </w:rPr>
              <w:t xml:space="preserve"> ČINNOST</w:t>
            </w:r>
          </w:p>
        </w:tc>
      </w:tr>
      <w:tr w:rsidR="00BB64DB" w:rsidRPr="00EB2612" w:rsidTr="000728C1">
        <w:trPr>
          <w:trHeight w:val="255"/>
          <w:jc w:val="right"/>
        </w:trPr>
        <w:tc>
          <w:tcPr>
            <w:tcW w:w="1009" w:type="dxa"/>
            <w:tcBorders>
              <w:top w:val="single" w:sz="12" w:space="0" w:color="auto"/>
              <w:left w:val="nil"/>
              <w:bottom w:val="single" w:sz="12" w:space="0" w:color="auto"/>
              <w:right w:val="nil"/>
            </w:tcBorders>
            <w:shd w:val="clear" w:color="auto" w:fill="auto"/>
            <w:hideMark/>
          </w:tcPr>
          <w:p w:rsidR="00BB64DB" w:rsidRPr="00EB2612" w:rsidRDefault="00BB64DB" w:rsidP="000728C1">
            <w:pPr>
              <w:spacing w:after="0"/>
              <w:rPr>
                <w:rFonts w:asciiTheme="minorHAnsi" w:hAnsiTheme="minorHAnsi"/>
                <w:szCs w:val="20"/>
              </w:rPr>
            </w:pPr>
            <w:r w:rsidRPr="00EB2612">
              <w:rPr>
                <w:rFonts w:asciiTheme="minorHAnsi" w:hAnsiTheme="minorHAnsi"/>
                <w:szCs w:val="20"/>
              </w:rPr>
              <w:t>60.20</w:t>
            </w:r>
          </w:p>
        </w:tc>
        <w:tc>
          <w:tcPr>
            <w:tcW w:w="5368" w:type="dxa"/>
            <w:tcBorders>
              <w:top w:val="single" w:sz="12" w:space="0" w:color="auto"/>
              <w:left w:val="nil"/>
              <w:bottom w:val="single" w:sz="12" w:space="0" w:color="auto"/>
              <w:right w:val="nil"/>
            </w:tcBorders>
            <w:shd w:val="clear" w:color="auto" w:fill="auto"/>
            <w:hideMark/>
          </w:tcPr>
          <w:p w:rsidR="00BB64DB" w:rsidRPr="00EB2612" w:rsidRDefault="00BB64DB" w:rsidP="000728C1">
            <w:pPr>
              <w:spacing w:after="0"/>
              <w:rPr>
                <w:rFonts w:asciiTheme="minorHAnsi" w:hAnsiTheme="minorHAnsi"/>
                <w:szCs w:val="20"/>
              </w:rPr>
            </w:pPr>
            <w:r w:rsidRPr="00EB2612">
              <w:rPr>
                <w:rFonts w:asciiTheme="minorHAnsi" w:hAnsiTheme="minorHAnsi"/>
                <w:szCs w:val="20"/>
              </w:rPr>
              <w:t>Tvorba televizních programů a televizní vysílání</w:t>
            </w:r>
          </w:p>
        </w:tc>
      </w:tr>
    </w:tbl>
    <w:p w:rsidR="00BB64DB" w:rsidRPr="00EB2612" w:rsidRDefault="00BB64DB" w:rsidP="00BB64DB">
      <w:pPr>
        <w:jc w:val="right"/>
        <w:rPr>
          <w:b/>
          <w:szCs w:val="20"/>
        </w:rPr>
      </w:pPr>
    </w:p>
    <w:p w:rsidR="00BB64DB" w:rsidRPr="00EB2612" w:rsidRDefault="00BB64DB" w:rsidP="00BB64DB">
      <w:r w:rsidRPr="00EB2612">
        <w:t xml:space="preserve">Provozovatelům televizního vysílání se i přes </w:t>
      </w:r>
      <w:r w:rsidR="00CF765A" w:rsidRPr="00EB2612">
        <w:t>růst</w:t>
      </w:r>
      <w:r w:rsidRPr="00EB2612">
        <w:t xml:space="preserve"> konkurenčních poskytovatelů audiovizuál</w:t>
      </w:r>
      <w:r w:rsidR="00CF765A" w:rsidRPr="00EB2612">
        <w:t>ních</w:t>
      </w:r>
      <w:r w:rsidR="00E32F67" w:rsidRPr="00EB2612">
        <w:t xml:space="preserve"> katalogů dařilo v roce 2019</w:t>
      </w:r>
      <w:r w:rsidRPr="00EB2612">
        <w:t xml:space="preserve"> udržet svou pozici na trhu a velké soukromé subjekty </w:t>
      </w:r>
      <w:r w:rsidR="00A635F9" w:rsidRPr="00EB2612">
        <w:t>vykázaly</w:t>
      </w:r>
      <w:r w:rsidRPr="00EB2612">
        <w:t xml:space="preserve"> kladn</w:t>
      </w:r>
      <w:r w:rsidR="00143AB2" w:rsidRPr="00EB2612">
        <w:t xml:space="preserve">ý </w:t>
      </w:r>
      <w:r w:rsidR="00E32F67" w:rsidRPr="00EB2612">
        <w:t>ekonomický zisk (Mediaguru, 2020a, 2020b</w:t>
      </w:r>
      <w:r w:rsidRPr="00EB2612">
        <w:t xml:space="preserve">). Samotní provozovatelé navíc zpřístupňují své pořady v bezplatných či placených archivech na internetu a online materiál je tak v mnoha případech komplementární s běžným televizním vysíláním. Lze tedy usuzovat, že televizní vysílání v reálném čase má stále na českém trhu silnou pozici a není ve velké míře ohroženo </w:t>
      </w:r>
      <w:r w:rsidR="00E32F67" w:rsidRPr="00EB2612">
        <w:t>konkurenčními provozovateli katalogů pořadů typu Netflix či HBO GO</w:t>
      </w:r>
      <w:r w:rsidRPr="00EB2612">
        <w:t>.</w:t>
      </w:r>
    </w:p>
    <w:p w:rsidR="00BB64DB" w:rsidRPr="00EB2612" w:rsidRDefault="00AF36B3" w:rsidP="00BB64DB">
      <w:r w:rsidRPr="00EB2612">
        <w:tab/>
      </w:r>
      <w:r w:rsidR="00A635F9" w:rsidRPr="00EB2612">
        <w:t>T</w:t>
      </w:r>
      <w:r w:rsidR="00BB64DB" w:rsidRPr="00EB2612">
        <w:t>elevizní vysílání dle zákona 231/2001 Sb.</w:t>
      </w:r>
      <w:r w:rsidR="006B565D" w:rsidRPr="00EB2612">
        <w:t xml:space="preserve"> v platném znění</w:t>
      </w:r>
      <w:r w:rsidR="00BB64DB" w:rsidRPr="00EB2612">
        <w:t xml:space="preserve"> zahrnuje provozovatele ze zákona (veřejnoprávní vysílání) a provozovatele vysílání na základě licence (soukromé vysílání) či registrace (převzaté vysílání). Dále lze vysílání členit dle rozsahu na celoplošné, regionální a místní. Stejně jako tomu </w:t>
      </w:r>
      <w:r w:rsidR="00167452">
        <w:t>je</w:t>
      </w:r>
      <w:r w:rsidR="00167452" w:rsidRPr="00EB2612">
        <w:t xml:space="preserve"> </w:t>
      </w:r>
      <w:r w:rsidR="00BB64DB" w:rsidRPr="00EB2612">
        <w:t>u</w:t>
      </w:r>
      <w:r w:rsidR="0022192F" w:rsidRPr="00EB2612">
        <w:t> </w:t>
      </w:r>
      <w:r w:rsidR="00BB64DB" w:rsidRPr="00EB2612">
        <w:t xml:space="preserve">rozhlasového vysílání, také u televizního vysílání je trh rozdělen mezi provozovatele veřejnoprávního vysílání (Česká televize) a </w:t>
      </w:r>
      <w:r w:rsidR="00A66FDB" w:rsidRPr="00EB2612">
        <w:t xml:space="preserve">na provozovatele soukromého vysílání </w:t>
      </w:r>
      <w:r w:rsidR="00600CDB" w:rsidRPr="00EB2612">
        <w:t>(</w:t>
      </w:r>
      <w:r w:rsidR="00CF765A" w:rsidRPr="00EB2612">
        <w:t>TV Nova</w:t>
      </w:r>
      <w:r w:rsidR="00600CDB" w:rsidRPr="00EB2612">
        <w:t>, FTV Prima</w:t>
      </w:r>
      <w:r w:rsidR="00BB64DB" w:rsidRPr="00EB2612">
        <w:t>, Ba</w:t>
      </w:r>
      <w:r w:rsidR="00600CDB" w:rsidRPr="00EB2612">
        <w:t>r</w:t>
      </w:r>
      <w:r w:rsidR="00BB64DB" w:rsidRPr="00EB2612">
        <w:t>randov Televi</w:t>
      </w:r>
      <w:r w:rsidR="00F543ED" w:rsidRPr="00EB2612">
        <w:t>zní studio</w:t>
      </w:r>
      <w:r w:rsidR="00A66FDB" w:rsidRPr="00EB2612">
        <w:t xml:space="preserve"> a další</w:t>
      </w:r>
      <w:r w:rsidR="00FF526E">
        <w:t>). Jak ukazuje Graf 57</w:t>
      </w:r>
      <w:r w:rsidR="00BB64DB" w:rsidRPr="00EB2612">
        <w:t xml:space="preserve">, programy </w:t>
      </w:r>
      <w:r w:rsidR="000728C1" w:rsidRPr="00EB2612">
        <w:t>provozovatele</w:t>
      </w:r>
      <w:r w:rsidR="00BB64DB" w:rsidRPr="00EB2612">
        <w:t xml:space="preserve"> veřejnoprávního vysílání </w:t>
      </w:r>
      <w:r w:rsidR="000A5D59">
        <w:t xml:space="preserve">České televize </w:t>
      </w:r>
      <w:r w:rsidR="00BB64DB" w:rsidRPr="00EB2612">
        <w:t>se</w:t>
      </w:r>
      <w:r w:rsidR="001661C5" w:rsidRPr="00EB2612">
        <w:t xml:space="preserve"> v </w:t>
      </w:r>
      <w:r w:rsidR="00A66FDB" w:rsidRPr="00EB2612">
        <w:t>září</w:t>
      </w:r>
      <w:r w:rsidR="007941FE" w:rsidRPr="00EB2612">
        <w:t xml:space="preserve"> 20</w:t>
      </w:r>
      <w:r w:rsidR="00A66FDB" w:rsidRPr="00EB2612">
        <w:t>20</w:t>
      </w:r>
      <w:r w:rsidR="00220644" w:rsidRPr="00EB2612">
        <w:t> </w:t>
      </w:r>
      <w:r w:rsidR="00A66FDB" w:rsidRPr="00EB2612">
        <w:t>podílely 29</w:t>
      </w:r>
      <w:r w:rsidR="00BB64DB" w:rsidRPr="00EB2612">
        <w:t xml:space="preserve"> % na celkové sledovanosti</w:t>
      </w:r>
      <w:r w:rsidR="00D95F9C" w:rsidRPr="00EB2612">
        <w:rPr>
          <w:rStyle w:val="Znakapoznpodarou"/>
        </w:rPr>
        <w:footnoteReference w:id="12"/>
      </w:r>
      <w:r w:rsidR="00BB64DB" w:rsidRPr="00EB2612">
        <w:t xml:space="preserve">, zatímco programy </w:t>
      </w:r>
      <w:r w:rsidR="000A5D59">
        <w:t>ostatních</w:t>
      </w:r>
      <w:r w:rsidR="000A5D59" w:rsidRPr="00EB2612">
        <w:t xml:space="preserve"> </w:t>
      </w:r>
      <w:r w:rsidR="00BB64DB" w:rsidRPr="00EB2612">
        <w:t xml:space="preserve">společností </w:t>
      </w:r>
      <w:r w:rsidR="00BB64DB" w:rsidRPr="00EB2612">
        <w:lastRenderedPageBreak/>
        <w:t>se</w:t>
      </w:r>
      <w:r w:rsidR="00220644" w:rsidRPr="00EB2612">
        <w:t> </w:t>
      </w:r>
      <w:r w:rsidR="00A66FDB" w:rsidRPr="00EB2612">
        <w:t>dohromady postaraly o 71</w:t>
      </w:r>
      <w:r w:rsidR="00BB64DB" w:rsidRPr="00EB2612">
        <w:t xml:space="preserve"> % sledovanosti.</w:t>
      </w:r>
      <w:r w:rsidR="00EB2612">
        <w:t xml:space="preserve"> Průměrná denní sledovanost osobami staršími 15 let v roce 2019 se pohybovala okolo 3h a 42 min</w:t>
      </w:r>
      <w:r w:rsidR="00BB64DB" w:rsidRPr="00EB2612">
        <w:t xml:space="preserve"> </w:t>
      </w:r>
      <w:r w:rsidR="00A66FDB" w:rsidRPr="00EB2612">
        <w:t>(ATO, 2020</w:t>
      </w:r>
      <w:r w:rsidR="00D64DAC" w:rsidRPr="00EB2612">
        <w:t>a</w:t>
      </w:r>
      <w:r w:rsidR="003F44B8" w:rsidRPr="00EB2612">
        <w:t>)</w:t>
      </w:r>
      <w:r w:rsidR="00BB64DB" w:rsidRPr="00EB2612">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B36210">
        <w:rPr>
          <w:color w:val="auto"/>
          <w:sz w:val="22"/>
          <w:szCs w:val="22"/>
        </w:rPr>
        <w:t>57</w:t>
      </w:r>
      <w:r w:rsidRPr="00EB2612">
        <w:rPr>
          <w:color w:val="auto"/>
          <w:sz w:val="22"/>
          <w:szCs w:val="22"/>
        </w:rPr>
        <w:t xml:space="preserve"> </w:t>
      </w:r>
      <w:r w:rsidRPr="00EB2612">
        <w:rPr>
          <w:b w:val="0"/>
          <w:color w:val="auto"/>
          <w:sz w:val="22"/>
          <w:szCs w:val="22"/>
        </w:rPr>
        <w:t xml:space="preserve">Podíl poskytovatelů televizního vysílání na </w:t>
      </w:r>
      <w:r w:rsidR="006B565D" w:rsidRPr="00EB2612">
        <w:rPr>
          <w:b w:val="0"/>
          <w:color w:val="auto"/>
          <w:sz w:val="22"/>
          <w:szCs w:val="22"/>
        </w:rPr>
        <w:t xml:space="preserve">celkové </w:t>
      </w:r>
      <w:r w:rsidR="00600CDB" w:rsidRPr="00EB2612">
        <w:rPr>
          <w:b w:val="0"/>
          <w:color w:val="auto"/>
          <w:sz w:val="22"/>
          <w:szCs w:val="22"/>
        </w:rPr>
        <w:t>sledovanosti</w:t>
      </w:r>
      <w:r w:rsidR="002F073D" w:rsidRPr="002F073D">
        <w:rPr>
          <w:b w:val="0"/>
          <w:color w:val="auto"/>
          <w:sz w:val="22"/>
          <w:szCs w:val="22"/>
          <w:vertAlign w:val="superscript"/>
        </w:rPr>
        <w:t>12</w:t>
      </w:r>
      <w:r w:rsidR="00600CDB" w:rsidRPr="00EB2612">
        <w:rPr>
          <w:b w:val="0"/>
          <w:color w:val="auto"/>
          <w:sz w:val="22"/>
          <w:szCs w:val="22"/>
        </w:rPr>
        <w:t xml:space="preserve"> v</w:t>
      </w:r>
      <w:r w:rsidR="00EB2612">
        <w:rPr>
          <w:b w:val="0"/>
          <w:color w:val="auto"/>
          <w:sz w:val="22"/>
          <w:szCs w:val="22"/>
        </w:rPr>
        <w:t xml:space="preserve"> 37. </w:t>
      </w:r>
      <w:r w:rsidR="002F073D">
        <w:rPr>
          <w:b w:val="0"/>
          <w:color w:val="auto"/>
          <w:sz w:val="22"/>
          <w:szCs w:val="22"/>
        </w:rPr>
        <w:t>t</w:t>
      </w:r>
      <w:r w:rsidR="00EB2612">
        <w:rPr>
          <w:b w:val="0"/>
          <w:color w:val="auto"/>
          <w:sz w:val="22"/>
          <w:szCs w:val="22"/>
        </w:rPr>
        <w:t>ýdnu roku</w:t>
      </w:r>
      <w:r w:rsidR="00376C04" w:rsidRPr="00EB2612">
        <w:rPr>
          <w:b w:val="0"/>
          <w:color w:val="auto"/>
          <w:sz w:val="22"/>
          <w:szCs w:val="22"/>
        </w:rPr>
        <w:t xml:space="preserve"> 2020</w:t>
      </w:r>
      <w:r w:rsidR="002F073D">
        <w:rPr>
          <w:b w:val="0"/>
          <w:color w:val="auto"/>
          <w:sz w:val="22"/>
          <w:szCs w:val="22"/>
        </w:rPr>
        <w:t xml:space="preserve"> (osoby starší 15 let)</w:t>
      </w:r>
    </w:p>
    <w:p w:rsidR="00BB64DB" w:rsidRPr="00EB2612" w:rsidRDefault="00EB2612" w:rsidP="00BB64DB">
      <w:pPr>
        <w:jc w:val="center"/>
      </w:pPr>
      <w:r w:rsidRPr="00EB2612">
        <w:rPr>
          <w:noProof/>
        </w:rPr>
        <w:drawing>
          <wp:inline distT="0" distB="0" distL="0" distR="0">
            <wp:extent cx="4638675" cy="2238375"/>
            <wp:effectExtent l="0" t="0" r="0" b="0"/>
            <wp:docPr id="9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Zdro</w:t>
      </w:r>
      <w:r w:rsidR="004D5A93" w:rsidRPr="00EB2612">
        <w:rPr>
          <w:b w:val="0"/>
          <w:color w:val="auto"/>
          <w:sz w:val="22"/>
          <w:szCs w:val="22"/>
        </w:rPr>
        <w:t xml:space="preserve">j: </w:t>
      </w:r>
      <w:r w:rsidR="00EE01FF" w:rsidRPr="00EB2612">
        <w:rPr>
          <w:b w:val="0"/>
          <w:color w:val="auto"/>
          <w:sz w:val="22"/>
          <w:szCs w:val="22"/>
        </w:rPr>
        <w:t>Asociace televizních organizací</w:t>
      </w:r>
      <w:r w:rsidR="00EB2612">
        <w:rPr>
          <w:b w:val="0"/>
          <w:color w:val="auto"/>
          <w:sz w:val="22"/>
          <w:szCs w:val="22"/>
        </w:rPr>
        <w:t xml:space="preserve"> – Nielsen Admosphere</w:t>
      </w:r>
    </w:p>
    <w:p w:rsidR="00BB64DB" w:rsidRPr="00EB2612" w:rsidRDefault="00BB64DB" w:rsidP="00461B09">
      <w:r w:rsidRPr="00EB2612">
        <w:t>Rozdíl mezi programy veřejnoprávního a soukromého vysílání je patrný také při sledování programové struktury. Stejně jako u rozhlasového vysílání je u veřejnoprávní televize zákonem regulovaný podíl reklamy</w:t>
      </w:r>
      <w:r w:rsidR="00AD5932" w:rsidRPr="00EB2612">
        <w:t xml:space="preserve"> a teleshoppingu</w:t>
      </w:r>
      <w:r w:rsidRPr="00EB2612">
        <w:t xml:space="preserve"> na celkovém vysílání</w:t>
      </w:r>
      <w:r w:rsidRPr="00EB2612">
        <w:rPr>
          <w:rStyle w:val="Znakapoznpodarou"/>
        </w:rPr>
        <w:footnoteReference w:id="13"/>
      </w:r>
      <w:r w:rsidR="0016269D" w:rsidRPr="00EB2612">
        <w:t>. Jak ukazuje Graf 5</w:t>
      </w:r>
      <w:r w:rsidR="00FF526E">
        <w:t>8</w:t>
      </w:r>
      <w:r w:rsidRPr="00EB2612">
        <w:t xml:space="preserve">, celkový podíl </w:t>
      </w:r>
      <w:r w:rsidR="00CF630C" w:rsidRPr="00EB2612">
        <w:t>obchodního</w:t>
      </w:r>
      <w:r w:rsidR="00AD5932" w:rsidRPr="00EB2612">
        <w:t xml:space="preserve"> </w:t>
      </w:r>
      <w:r w:rsidR="003F593B" w:rsidRPr="00EB2612">
        <w:t>sdělení</w:t>
      </w:r>
      <w:r w:rsidR="00CF630C" w:rsidRPr="00EB2612">
        <w:t xml:space="preserve"> </w:t>
      </w:r>
      <w:r w:rsidRPr="00EB2612">
        <w:t xml:space="preserve">veřejnoprávní televize dosahoval </w:t>
      </w:r>
      <w:r w:rsidR="00C64BB8" w:rsidRPr="00EB2612">
        <w:t>1</w:t>
      </w:r>
      <w:r w:rsidRPr="00EB2612">
        <w:t xml:space="preserve"> % z</w:t>
      </w:r>
      <w:r w:rsidR="000728C1" w:rsidRPr="00EB2612">
        <w:t> celkového vysílání, zatímco u komerčních programů</w:t>
      </w:r>
      <w:r w:rsidRPr="00EB2612">
        <w:t xml:space="preserve"> tvořila </w:t>
      </w:r>
      <w:r w:rsidR="00AD5932" w:rsidRPr="00EB2612">
        <w:t>obchodní sdělení</w:t>
      </w:r>
      <w:r w:rsidR="000728C1" w:rsidRPr="00EB2612">
        <w:t xml:space="preserve"> </w:t>
      </w:r>
      <w:r w:rsidR="00AD5932" w:rsidRPr="00EB2612">
        <w:t>celkem 12</w:t>
      </w:r>
      <w:r w:rsidR="00114A3F" w:rsidRPr="00EB2612">
        <w:t xml:space="preserve"> % veškerého vysílacího času</w:t>
      </w:r>
      <w:r w:rsidRPr="00EB2612">
        <w:t xml:space="preserve">. Programy veřejnoprávní televize mají naopak ve srovnání s programy soukromých poskytovatelů větší podíl </w:t>
      </w:r>
      <w:r w:rsidR="00416EF5" w:rsidRPr="00EB2612">
        <w:t xml:space="preserve">publicistických </w:t>
      </w:r>
      <w:r w:rsidR="00AD5932" w:rsidRPr="00EB2612">
        <w:t>či</w:t>
      </w:r>
      <w:r w:rsidR="00461B09" w:rsidRPr="00EB2612">
        <w:t xml:space="preserve"> dokumentárních</w:t>
      </w:r>
      <w:r w:rsidR="004F5E3A" w:rsidRPr="00EB2612">
        <w:t xml:space="preserve"> </w:t>
      </w:r>
      <w:r w:rsidR="002B1A98" w:rsidRPr="00EB2612">
        <w:t>(17</w:t>
      </w:r>
      <w:r w:rsidRPr="00EB2612">
        <w:t xml:space="preserve"> %)</w:t>
      </w:r>
      <w:r w:rsidR="004F5E3A" w:rsidRPr="00EB2612">
        <w:t xml:space="preserve"> a také sportovních pořadů (19</w:t>
      </w:r>
      <w:r w:rsidRPr="00EB2612">
        <w:t xml:space="preserve"> %). </w:t>
      </w:r>
      <w:r w:rsidR="00461B09" w:rsidRPr="00EB2612">
        <w:t>U</w:t>
      </w:r>
      <w:r w:rsidR="0022192F" w:rsidRPr="00EB2612">
        <w:t> </w:t>
      </w:r>
      <w:r w:rsidR="00461B09" w:rsidRPr="00EB2612">
        <w:t xml:space="preserve">posledně jmenovaného </w:t>
      </w:r>
      <w:r w:rsidRPr="00EB2612">
        <w:t>je</w:t>
      </w:r>
      <w:r w:rsidR="00461B09" w:rsidRPr="00EB2612">
        <w:t xml:space="preserve"> to</w:t>
      </w:r>
      <w:r w:rsidRPr="00EB2612">
        <w:t xml:space="preserve"> dané</w:t>
      </w:r>
      <w:r w:rsidR="00461B09" w:rsidRPr="00EB2612">
        <w:t xml:space="preserve"> zejména existencí samostatného sportovního</w:t>
      </w:r>
      <w:r w:rsidR="00282CCA" w:rsidRPr="00EB2612">
        <w:t> </w:t>
      </w:r>
      <w:r w:rsidR="00461B09" w:rsidRPr="00EB2612">
        <w:t xml:space="preserve"> programu</w:t>
      </w:r>
      <w:r w:rsidR="00DF765E" w:rsidRPr="00EB2612">
        <w:t xml:space="preserve"> České televize</w:t>
      </w:r>
      <w:r w:rsidRPr="00EB2612">
        <w:t xml:space="preserve">. </w:t>
      </w:r>
      <w:r w:rsidR="00416EF5" w:rsidRPr="00EB2612">
        <w:t>Jak u</w:t>
      </w:r>
      <w:r w:rsidR="0022192F" w:rsidRPr="00EB2612">
        <w:t> </w:t>
      </w:r>
      <w:r w:rsidR="0011354C">
        <w:t>soukromého, tak u veřejnoprávního</w:t>
      </w:r>
      <w:r w:rsidR="00416EF5" w:rsidRPr="00EB2612">
        <w:t xml:space="preserve"> </w:t>
      </w:r>
      <w:r w:rsidR="0011354C">
        <w:t>vysílání</w:t>
      </w:r>
      <w:r w:rsidR="00416EF5" w:rsidRPr="00EB2612">
        <w:t xml:space="preserve"> tvořily největší podíl vysílacího času </w:t>
      </w:r>
      <w:r w:rsidR="00AD5932" w:rsidRPr="00EB2612">
        <w:t>dramatické (21</w:t>
      </w:r>
      <w:r w:rsidR="00416EF5" w:rsidRPr="00EB2612">
        <w:t xml:space="preserve"> % u </w:t>
      </w:r>
      <w:r w:rsidR="00AD5932" w:rsidRPr="00EB2612">
        <w:t>veřejnoprávního a 23</w:t>
      </w:r>
      <w:r w:rsidR="00416EF5" w:rsidRPr="00EB2612">
        <w:t xml:space="preserve"> % u </w:t>
      </w:r>
      <w:r w:rsidR="002B1A98" w:rsidRPr="00EB2612">
        <w:t>soukromého</w:t>
      </w:r>
      <w:r w:rsidR="00416EF5" w:rsidRPr="00EB2612">
        <w:t xml:space="preserve"> </w:t>
      </w:r>
      <w:r w:rsidR="001132C6" w:rsidRPr="00EB2612">
        <w:t>vysílání) a zpravodajské</w:t>
      </w:r>
      <w:r w:rsidR="00AD5932" w:rsidRPr="00EB2612">
        <w:t xml:space="preserve"> pořady (23</w:t>
      </w:r>
      <w:r w:rsidR="00416EF5" w:rsidRPr="00EB2612">
        <w:t xml:space="preserve"> % u</w:t>
      </w:r>
      <w:r w:rsidR="0022192F" w:rsidRPr="00EB2612">
        <w:t> </w:t>
      </w:r>
      <w:r w:rsidR="00AD5932" w:rsidRPr="00EB2612">
        <w:t>veřejnoprávního a 31</w:t>
      </w:r>
      <w:r w:rsidR="00416EF5" w:rsidRPr="00EB2612">
        <w:t xml:space="preserve"> % u soukromého vysílání). </w:t>
      </w:r>
      <w:r w:rsidRPr="00EB2612">
        <w:t xml:space="preserve">Vysoký podíl zpravodajských pořadů na celkovém vysílání </w:t>
      </w:r>
      <w:r w:rsidR="00416EF5" w:rsidRPr="00EB2612">
        <w:t xml:space="preserve">soukromých provozovatelů </w:t>
      </w:r>
      <w:r w:rsidRPr="00EB2612">
        <w:t xml:space="preserve">je </w:t>
      </w:r>
      <w:r w:rsidR="00C64BB8" w:rsidRPr="00EB2612">
        <w:t xml:space="preserve">však </w:t>
      </w:r>
      <w:r w:rsidRPr="00EB2612">
        <w:t xml:space="preserve">ovlivněn velkým počtem </w:t>
      </w:r>
      <w:r w:rsidR="000728C1" w:rsidRPr="00EB2612">
        <w:t>„</w:t>
      </w:r>
      <w:r w:rsidRPr="00EB2612">
        <w:t>infokanálů</w:t>
      </w:r>
      <w:r w:rsidR="000728C1" w:rsidRPr="00EB2612">
        <w:t>“</w:t>
      </w:r>
      <w:r w:rsidRPr="00EB2612">
        <w:t>, jejichž vysílání se často omezuje pouze n</w:t>
      </w:r>
      <w:r w:rsidR="00042E63" w:rsidRPr="00EB2612">
        <w:t>a vysílání zpravodajské smyčky</w:t>
      </w:r>
      <w:r w:rsidR="00AD5932" w:rsidRPr="00EB2612">
        <w:t xml:space="preserve"> (16</w:t>
      </w:r>
      <w:r w:rsidR="00461B09" w:rsidRPr="00EB2612">
        <w:t xml:space="preserve"> %</w:t>
      </w:r>
      <w:r w:rsidR="00416EF5" w:rsidRPr="00EB2612">
        <w:t xml:space="preserve"> z celkového vysílání soukromých provozovatelů</w:t>
      </w:r>
      <w:r w:rsidR="00461B09" w:rsidRPr="00EB2612">
        <w:t>)</w:t>
      </w:r>
      <w:r w:rsidR="00042E63" w:rsidRPr="00EB2612">
        <w:t>.</w:t>
      </w:r>
    </w:p>
    <w:p w:rsidR="00BB64DB" w:rsidRPr="00EB2612" w:rsidRDefault="00BB64DB" w:rsidP="00461B09">
      <w:pPr>
        <w:pStyle w:val="Titulek"/>
        <w:keepNext/>
        <w:rPr>
          <w:b w:val="0"/>
          <w:color w:val="auto"/>
          <w:sz w:val="22"/>
          <w:szCs w:val="22"/>
        </w:rPr>
      </w:pPr>
      <w:r w:rsidRPr="00EB2612">
        <w:rPr>
          <w:color w:val="auto"/>
          <w:sz w:val="22"/>
          <w:szCs w:val="22"/>
        </w:rPr>
        <w:lastRenderedPageBreak/>
        <w:t xml:space="preserve">Graf </w:t>
      </w:r>
      <w:r w:rsidR="000C27A2" w:rsidRPr="00EB2612">
        <w:rPr>
          <w:color w:val="auto"/>
          <w:sz w:val="22"/>
          <w:szCs w:val="22"/>
        </w:rPr>
        <w:t>5</w:t>
      </w:r>
      <w:r w:rsidR="00B36210">
        <w:rPr>
          <w:color w:val="auto"/>
          <w:sz w:val="22"/>
          <w:szCs w:val="22"/>
        </w:rPr>
        <w:t>8</w:t>
      </w:r>
      <w:r w:rsidRPr="00EB2612">
        <w:rPr>
          <w:color w:val="auto"/>
          <w:sz w:val="22"/>
          <w:szCs w:val="22"/>
        </w:rPr>
        <w:t xml:space="preserve"> </w:t>
      </w:r>
      <w:r w:rsidRPr="00EB2612">
        <w:rPr>
          <w:b w:val="0"/>
          <w:color w:val="auto"/>
          <w:sz w:val="22"/>
          <w:szCs w:val="22"/>
        </w:rPr>
        <w:t xml:space="preserve">Programová struktura </w:t>
      </w:r>
      <w:r w:rsidR="008905EC" w:rsidRPr="00EB2612">
        <w:rPr>
          <w:b w:val="0"/>
          <w:color w:val="auto"/>
          <w:sz w:val="22"/>
          <w:szCs w:val="22"/>
        </w:rPr>
        <w:t>televizního</w:t>
      </w:r>
      <w:r w:rsidRPr="00EB2612">
        <w:rPr>
          <w:b w:val="0"/>
          <w:color w:val="auto"/>
          <w:sz w:val="22"/>
          <w:szCs w:val="22"/>
        </w:rPr>
        <w:t xml:space="preserve"> vysílání v roc</w:t>
      </w:r>
      <w:r w:rsidR="002B1A98" w:rsidRPr="00EB2612">
        <w:rPr>
          <w:b w:val="0"/>
          <w:color w:val="auto"/>
          <w:sz w:val="22"/>
          <w:szCs w:val="22"/>
        </w:rPr>
        <w:t>e 201</w:t>
      </w:r>
      <w:r w:rsidR="00AD5932" w:rsidRPr="00EB2612">
        <w:rPr>
          <w:b w:val="0"/>
          <w:color w:val="auto"/>
          <w:sz w:val="22"/>
          <w:szCs w:val="22"/>
        </w:rPr>
        <w:t>9</w:t>
      </w:r>
      <w:r w:rsidRPr="00EB2612">
        <w:rPr>
          <w:b w:val="0"/>
          <w:color w:val="auto"/>
          <w:sz w:val="22"/>
          <w:szCs w:val="22"/>
        </w:rPr>
        <w:t xml:space="preserve"> podle vysílaných pořadů</w:t>
      </w:r>
      <w:r w:rsidR="00AF36B3" w:rsidRPr="00EB2612">
        <w:rPr>
          <w:b w:val="0"/>
          <w:color w:val="auto"/>
          <w:sz w:val="22"/>
          <w:szCs w:val="22"/>
        </w:rPr>
        <w:t xml:space="preserve"> (v % odvysílaného času)</w:t>
      </w:r>
    </w:p>
    <w:p w:rsidR="00BB64DB" w:rsidRPr="00EB2612" w:rsidRDefault="00CF630C" w:rsidP="00C62D2F">
      <w:pPr>
        <w:keepNext/>
        <w:jc w:val="center"/>
      </w:pPr>
      <w:r w:rsidRPr="00EB2612">
        <w:rPr>
          <w:noProof/>
        </w:rPr>
        <w:drawing>
          <wp:inline distT="0" distB="0" distL="0" distR="0">
            <wp:extent cx="6267450" cy="1524000"/>
            <wp:effectExtent l="0" t="0" r="0" b="0"/>
            <wp:docPr id="11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BB64DB" w:rsidRPr="00EB2612" w:rsidRDefault="00BB64DB" w:rsidP="00BB64DB">
      <w:r w:rsidRPr="00EB2612">
        <w:t xml:space="preserve">Zdroj: </w:t>
      </w:r>
      <w:r w:rsidR="004D5A93" w:rsidRPr="00EB2612">
        <w:t xml:space="preserve">Kult, </w:t>
      </w:r>
      <w:r w:rsidR="005F0301" w:rsidRPr="00EB2612">
        <w:t>Č</w:t>
      </w:r>
      <w:r w:rsidRPr="00EB2612">
        <w:t>SÚ</w:t>
      </w:r>
    </w:p>
    <w:p w:rsidR="0066141D" w:rsidRPr="00EB2612" w:rsidRDefault="002F1CBF" w:rsidP="00BB64DB">
      <w:r w:rsidRPr="00EB2612">
        <w:t>D</w:t>
      </w:r>
      <w:r w:rsidR="001132C6" w:rsidRPr="00EB2612">
        <w:t xml:space="preserve">o šetření Kult 6-01 </w:t>
      </w:r>
      <w:r w:rsidRPr="00EB2612">
        <w:t>jsou od</w:t>
      </w:r>
      <w:r w:rsidR="00DF765E" w:rsidRPr="00EB2612">
        <w:t xml:space="preserve"> referenčního</w:t>
      </w:r>
      <w:r w:rsidRPr="00EB2612">
        <w:t xml:space="preserve"> roku 2017 </w:t>
      </w:r>
      <w:r w:rsidR="005C78E0" w:rsidRPr="00EB2612">
        <w:t xml:space="preserve">zařazeny </w:t>
      </w:r>
      <w:r w:rsidRPr="00EB2612">
        <w:t xml:space="preserve">také </w:t>
      </w:r>
      <w:r w:rsidR="005C78E0" w:rsidRPr="00EB2612">
        <w:t xml:space="preserve">otázky týkající se poskytování tzv. audiovizuálních </w:t>
      </w:r>
      <w:r w:rsidR="001132C6" w:rsidRPr="00EB2612">
        <w:t>mediálních</w:t>
      </w:r>
      <w:r w:rsidR="005C78E0" w:rsidRPr="00EB2612">
        <w:t xml:space="preserve"> služeb na vyžádání (online katalogů pořadů). Na tyto otázky odpovíd</w:t>
      </w:r>
      <w:r w:rsidRPr="00EB2612">
        <w:t>ají</w:t>
      </w:r>
      <w:r w:rsidR="005C78E0" w:rsidRPr="00EB2612">
        <w:t xml:space="preserve"> jak provozovatelé televizního vysílán</w:t>
      </w:r>
      <w:r w:rsidR="00D8721D" w:rsidRPr="00EB2612">
        <w:t>í, kteří</w:t>
      </w:r>
      <w:r w:rsidR="005C78E0" w:rsidRPr="00EB2612">
        <w:t xml:space="preserve"> tyto služby poskytují vedle vysílací činnosti (v současnosti disponují svými online archivy všechny velké </w:t>
      </w:r>
      <w:r w:rsidR="00D8721D" w:rsidRPr="00EB2612">
        <w:t>televizní společnosti</w:t>
      </w:r>
      <w:r w:rsidR="005C78E0" w:rsidRPr="00EB2612">
        <w:t>), tak samostatní poskytovatelé online katalogů (jako např. Seznam.cz nebo Economia).</w:t>
      </w:r>
      <w:r w:rsidR="00D8721D" w:rsidRPr="00EB2612">
        <w:t xml:space="preserve"> Programovou strukturu t</w:t>
      </w:r>
      <w:r w:rsidR="0066141D" w:rsidRPr="00EB2612">
        <w:t xml:space="preserve">ěchto katalogů </w:t>
      </w:r>
      <w:r w:rsidR="00FF526E">
        <w:t>v roce 2017 a 20</w:t>
      </w:r>
      <w:r w:rsidR="0011354C">
        <w:t>1</w:t>
      </w:r>
      <w:r w:rsidR="00FF526E">
        <w:t>9</w:t>
      </w:r>
      <w:r w:rsidRPr="00EB2612">
        <w:t xml:space="preserve"> </w:t>
      </w:r>
      <w:r w:rsidR="00FF526E">
        <w:t>zobrazuje Graf 59</w:t>
      </w:r>
      <w:r w:rsidR="00D8721D" w:rsidRPr="00EB2612">
        <w:t>, přičemž základní sledovanou jednotkou v tomto případě nebyl počet odvysílaných hodin (tak jako u televizního vysílání) ale počet zahájených přehrání jednotlivých videí.</w:t>
      </w:r>
    </w:p>
    <w:p w:rsidR="000E5F9D" w:rsidRPr="00EB2612" w:rsidRDefault="0066141D" w:rsidP="00BB64DB">
      <w:r w:rsidRPr="00EB2612">
        <w:tab/>
      </w:r>
      <w:r w:rsidR="008F39E3" w:rsidRPr="00EB2612">
        <w:t xml:space="preserve">Z </w:t>
      </w:r>
      <w:r w:rsidR="00D8721D" w:rsidRPr="00EB2612">
        <w:t>katalog</w:t>
      </w:r>
      <w:r w:rsidR="008F39E3" w:rsidRPr="00EB2612">
        <w:t>ů pořadů (audiovizuálních mediálních služeb na vyžádání)</w:t>
      </w:r>
      <w:r w:rsidR="00D8721D" w:rsidRPr="00EB2612">
        <w:t xml:space="preserve"> </w:t>
      </w:r>
      <w:r w:rsidR="008F39E3" w:rsidRPr="00EB2612">
        <w:t>oslovily</w:t>
      </w:r>
      <w:r w:rsidR="000C27A2" w:rsidRPr="00EB2612">
        <w:t xml:space="preserve"> diváky </w:t>
      </w:r>
      <w:r w:rsidR="008F39E3" w:rsidRPr="00EB2612">
        <w:t xml:space="preserve">na internetu </w:t>
      </w:r>
      <w:r w:rsidR="00D870FA" w:rsidRPr="00EB2612">
        <w:t xml:space="preserve">v roce 2019 </w:t>
      </w:r>
      <w:r w:rsidR="008F39E3" w:rsidRPr="00EB2612">
        <w:t xml:space="preserve">nejvíce </w:t>
      </w:r>
      <w:r w:rsidR="000C27A2" w:rsidRPr="00EB2612">
        <w:t>zába</w:t>
      </w:r>
      <w:r w:rsidR="00D870FA" w:rsidRPr="00EB2612">
        <w:t>vné a lifestylové pořady (33</w:t>
      </w:r>
      <w:r w:rsidR="000C27A2" w:rsidRPr="00EB2612">
        <w:t xml:space="preserve"> %).</w:t>
      </w:r>
      <w:r w:rsidR="00D870FA" w:rsidRPr="00EB2612">
        <w:t xml:space="preserve"> Ve srovnání s rokem 2017 však podíl těchto pořadů na celk</w:t>
      </w:r>
      <w:r w:rsidR="004301D5" w:rsidRPr="00EB2612">
        <w:t>ovém počtu</w:t>
      </w:r>
      <w:r w:rsidR="00D870FA" w:rsidRPr="00EB2612">
        <w:t xml:space="preserve"> </w:t>
      </w:r>
      <w:proofErr w:type="spellStart"/>
      <w:r w:rsidR="00D870FA" w:rsidRPr="00EB2612">
        <w:t>přehraných</w:t>
      </w:r>
      <w:proofErr w:type="spellEnd"/>
      <w:r w:rsidR="00D870FA" w:rsidRPr="00EB2612">
        <w:t xml:space="preserve"> videí </w:t>
      </w:r>
      <w:proofErr w:type="gramStart"/>
      <w:r w:rsidR="00D870FA" w:rsidRPr="00EB2612">
        <w:t xml:space="preserve">poklesl o </w:t>
      </w:r>
      <w:r w:rsidR="000C27A2" w:rsidRPr="00EB2612">
        <w:t xml:space="preserve"> </w:t>
      </w:r>
      <w:r w:rsidR="004301D5" w:rsidRPr="00EB2612">
        <w:t>8 p.</w:t>
      </w:r>
      <w:proofErr w:type="gramEnd"/>
      <w:r w:rsidR="004301D5" w:rsidRPr="00EB2612">
        <w:t xml:space="preserve"> b. Naopak největší nárůst zaznamenaly filmy a</w:t>
      </w:r>
      <w:r w:rsidR="00362010">
        <w:t> </w:t>
      </w:r>
      <w:r w:rsidR="004301D5" w:rsidRPr="00EB2612">
        <w:t xml:space="preserve">seriály, jejichž podíl na celkovém počtu přehraných videí v roce 2019 činil 27 % a oproti roku 2017 vzrostl trojnásobně. </w:t>
      </w:r>
      <w:r w:rsidR="000C27A2" w:rsidRPr="00EB2612">
        <w:t xml:space="preserve">Dále pak byly </w:t>
      </w:r>
      <w:r w:rsidR="004301D5" w:rsidRPr="00EB2612">
        <w:t xml:space="preserve">v roce 2019 </w:t>
      </w:r>
      <w:r w:rsidR="008F39E3" w:rsidRPr="00EB2612">
        <w:t>ve větší míře</w:t>
      </w:r>
      <w:r w:rsidR="000C27A2" w:rsidRPr="00EB2612">
        <w:t xml:space="preserve"> přehrávány zpravod</w:t>
      </w:r>
      <w:r w:rsidR="004301D5" w:rsidRPr="00EB2612">
        <w:t>ajské a publicistické pořady (26</w:t>
      </w:r>
      <w:r w:rsidR="000C27A2" w:rsidRPr="00EB2612">
        <w:t xml:space="preserve"> %) a</w:t>
      </w:r>
      <w:r w:rsidR="008F39E3" w:rsidRPr="00EB2612">
        <w:t xml:space="preserve"> </w:t>
      </w:r>
      <w:r w:rsidR="004301D5" w:rsidRPr="00EB2612">
        <w:t>také</w:t>
      </w:r>
      <w:r w:rsidR="008F39E3" w:rsidRPr="00EB2612">
        <w:t xml:space="preserve"> </w:t>
      </w:r>
      <w:r w:rsidR="004301D5" w:rsidRPr="00EB2612">
        <w:t>sportovní pořady (6</w:t>
      </w:r>
      <w:r w:rsidR="000C27A2" w:rsidRPr="00EB2612">
        <w:t xml:space="preserve"> %).</w:t>
      </w:r>
      <w:r w:rsidR="008F39E3" w:rsidRPr="00EB2612">
        <w:t xml:space="preserve"> Ze sledovaných kategorií byly nejméně přehrávány dokumenty a </w:t>
      </w:r>
      <w:r w:rsidR="004301D5" w:rsidRPr="00EB2612">
        <w:t>vzdělávací (4</w:t>
      </w:r>
      <w:r w:rsidR="008F39E3" w:rsidRPr="00EB2612">
        <w:t xml:space="preserve"> %)</w:t>
      </w:r>
      <w:r w:rsidR="004301D5" w:rsidRPr="00EB2612">
        <w:t xml:space="preserve"> a hudební (1%) pořady. Přibližně 5</w:t>
      </w:r>
      <w:r w:rsidR="008F39E3" w:rsidRPr="00EB2612">
        <w:t xml:space="preserve"> % z přehraných videí nebylo možné zařadit do žádné kategorie.</w:t>
      </w:r>
      <w:r w:rsidR="000C27A2" w:rsidRPr="00EB2612">
        <w:t xml:space="preserve"> Celkově diváci přehráli</w:t>
      </w:r>
      <w:r w:rsidR="00726115" w:rsidRPr="00EB2612">
        <w:rPr>
          <w:rStyle w:val="Znakapoznpodarou"/>
        </w:rPr>
        <w:footnoteReference w:id="14"/>
      </w:r>
      <w:r w:rsidR="00726115" w:rsidRPr="00EB2612">
        <w:t xml:space="preserve"> </w:t>
      </w:r>
      <w:r w:rsidR="004301D5" w:rsidRPr="00EB2612">
        <w:t>v roce 2019</w:t>
      </w:r>
      <w:r w:rsidR="000C27A2" w:rsidRPr="00EB2612">
        <w:t xml:space="preserve"> </w:t>
      </w:r>
      <w:r w:rsidR="009C6CB3" w:rsidRPr="00EB2612">
        <w:t>přibližně</w:t>
      </w:r>
      <w:r w:rsidR="000C27A2" w:rsidRPr="00EB2612">
        <w:t xml:space="preserve"> 3</w:t>
      </w:r>
      <w:r w:rsidR="004301D5" w:rsidRPr="00EB2612">
        <w:t>,9</w:t>
      </w:r>
      <w:r w:rsidR="0022192F" w:rsidRPr="00EB2612">
        <w:t> </w:t>
      </w:r>
      <w:r w:rsidR="000C27A2" w:rsidRPr="00EB2612">
        <w:t>miliardy videí, přičemž většinu z </w:t>
      </w:r>
      <w:r w:rsidR="009C6CB3" w:rsidRPr="00EB2612">
        <w:t>těchto videí tvo</w:t>
      </w:r>
      <w:r w:rsidR="004301D5" w:rsidRPr="00EB2612">
        <w:t>řila reklama (69</w:t>
      </w:r>
      <w:r w:rsidR="000C27A2" w:rsidRPr="00EB2612">
        <w:t xml:space="preserve"> %). Na zbylá videa pak </w:t>
      </w:r>
      <w:r w:rsidR="001132C6" w:rsidRPr="00EB2612">
        <w:t>připadlo</w:t>
      </w:r>
      <w:r w:rsidR="0022192F" w:rsidRPr="00EB2612">
        <w:t xml:space="preserve"> </w:t>
      </w:r>
      <w:r w:rsidR="009C6CB3" w:rsidRPr="00EB2612">
        <w:t>zhruba 1</w:t>
      </w:r>
      <w:r w:rsidR="004301D5" w:rsidRPr="00EB2612">
        <w:t>,2</w:t>
      </w:r>
      <w:r w:rsidR="009C6CB3" w:rsidRPr="00EB2612">
        <w:t xml:space="preserve"> </w:t>
      </w:r>
      <w:r w:rsidR="000C27A2" w:rsidRPr="00EB2612">
        <w:t xml:space="preserve">mld. </w:t>
      </w:r>
      <w:r w:rsidR="001132C6" w:rsidRPr="00EB2612">
        <w:t>zhlédnutí</w:t>
      </w:r>
      <w:r w:rsidR="00FF526E">
        <w:t>.</w:t>
      </w:r>
    </w:p>
    <w:p w:rsidR="000E5F9D" w:rsidRPr="00EB2612" w:rsidRDefault="000E5F9D" w:rsidP="000E5F9D">
      <w:pPr>
        <w:pStyle w:val="Titulek"/>
        <w:keepNext/>
        <w:rPr>
          <w:b w:val="0"/>
          <w:color w:val="auto"/>
          <w:sz w:val="22"/>
          <w:szCs w:val="22"/>
        </w:rPr>
      </w:pPr>
      <w:r w:rsidRPr="00EB2612">
        <w:rPr>
          <w:color w:val="auto"/>
          <w:sz w:val="22"/>
          <w:szCs w:val="22"/>
        </w:rPr>
        <w:t>Graf 5</w:t>
      </w:r>
      <w:r w:rsidR="00B36210">
        <w:rPr>
          <w:color w:val="auto"/>
          <w:sz w:val="22"/>
          <w:szCs w:val="22"/>
        </w:rPr>
        <w:t>9</w:t>
      </w:r>
      <w:r w:rsidRPr="00EB2612">
        <w:rPr>
          <w:color w:val="auto"/>
          <w:sz w:val="22"/>
          <w:szCs w:val="22"/>
        </w:rPr>
        <w:t xml:space="preserve"> </w:t>
      </w:r>
      <w:r w:rsidRPr="00EB2612">
        <w:rPr>
          <w:b w:val="0"/>
          <w:color w:val="auto"/>
          <w:sz w:val="22"/>
          <w:szCs w:val="22"/>
        </w:rPr>
        <w:t>Programová struktura audiovizuálních mediálních služeb na vyžádá</w:t>
      </w:r>
      <w:r w:rsidR="002F1CBF" w:rsidRPr="00EB2612">
        <w:rPr>
          <w:b w:val="0"/>
          <w:color w:val="auto"/>
          <w:sz w:val="22"/>
          <w:szCs w:val="22"/>
        </w:rPr>
        <w:t xml:space="preserve">ní (katalogů pořadů) </w:t>
      </w:r>
      <w:r w:rsidR="000C27A2" w:rsidRPr="00EB2612">
        <w:rPr>
          <w:b w:val="0"/>
          <w:color w:val="auto"/>
          <w:sz w:val="22"/>
          <w:szCs w:val="22"/>
        </w:rPr>
        <w:t xml:space="preserve">podle počtu </w:t>
      </w:r>
      <w:r w:rsidR="008E0B46">
        <w:rPr>
          <w:b w:val="0"/>
          <w:color w:val="auto"/>
          <w:sz w:val="22"/>
          <w:szCs w:val="22"/>
        </w:rPr>
        <w:t>zahájených přehrání</w:t>
      </w:r>
      <w:r w:rsidR="00726115" w:rsidRPr="00EB2612">
        <w:rPr>
          <w:b w:val="0"/>
          <w:color w:val="auto"/>
          <w:sz w:val="22"/>
          <w:szCs w:val="22"/>
        </w:rPr>
        <w:t xml:space="preserve"> (bez reklamy)</w:t>
      </w:r>
    </w:p>
    <w:p w:rsidR="00461B09" w:rsidRPr="00EB2612" w:rsidRDefault="00AD5932" w:rsidP="00BB64DB">
      <w:r w:rsidRPr="00EB2612">
        <w:rPr>
          <w:noProof/>
        </w:rPr>
        <w:drawing>
          <wp:inline distT="0" distB="0" distL="0" distR="0">
            <wp:extent cx="6172200" cy="1295400"/>
            <wp:effectExtent l="0" t="0" r="0" b="0"/>
            <wp:docPr id="1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0E5F9D" w:rsidRPr="00EB2612" w:rsidRDefault="000E5F9D" w:rsidP="000E5F9D">
      <w:r w:rsidRPr="00EB2612">
        <w:t>Zdroj: Kult, ČSÚ</w:t>
      </w:r>
    </w:p>
    <w:p w:rsidR="00BB64DB" w:rsidRPr="00EB2612" w:rsidRDefault="00B414F8" w:rsidP="00694914">
      <w:pPr>
        <w:pStyle w:val="Nadpis3"/>
        <w:numPr>
          <w:ilvl w:val="2"/>
          <w:numId w:val="17"/>
        </w:numPr>
      </w:pPr>
      <w:bookmarkStart w:id="111" w:name="_Toc430189812"/>
      <w:bookmarkStart w:id="112" w:name="_Toc431475040"/>
      <w:bookmarkStart w:id="113" w:name="_Toc463969195"/>
      <w:bookmarkStart w:id="114" w:name="_Toc465253905"/>
      <w:bookmarkStart w:id="115" w:name="_Toc55384443"/>
      <w:r w:rsidRPr="00EB2612">
        <w:lastRenderedPageBreak/>
        <w:t>PŘÍJMY</w:t>
      </w:r>
      <w:r w:rsidR="00BB64DB" w:rsidRPr="00EB2612">
        <w:t xml:space="preserve"> A ZAMĚSTNANOST</w:t>
      </w:r>
      <w:bookmarkEnd w:id="111"/>
      <w:bookmarkEnd w:id="112"/>
      <w:bookmarkEnd w:id="113"/>
      <w:bookmarkEnd w:id="114"/>
      <w:bookmarkEnd w:id="115"/>
    </w:p>
    <w:p w:rsidR="00D4509A" w:rsidRPr="00EB2612" w:rsidRDefault="00435122" w:rsidP="00BB64DB">
      <w:r w:rsidRPr="00EB2612">
        <w:t>Díky rozšířenému záběru výkazu Kult</w:t>
      </w:r>
      <w:r w:rsidR="00D55EC8" w:rsidRPr="00EB2612">
        <w:t xml:space="preserve"> 6-01</w:t>
      </w:r>
      <w:r w:rsidRPr="00EB2612">
        <w:t xml:space="preserve"> je možné zahrnout do ekonomických uka</w:t>
      </w:r>
      <w:r w:rsidR="00D55EC8" w:rsidRPr="00EB2612">
        <w:t>zatelů také subjekty poskytující</w:t>
      </w:r>
      <w:r w:rsidRPr="00EB2612">
        <w:t xml:space="preserve"> audiovizuální mediální služby na vyžádání</w:t>
      </w:r>
      <w:r w:rsidR="00BB1409" w:rsidRPr="00EB2612">
        <w:t xml:space="preserve"> (AVMS)</w:t>
      </w:r>
      <w:r w:rsidR="00BB64DB" w:rsidRPr="00EB2612">
        <w:t xml:space="preserve">. </w:t>
      </w:r>
      <w:r w:rsidRPr="00EB2612">
        <w:t xml:space="preserve">Tyto poskytovatele však nemůžeme analyzovat v rámci jedné konkrétní činnosti </w:t>
      </w:r>
      <w:r w:rsidR="00D22C45" w:rsidRPr="00EB2612">
        <w:t>CZ-</w:t>
      </w:r>
      <w:r w:rsidRPr="00EB2612">
        <w:t>NACE, jako je tomu u televizního vysílání. Subjek</w:t>
      </w:r>
      <w:r w:rsidR="00DE1D26" w:rsidRPr="00EB2612">
        <w:t>ty poskytující AVMS nicméně mají</w:t>
      </w:r>
      <w:r w:rsidRPr="00EB2612">
        <w:t xml:space="preserve"> možnost upřesnit, jaká část z jejich ekonomické činnosti přibližně odpovídá službám spojen</w:t>
      </w:r>
      <w:r w:rsidR="003D2970" w:rsidRPr="00EB2612">
        <w:t>ým</w:t>
      </w:r>
      <w:r w:rsidRPr="00EB2612">
        <w:t xml:space="preserve"> s posk</w:t>
      </w:r>
      <w:r w:rsidR="00DE1D26" w:rsidRPr="00EB2612">
        <w:t>ytováním AVMS. Tuto možnost mají</w:t>
      </w:r>
      <w:r w:rsidRPr="00EB2612">
        <w:t xml:space="preserve"> také subjekty provozující televizní vysílání, které svou převažující ekonomickou činností nespadají do CZ-NACE 60.20 </w:t>
      </w:r>
      <w:r w:rsidR="003D2970" w:rsidRPr="00EB2612">
        <w:t>(</w:t>
      </w:r>
      <w:r w:rsidRPr="00EB2612">
        <w:t>Tvorba televizních programů a</w:t>
      </w:r>
      <w:r w:rsidR="00362010">
        <w:t> </w:t>
      </w:r>
      <w:r w:rsidRPr="00EB2612">
        <w:t>televizní vysílání</w:t>
      </w:r>
      <w:r w:rsidR="003D2970" w:rsidRPr="00EB2612">
        <w:t>)</w:t>
      </w:r>
      <w:r w:rsidRPr="00EB2612">
        <w:t>.</w:t>
      </w:r>
    </w:p>
    <w:p w:rsidR="00DE1D26" w:rsidRPr="00EB2612" w:rsidRDefault="00B56E4B" w:rsidP="00BB64DB">
      <w:r>
        <w:tab/>
      </w:r>
      <w:r w:rsidR="00435122" w:rsidRPr="00EB2612">
        <w:t>Celkové příj</w:t>
      </w:r>
      <w:r w:rsidR="00D55EC8" w:rsidRPr="00EB2612">
        <w:t xml:space="preserve">my </w:t>
      </w:r>
      <w:r w:rsidR="005F2E69" w:rsidRPr="00EB2612">
        <w:t>z televizního vysílání a poskytová</w:t>
      </w:r>
      <w:r w:rsidR="00FA3917" w:rsidRPr="00EB2612">
        <w:t>ní</w:t>
      </w:r>
      <w:r w:rsidR="005F2E69" w:rsidRPr="00EB2612">
        <w:t xml:space="preserve"> AVMS</w:t>
      </w:r>
      <w:r w:rsidR="00D55EC8" w:rsidRPr="00EB2612">
        <w:t xml:space="preserve"> </w:t>
      </w:r>
      <w:r w:rsidR="00D4509A" w:rsidRPr="00EB2612">
        <w:t>tvořily v roce 2019 24,5</w:t>
      </w:r>
      <w:r w:rsidR="00435122" w:rsidRPr="00EB2612">
        <w:t xml:space="preserve"> </w:t>
      </w:r>
      <w:r w:rsidR="001132C6" w:rsidRPr="00EB2612">
        <w:t>mld.</w:t>
      </w:r>
      <w:r w:rsidR="00435122" w:rsidRPr="00EB2612">
        <w:t xml:space="preserve"> Kč. Z toho </w:t>
      </w:r>
      <w:r w:rsidR="00FA3917" w:rsidRPr="00EB2612">
        <w:t>91</w:t>
      </w:r>
      <w:r w:rsidR="001132C6" w:rsidRPr="00EB2612">
        <w:t xml:space="preserve"> % </w:t>
      </w:r>
      <w:r w:rsidR="005C480B" w:rsidRPr="00EB2612">
        <w:t>plynulo z</w:t>
      </w:r>
      <w:r w:rsidR="005F2E69" w:rsidRPr="00EB2612">
        <w:t xml:space="preserve"> poskyt</w:t>
      </w:r>
      <w:r w:rsidR="005C480B" w:rsidRPr="00EB2612">
        <w:t>ování</w:t>
      </w:r>
      <w:r w:rsidR="00FA3917" w:rsidRPr="00EB2612">
        <w:t xml:space="preserve"> televizního vysílání</w:t>
      </w:r>
      <w:r w:rsidR="00435122" w:rsidRPr="00EB2612">
        <w:t xml:space="preserve"> </w:t>
      </w:r>
      <w:r w:rsidR="00FA3917" w:rsidRPr="00EB2612">
        <w:t>a 9</w:t>
      </w:r>
      <w:r w:rsidR="00435122" w:rsidRPr="00EB2612">
        <w:t xml:space="preserve"> % </w:t>
      </w:r>
      <w:r w:rsidR="005C480B" w:rsidRPr="00EB2612">
        <w:t>tvořily příjmy z poskytování</w:t>
      </w:r>
      <w:r w:rsidR="005F2E69" w:rsidRPr="00EB2612">
        <w:t xml:space="preserve"> AVMS</w:t>
      </w:r>
      <w:r w:rsidR="00435122" w:rsidRPr="00EB2612">
        <w:t>.</w:t>
      </w:r>
      <w:r w:rsidR="00D4509A" w:rsidRPr="00EB2612">
        <w:t xml:space="preserve"> Oproti roku 2018 vzrostly příjmy </w:t>
      </w:r>
      <w:r w:rsidR="00FA3917" w:rsidRPr="00EB2612">
        <w:t xml:space="preserve">subjektů s hlavní ekonomickou činností </w:t>
      </w:r>
      <w:r w:rsidR="00D4509A" w:rsidRPr="00EB2612">
        <w:t xml:space="preserve">v oblasti televize v roce 2019 o více než dvě miliardy. Nejvíce dynamicky rostly příjmy z poskytování audiovizuálních mediálních služeb na vyžádání, které vzrostly v roce 2019 oproti předchozímu roku více než trojnásobně. </w:t>
      </w:r>
    </w:p>
    <w:p w:rsidR="00BB64DB" w:rsidRPr="00EB2612" w:rsidRDefault="00DE1D26" w:rsidP="00BB64DB">
      <w:pPr>
        <w:rPr>
          <w:b/>
          <w:szCs w:val="20"/>
        </w:rPr>
      </w:pPr>
      <w:r w:rsidRPr="00EB2612">
        <w:tab/>
      </w:r>
      <w:r w:rsidR="00FA3917" w:rsidRPr="00EB2612">
        <w:t>Celkově se tvorbě televizního vysílání či AVMS věnovalo v roce 2019 přibližně 4 tis. zaměstnanců</w:t>
      </w:r>
      <w:r w:rsidR="009F7CDC">
        <w:t xml:space="preserve"> (v</w:t>
      </w:r>
      <w:r w:rsidR="00362010">
        <w:t> </w:t>
      </w:r>
      <w:r w:rsidR="009F7CDC">
        <w:t>evidenčním počtu přepočteném na plné pracovní úvazky)</w:t>
      </w:r>
      <w:r w:rsidR="00FA3917" w:rsidRPr="00EB2612">
        <w:t>. V</w:t>
      </w:r>
      <w:r w:rsidR="003D2970" w:rsidRPr="00EB2612">
        <w:t>ětšina zaměstnanců</w:t>
      </w:r>
      <w:r w:rsidR="005C480B" w:rsidRPr="00EB2612">
        <w:t xml:space="preserve"> </w:t>
      </w:r>
      <w:r w:rsidR="00FA3917" w:rsidRPr="00EB2612">
        <w:t xml:space="preserve">v televizním vysílání </w:t>
      </w:r>
      <w:r w:rsidR="005C480B" w:rsidRPr="00EB2612">
        <w:t>(přímo se pod</w:t>
      </w:r>
      <w:r w:rsidR="00D4509A" w:rsidRPr="00EB2612">
        <w:t>ílejících na vysílání jako třeba</w:t>
      </w:r>
      <w:r w:rsidR="005C480B" w:rsidRPr="00EB2612">
        <w:t xml:space="preserve"> moderátoři, zvukoví technici či kameraman</w:t>
      </w:r>
      <w:r w:rsidRPr="00EB2612">
        <w:t>i) vykonávala podle šetření Kult 6-01 svou profesi v rá</w:t>
      </w:r>
      <w:r w:rsidR="005C480B" w:rsidRPr="00EB2612">
        <w:t>mci subjektů s převažující ekonomickou činností v</w:t>
      </w:r>
      <w:r w:rsidR="00FA3917" w:rsidRPr="00EB2612">
        <w:t xml:space="preserve"> CZ-NACE 60.20 (89</w:t>
      </w:r>
      <w:r w:rsidR="00CD0733" w:rsidRPr="00EB2612">
        <w:t xml:space="preserve"> </w:t>
      </w:r>
      <w:r w:rsidR="003D2970" w:rsidRPr="00EB2612">
        <w:t xml:space="preserve">%). Zaměstnanci </w:t>
      </w:r>
      <w:r w:rsidR="00FA3917" w:rsidRPr="00EB2612">
        <w:t>televizního vysílání</w:t>
      </w:r>
      <w:r w:rsidR="00F42ADE" w:rsidRPr="00EB2612">
        <w:t>, kteří pracovali mimo</w:t>
      </w:r>
      <w:r w:rsidR="005C480B" w:rsidRPr="00EB2612">
        <w:t xml:space="preserve"> </w:t>
      </w:r>
      <w:r w:rsidR="00F42ADE" w:rsidRPr="00EB2612">
        <w:t>subjekty s převažující ekonomickou činností</w:t>
      </w:r>
      <w:r w:rsidR="005C480B" w:rsidRPr="00EB2612">
        <w:t xml:space="preserve"> CZ-NACE 60.20 se podíleli </w:t>
      </w:r>
      <w:r w:rsidR="00F42ADE" w:rsidRPr="00EB2612">
        <w:t xml:space="preserve">na celkovém počtu zaměstnanců jen </w:t>
      </w:r>
      <w:r w:rsidR="00FA3917" w:rsidRPr="00EB2612">
        <w:t>2</w:t>
      </w:r>
      <w:r w:rsidR="003D2970" w:rsidRPr="00EB2612">
        <w:t xml:space="preserve"> % </w:t>
      </w:r>
      <w:r w:rsidR="00FA3917" w:rsidRPr="00EB2612">
        <w:t>a zbylých 9</w:t>
      </w:r>
      <w:r w:rsidR="005C480B" w:rsidRPr="00EB2612">
        <w:t xml:space="preserve"> % připadlo na zaměstnance </w:t>
      </w:r>
      <w:r w:rsidR="00076B2C">
        <w:t>přímo se podílejících na výrobě</w:t>
      </w:r>
      <w:r w:rsidR="00FA3917" w:rsidRPr="00EB2612">
        <w:t xml:space="preserve"> </w:t>
      </w:r>
      <w:r w:rsidR="005C480B" w:rsidRPr="00EB2612">
        <w:t>AVMS</w:t>
      </w:r>
      <w:r w:rsidRPr="00EB2612">
        <w:t xml:space="preserve"> bez ohledu na převažující ekonomickou činnost subjektů</w:t>
      </w:r>
      <w:r w:rsidR="003D2970" w:rsidRPr="00EB2612">
        <w:t>.</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B36210">
        <w:rPr>
          <w:color w:val="auto"/>
          <w:sz w:val="22"/>
          <w:szCs w:val="22"/>
        </w:rPr>
        <w:t>60</w:t>
      </w:r>
      <w:r w:rsidRPr="00EB2612">
        <w:rPr>
          <w:color w:val="auto"/>
        </w:rPr>
        <w:t xml:space="preserve"> </w:t>
      </w:r>
      <w:r w:rsidR="005C7B93" w:rsidRPr="00EB2612">
        <w:rPr>
          <w:b w:val="0"/>
          <w:color w:val="auto"/>
          <w:sz w:val="22"/>
          <w:szCs w:val="22"/>
        </w:rPr>
        <w:t xml:space="preserve">Struktura příjmů </w:t>
      </w:r>
      <w:r w:rsidR="003C04BB" w:rsidRPr="00EB2612">
        <w:rPr>
          <w:b w:val="0"/>
          <w:color w:val="auto"/>
          <w:sz w:val="22"/>
          <w:szCs w:val="22"/>
        </w:rPr>
        <w:t xml:space="preserve">a zaměstnanosti </w:t>
      </w:r>
      <w:r w:rsidR="00CA0C22" w:rsidRPr="00EB2612">
        <w:rPr>
          <w:b w:val="0"/>
          <w:color w:val="auto"/>
          <w:sz w:val="22"/>
          <w:szCs w:val="22"/>
        </w:rPr>
        <w:t>v oblasti televize v roce 2019</w:t>
      </w:r>
    </w:p>
    <w:p w:rsidR="00BB64DB" w:rsidRPr="00EB2612" w:rsidRDefault="00781DF4" w:rsidP="00CA0C22">
      <w:pPr>
        <w:keepNext/>
        <w:tabs>
          <w:tab w:val="left" w:pos="1134"/>
        </w:tabs>
        <w:jc w:val="left"/>
      </w:pPr>
      <w:r w:rsidRPr="00781DF4">
        <w:rPr>
          <w:b/>
          <w:noProof/>
          <w:sz w:val="22"/>
          <w:szCs w:val="22"/>
        </w:rPr>
        <w:pict>
          <v:shape id="Text Box 40" o:spid="_x0000_s1040" type="#_x0000_t202" style="position:absolute;margin-left:325.15pt;margin-top:122.4pt;width:53.9pt;height:19.8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" stroked="f">
            <v:fill opacity="0"/>
            <v:textbox>
              <w:txbxContent>
                <w:p w:rsidR="00705045" w:rsidRPr="00F013B6" w:rsidRDefault="00705045">
                  <w:pPr>
                    <w:rPr>
                      <w:rFonts w:asciiTheme="minorHAnsi" w:hAnsiTheme="minorHAnsi"/>
                    </w:rPr>
                  </w:pPr>
                  <w:r>
                    <w:rPr>
                      <w:rFonts w:asciiTheme="minorHAnsi" w:hAnsiTheme="minorHAnsi"/>
                    </w:rPr>
                    <w:t>24,5</w:t>
                  </w:r>
                  <w:r w:rsidRPr="00F013B6">
                    <w:rPr>
                      <w:rFonts w:asciiTheme="minorHAnsi" w:hAnsiTheme="minorHAnsi"/>
                    </w:rPr>
                    <w:t xml:space="preserve"> mld.</w:t>
                  </w:r>
                </w:p>
              </w:txbxContent>
            </v:textbox>
          </v:shape>
        </w:pict>
      </w:r>
      <w:r>
        <w:rPr>
          <w:noProof/>
        </w:rPr>
        <w:pict>
          <v:shape id="Text Box 38" o:spid="_x0000_s1041" type="#_x0000_t202" style="position:absolute;margin-left:85.8pt;margin-top:123.05pt;width:43.5pt;height:19.2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" stroked="f" strokecolor="white [3212]">
            <v:fill opacity="0"/>
            <v:textbox>
              <w:txbxContent>
                <w:p w:rsidR="00705045" w:rsidRPr="00D55EC8" w:rsidRDefault="00705045">
                  <w:pPr>
                    <w:rPr>
                      <w:rFonts w:asciiTheme="minorHAnsi" w:hAnsiTheme="minorHAnsi"/>
                    </w:rPr>
                  </w:pPr>
                  <w:r>
                    <w:rPr>
                      <w:rFonts w:asciiTheme="minorHAnsi" w:hAnsiTheme="minorHAnsi"/>
                    </w:rPr>
                    <w:t>4,0</w:t>
                  </w:r>
                  <w:r w:rsidRPr="00D55EC8">
                    <w:rPr>
                      <w:rFonts w:asciiTheme="minorHAnsi" w:hAnsiTheme="minorHAnsi"/>
                    </w:rPr>
                    <w:t xml:space="preserve"> tis.</w:t>
                  </w:r>
                </w:p>
              </w:txbxContent>
            </v:textbox>
          </v:shape>
        </w:pict>
      </w:r>
      <w:r w:rsidR="00040658" w:rsidRPr="00EB2612">
        <w:rPr>
          <w:noProof/>
        </w:rPr>
        <w:drawing>
          <wp:inline distT="0" distB="0" distL="0" distR="0">
            <wp:extent cx="2828925" cy="2362200"/>
            <wp:effectExtent l="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00040658" w:rsidRPr="00EB2612">
        <w:rPr>
          <w:noProof/>
        </w:rPr>
        <w:drawing>
          <wp:inline distT="0" distB="0" distL="0" distR="0">
            <wp:extent cx="2857500" cy="2362200"/>
            <wp:effectExtent l="0" t="0" r="0" b="0"/>
            <wp:docPr id="25"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F013B6" w:rsidRPr="00EB2612" w:rsidRDefault="00BB64DB" w:rsidP="00076B2C">
      <w:pPr>
        <w:pStyle w:val="Titulek"/>
        <w:rPr>
          <w:sz w:val="22"/>
          <w:szCs w:val="22"/>
        </w:rPr>
      </w:pPr>
      <w:r w:rsidRPr="00EB2612">
        <w:rPr>
          <w:b w:val="0"/>
          <w:color w:val="auto"/>
          <w:sz w:val="22"/>
          <w:szCs w:val="22"/>
        </w:rPr>
        <w:t xml:space="preserve">Zdroj: </w:t>
      </w:r>
      <w:r w:rsidR="00882967" w:rsidRPr="00EB2612">
        <w:rPr>
          <w:b w:val="0"/>
          <w:color w:val="auto"/>
          <w:sz w:val="22"/>
          <w:szCs w:val="22"/>
        </w:rPr>
        <w:t xml:space="preserve">Kult, </w:t>
      </w:r>
      <w:r w:rsidRPr="00EB2612">
        <w:rPr>
          <w:b w:val="0"/>
          <w:color w:val="auto"/>
          <w:sz w:val="22"/>
          <w:szCs w:val="22"/>
        </w:rPr>
        <w:t>ČSÚ</w:t>
      </w:r>
    </w:p>
    <w:p w:rsidR="00BB64DB" w:rsidRPr="00EB2612" w:rsidRDefault="00BB64DB" w:rsidP="00694914">
      <w:pPr>
        <w:pStyle w:val="Nadpis3"/>
        <w:numPr>
          <w:ilvl w:val="2"/>
          <w:numId w:val="17"/>
        </w:numPr>
      </w:pPr>
      <w:bookmarkStart w:id="116" w:name="_Toc430189813"/>
      <w:bookmarkStart w:id="117" w:name="_Toc431475041"/>
      <w:bookmarkStart w:id="118" w:name="_Toc463969196"/>
      <w:bookmarkStart w:id="119" w:name="_Toc465253906"/>
      <w:bookmarkStart w:id="120" w:name="_Toc55384444"/>
      <w:r w:rsidRPr="00EB2612">
        <w:t>POHLED SPOTŘEBITELE</w:t>
      </w:r>
      <w:bookmarkEnd w:id="116"/>
      <w:bookmarkEnd w:id="117"/>
      <w:bookmarkEnd w:id="118"/>
      <w:bookmarkEnd w:id="119"/>
      <w:bookmarkEnd w:id="120"/>
    </w:p>
    <w:p w:rsidR="00CD0733" w:rsidRPr="00EB2612" w:rsidRDefault="00CD0733" w:rsidP="00CD0733">
      <w:pPr>
        <w:rPr>
          <w:lang w:eastAsia="en-US"/>
        </w:rPr>
      </w:pPr>
      <w:r w:rsidRPr="00EB2612">
        <w:rPr>
          <w:lang w:eastAsia="en-US"/>
        </w:rPr>
        <w:t>Dopady jarních vládních opatření spojených s pandemií C</w:t>
      </w:r>
      <w:r w:rsidR="009C5639" w:rsidRPr="00EB2612">
        <w:rPr>
          <w:lang w:eastAsia="en-US"/>
        </w:rPr>
        <w:t>OVID</w:t>
      </w:r>
      <w:r w:rsidRPr="00EB2612">
        <w:rPr>
          <w:lang w:eastAsia="en-US"/>
        </w:rPr>
        <w:t xml:space="preserve">-19 ovlivnily také sledovanost televizního vysílání v ČR. Podle dat Asociace televizních organizací se v období mezi 11. březnem a 14. dubnem 2020 </w:t>
      </w:r>
      <w:r w:rsidR="003F593B" w:rsidRPr="00EB2612">
        <w:rPr>
          <w:lang w:eastAsia="en-US"/>
        </w:rPr>
        <w:t>navýšila</w:t>
      </w:r>
      <w:r w:rsidRPr="00EB2612">
        <w:rPr>
          <w:lang w:eastAsia="en-US"/>
        </w:rPr>
        <w:t xml:space="preserve"> celková sledovanost u osob starší</w:t>
      </w:r>
      <w:r w:rsidR="009C5639" w:rsidRPr="00EB2612">
        <w:rPr>
          <w:lang w:eastAsia="en-US"/>
        </w:rPr>
        <w:t>ch</w:t>
      </w:r>
      <w:r w:rsidRPr="00EB2612">
        <w:rPr>
          <w:lang w:eastAsia="en-US"/>
        </w:rPr>
        <w:t xml:space="preserve"> 4 let oproti s</w:t>
      </w:r>
      <w:r w:rsidR="00076B2C">
        <w:rPr>
          <w:lang w:eastAsia="en-US"/>
        </w:rPr>
        <w:t>tejnému období v předchozím roce</w:t>
      </w:r>
      <w:r w:rsidRPr="00EB2612">
        <w:rPr>
          <w:lang w:eastAsia="en-US"/>
        </w:rPr>
        <w:t xml:space="preserve"> o čtvrtinu. U</w:t>
      </w:r>
      <w:r w:rsidR="009C5639" w:rsidRPr="00EB2612">
        <w:rPr>
          <w:lang w:eastAsia="en-US"/>
        </w:rPr>
        <w:t> </w:t>
      </w:r>
      <w:r w:rsidRPr="00EB2612">
        <w:rPr>
          <w:lang w:eastAsia="en-US"/>
        </w:rPr>
        <w:t xml:space="preserve">mladých lidí ve věku 15-24 let se navýšila sledovanost televize dokonce o více než polovinu, což může být mimo jiné následkem jarního uzavření </w:t>
      </w:r>
      <w:r w:rsidR="003F593B" w:rsidRPr="00EB2612">
        <w:rPr>
          <w:lang w:eastAsia="en-US"/>
        </w:rPr>
        <w:t>školských</w:t>
      </w:r>
      <w:r w:rsidRPr="00EB2612">
        <w:rPr>
          <w:lang w:eastAsia="en-US"/>
        </w:rPr>
        <w:t xml:space="preserve"> zařízení. Třetinový nárůst sledovanosti byl </w:t>
      </w:r>
      <w:r w:rsidR="0010446E">
        <w:rPr>
          <w:lang w:eastAsia="en-US"/>
        </w:rPr>
        <w:t>zaznamenán</w:t>
      </w:r>
      <w:r w:rsidRPr="00EB2612">
        <w:rPr>
          <w:lang w:eastAsia="en-US"/>
        </w:rPr>
        <w:t xml:space="preserve"> </w:t>
      </w:r>
      <w:r w:rsidRPr="00EB2612">
        <w:rPr>
          <w:lang w:eastAsia="en-US"/>
        </w:rPr>
        <w:lastRenderedPageBreak/>
        <w:t>u</w:t>
      </w:r>
      <w:r w:rsidR="009C5639" w:rsidRPr="00EB2612">
        <w:rPr>
          <w:lang w:eastAsia="en-US"/>
        </w:rPr>
        <w:t> </w:t>
      </w:r>
      <w:r w:rsidR="000665F4">
        <w:rPr>
          <w:lang w:eastAsia="en-US"/>
        </w:rPr>
        <w:t>pracujících osob, které</w:t>
      </w:r>
      <w:r w:rsidRPr="00EB2612">
        <w:rPr>
          <w:lang w:eastAsia="en-US"/>
        </w:rPr>
        <w:t xml:space="preserve"> zřejmě oproti stejnému období v předchozím roce</w:t>
      </w:r>
      <w:r w:rsidR="0010446E">
        <w:rPr>
          <w:lang w:eastAsia="en-US"/>
        </w:rPr>
        <w:t xml:space="preserve"> v</w:t>
      </w:r>
      <w:r w:rsidR="000665F4">
        <w:rPr>
          <w:lang w:eastAsia="en-US"/>
        </w:rPr>
        <w:t>íce sledovaly</w:t>
      </w:r>
      <w:r w:rsidR="00362010">
        <w:rPr>
          <w:lang w:eastAsia="en-US"/>
        </w:rPr>
        <w:t xml:space="preserve"> aktuální dění a </w:t>
      </w:r>
      <w:r w:rsidR="003F593B">
        <w:rPr>
          <w:lang w:eastAsia="en-US"/>
        </w:rPr>
        <w:t>zároveň</w:t>
      </w:r>
      <w:r w:rsidR="000665F4">
        <w:rPr>
          <w:lang w:eastAsia="en-US"/>
        </w:rPr>
        <w:t xml:space="preserve"> disponovaly</w:t>
      </w:r>
      <w:r w:rsidRPr="00EB2612">
        <w:rPr>
          <w:lang w:eastAsia="en-US"/>
        </w:rPr>
        <w:t xml:space="preserve"> větším množstvím volného času. Z hlediska programové struktury zaznamenaly ve sledovaném období </w:t>
      </w:r>
      <w:r w:rsidR="003F593B" w:rsidRPr="00EB2612">
        <w:rPr>
          <w:lang w:eastAsia="en-US"/>
        </w:rPr>
        <w:t>největší</w:t>
      </w:r>
      <w:r w:rsidRPr="00EB2612">
        <w:rPr>
          <w:lang w:eastAsia="en-US"/>
        </w:rPr>
        <w:t xml:space="preserve"> nárůst sledovanosti zpravodajské a publicistické</w:t>
      </w:r>
      <w:r w:rsidR="00362010">
        <w:rPr>
          <w:lang w:eastAsia="en-US"/>
        </w:rPr>
        <w:t xml:space="preserve"> pořady poskytující informace o </w:t>
      </w:r>
      <w:r w:rsidRPr="00EB2612">
        <w:rPr>
          <w:lang w:eastAsia="en-US"/>
        </w:rPr>
        <w:t>aktuálním dění v souvislosti s pandemií. (ATO, 2020b)</w:t>
      </w:r>
    </w:p>
    <w:p w:rsidR="00702F00" w:rsidRPr="00EB2612" w:rsidRDefault="00B36210" w:rsidP="00702F00">
      <w:pPr>
        <w:pStyle w:val="Titulek"/>
        <w:keepNext/>
        <w:rPr>
          <w:b w:val="0"/>
          <w:color w:val="auto"/>
          <w:sz w:val="22"/>
          <w:szCs w:val="22"/>
        </w:rPr>
      </w:pPr>
      <w:r>
        <w:rPr>
          <w:color w:val="auto"/>
          <w:sz w:val="22"/>
          <w:szCs w:val="22"/>
        </w:rPr>
        <w:t xml:space="preserve">Graf </w:t>
      </w:r>
      <w:r w:rsidR="00076B2C">
        <w:rPr>
          <w:color w:val="auto"/>
          <w:sz w:val="22"/>
          <w:szCs w:val="22"/>
        </w:rPr>
        <w:t>61</w:t>
      </w:r>
      <w:r w:rsidR="00702F00" w:rsidRPr="00EB2612">
        <w:rPr>
          <w:color w:val="auto"/>
          <w:sz w:val="22"/>
          <w:szCs w:val="22"/>
        </w:rPr>
        <w:t xml:space="preserve"> </w:t>
      </w:r>
      <w:r w:rsidR="00702F00" w:rsidRPr="00EB2612">
        <w:rPr>
          <w:b w:val="0"/>
          <w:color w:val="auto"/>
          <w:sz w:val="22"/>
          <w:szCs w:val="22"/>
        </w:rPr>
        <w:t xml:space="preserve">Meziroční nárůst sledovanosti TV (v období 11. </w:t>
      </w:r>
      <w:r w:rsidR="00270851">
        <w:rPr>
          <w:b w:val="0"/>
          <w:color w:val="auto"/>
          <w:sz w:val="22"/>
          <w:szCs w:val="22"/>
        </w:rPr>
        <w:t>března až 14. dubna 2019 a 2020, osoby starší 15 let)</w:t>
      </w:r>
    </w:p>
    <w:p w:rsidR="00CD0733" w:rsidRPr="00EB2612" w:rsidRDefault="00702F00" w:rsidP="00CD0733">
      <w:pPr>
        <w:rPr>
          <w:lang w:eastAsia="en-US"/>
        </w:rPr>
      </w:pPr>
      <w:r w:rsidRPr="00EB2612">
        <w:rPr>
          <w:noProof/>
        </w:rPr>
        <w:drawing>
          <wp:inline distT="0" distB="0" distL="0" distR="0">
            <wp:extent cx="5791200" cy="2009775"/>
            <wp:effectExtent l="0" t="0" r="0" b="0"/>
            <wp:docPr id="13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B36210" w:rsidRPr="00EB2612" w:rsidRDefault="00702F00" w:rsidP="00B36210">
      <w:pPr>
        <w:pStyle w:val="Titulek"/>
        <w:rPr>
          <w:b w:val="0"/>
          <w:color w:val="auto"/>
          <w:sz w:val="22"/>
          <w:szCs w:val="22"/>
        </w:rPr>
      </w:pPr>
      <w:r w:rsidRPr="00EB2612">
        <w:rPr>
          <w:b w:val="0"/>
          <w:color w:val="auto"/>
          <w:sz w:val="22"/>
          <w:szCs w:val="22"/>
        </w:rPr>
        <w:t xml:space="preserve">Zdroj: </w:t>
      </w:r>
      <w:r w:rsidR="00B36210" w:rsidRPr="00EB2612">
        <w:rPr>
          <w:b w:val="0"/>
          <w:color w:val="auto"/>
          <w:sz w:val="22"/>
          <w:szCs w:val="22"/>
        </w:rPr>
        <w:t>Asociace televizních organizací</w:t>
      </w:r>
      <w:r w:rsidR="00B36210">
        <w:rPr>
          <w:b w:val="0"/>
          <w:color w:val="auto"/>
          <w:sz w:val="22"/>
          <w:szCs w:val="22"/>
        </w:rPr>
        <w:t xml:space="preserve"> – Nielsen Admosphere</w:t>
      </w:r>
    </w:p>
    <w:p w:rsidR="00BB64DB" w:rsidRPr="00EB2612" w:rsidRDefault="00337A53" w:rsidP="00847143">
      <w:pPr>
        <w:spacing w:after="0"/>
        <w:rPr>
          <w:rFonts w:ascii="Times New Roman" w:hAnsi="Times New Roman"/>
          <w:sz w:val="23"/>
          <w:szCs w:val="23"/>
        </w:rPr>
      </w:pPr>
      <w:r w:rsidRPr="00EB2612">
        <w:t xml:space="preserve">V </w:t>
      </w:r>
      <w:r w:rsidR="00F4368B" w:rsidRPr="00EB2612">
        <w:t xml:space="preserve">letech </w:t>
      </w:r>
      <w:r w:rsidRPr="00EB2612">
        <w:t>2016</w:t>
      </w:r>
      <w:r w:rsidR="00F4368B" w:rsidRPr="00EB2612">
        <w:t xml:space="preserve"> a 2018</w:t>
      </w:r>
      <w:r w:rsidRPr="00EB2612">
        <w:t xml:space="preserve"> byla </w:t>
      </w:r>
      <w:r w:rsidR="0075473C" w:rsidRPr="00EB2612">
        <w:t>do dotazníku šetření VŠIT zařazena</w:t>
      </w:r>
      <w:r w:rsidRPr="00EB2612">
        <w:t xml:space="preserve"> samostatná otázka týkající se sledování televize, filmů a videa přes internet. Ze získaných údajů </w:t>
      </w:r>
      <w:r w:rsidR="0075473C" w:rsidRPr="00EB2612">
        <w:t>vyplývá, že v české populaci</w:t>
      </w:r>
      <w:r w:rsidRPr="00EB2612">
        <w:t xml:space="preserve"> </w:t>
      </w:r>
      <w:r w:rsidR="0075473C" w:rsidRPr="00EB2612">
        <w:t>nad</w:t>
      </w:r>
      <w:r w:rsidRPr="00EB2612">
        <w:t xml:space="preserve"> 16 let je daleko více oblíbené sledování filmů a videa prostřednictvím </w:t>
      </w:r>
      <w:r w:rsidR="001132C6" w:rsidRPr="00EB2612">
        <w:t>stránek</w:t>
      </w:r>
      <w:r w:rsidRPr="00EB2612">
        <w:t xml:space="preserve"> určených ke sdílení (např. Youtube) než televizního vysílání</w:t>
      </w:r>
      <w:r w:rsidR="00D77F78">
        <w:t xml:space="preserve"> (živé vysílání</w:t>
      </w:r>
      <w:r w:rsidR="009F7CDC">
        <w:t xml:space="preserve"> či jednotlivé pořady</w:t>
      </w:r>
      <w:r w:rsidR="00D77F78">
        <w:t>)</w:t>
      </w:r>
      <w:r w:rsidRPr="00EB2612">
        <w:t xml:space="preserve"> prostřednictvím internetu </w:t>
      </w:r>
      <w:r w:rsidR="00847143" w:rsidRPr="00EB2612">
        <w:t xml:space="preserve">jak ukazuje Graf </w:t>
      </w:r>
      <w:r w:rsidR="0040639D">
        <w:t>62</w:t>
      </w:r>
      <w:r w:rsidRPr="00EB2612">
        <w:t>.</w:t>
      </w:r>
      <w:r w:rsidR="00F4368B" w:rsidRPr="00EB2612">
        <w:t xml:space="preserve"> </w:t>
      </w:r>
      <w:r w:rsidR="00FB1A38" w:rsidRPr="00EB2612">
        <w:t>Zatímco obliba sledování televize na internetu se mezi lety 2016 a 2018 nezvýšila, využití stránek určených ke sdílení jako je Youtube vzrostlo o 5 p.</w:t>
      </w:r>
      <w:r w:rsidR="003F593B">
        <w:t xml:space="preserve"> </w:t>
      </w:r>
      <w:r w:rsidR="00FB1A38" w:rsidRPr="00EB2612">
        <w:t>b</w:t>
      </w:r>
      <w:r w:rsidR="0051292C" w:rsidRPr="00EB2612">
        <w:t>.</w:t>
      </w:r>
      <w:r w:rsidRPr="00EB2612">
        <w:t xml:space="preserve"> </w:t>
      </w:r>
      <w:r w:rsidR="00FB1A38" w:rsidRPr="00EB2612">
        <w:t>Mezi lety 2016 a 2018 vzrostl také podíl těch, kteří sledují neplacené katalogy</w:t>
      </w:r>
      <w:r w:rsidRPr="00EB2612">
        <w:t xml:space="preserve"> filmů a videí (jako např. </w:t>
      </w:r>
      <w:r w:rsidR="00FB1A38" w:rsidRPr="00EB2612">
        <w:t>Aktuálně</w:t>
      </w:r>
      <w:r w:rsidRPr="00EB2612">
        <w:t>.cz)</w:t>
      </w:r>
      <w:r w:rsidR="00FB1A38" w:rsidRPr="00EB2612">
        <w:t xml:space="preserve"> z 21 % na 26</w:t>
      </w:r>
      <w:r w:rsidR="00D04CDF" w:rsidRPr="00EB2612">
        <w:t xml:space="preserve"> %</w:t>
      </w:r>
      <w:r w:rsidRPr="00EB2612">
        <w:t>.</w:t>
      </w:r>
      <w:r w:rsidR="00F176FF" w:rsidRPr="00EB2612">
        <w:t xml:space="preserve"> </w:t>
      </w:r>
      <w:r w:rsidR="00681BA0" w:rsidRPr="00EB2612">
        <w:t xml:space="preserve">Nejméně využívanou službou spojenou se sledováním </w:t>
      </w:r>
      <w:r w:rsidR="0051292C" w:rsidRPr="00EB2612">
        <w:t>filmů a videí přes internet byly</w:t>
      </w:r>
      <w:r w:rsidR="00681BA0" w:rsidRPr="00EB2612">
        <w:t xml:space="preserve"> placen</w:t>
      </w:r>
      <w:r w:rsidR="0051292C" w:rsidRPr="00EB2612">
        <w:t>é katalogy pořadů (jako např. Ne</w:t>
      </w:r>
      <w:r w:rsidR="00681BA0" w:rsidRPr="00EB2612">
        <w:t>t</w:t>
      </w:r>
      <w:r w:rsidR="00030619" w:rsidRPr="00EB2612">
        <w:t>f</w:t>
      </w:r>
      <w:r w:rsidR="00681BA0" w:rsidRPr="00EB2612">
        <w:t>lix), které využila pouze 3</w:t>
      </w:r>
      <w:r w:rsidR="00362010">
        <w:t> </w:t>
      </w:r>
      <w:r w:rsidR="00681BA0" w:rsidRPr="00EB2612">
        <w:t xml:space="preserve">% populace </w:t>
      </w:r>
      <w:r w:rsidR="00D04CDF" w:rsidRPr="00EB2612">
        <w:t>v roce 2016, respektive 4 % v roce 2018</w:t>
      </w:r>
      <w:r w:rsidR="00681BA0" w:rsidRPr="00EB2612">
        <w:t>.</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FA118E">
        <w:rPr>
          <w:color w:val="auto"/>
          <w:sz w:val="22"/>
          <w:szCs w:val="22"/>
        </w:rPr>
        <w:t>62</w:t>
      </w:r>
      <w:r w:rsidRPr="00EB2612">
        <w:rPr>
          <w:color w:val="auto"/>
          <w:sz w:val="22"/>
          <w:szCs w:val="22"/>
        </w:rPr>
        <w:t xml:space="preserve"> </w:t>
      </w:r>
      <w:r w:rsidR="00054903" w:rsidRPr="00EB2612">
        <w:rPr>
          <w:b w:val="0"/>
          <w:color w:val="auto"/>
          <w:sz w:val="22"/>
          <w:szCs w:val="22"/>
        </w:rPr>
        <w:t>Podíl osob ve věku 16 a více let využívajících internet</w:t>
      </w:r>
      <w:r w:rsidR="002B7E46" w:rsidRPr="00EB2612">
        <w:rPr>
          <w:b w:val="0"/>
          <w:color w:val="auto"/>
          <w:sz w:val="22"/>
          <w:szCs w:val="22"/>
        </w:rPr>
        <w:t xml:space="preserve"> </w:t>
      </w:r>
      <w:r w:rsidRPr="00EB2612">
        <w:rPr>
          <w:b w:val="0"/>
          <w:color w:val="auto"/>
          <w:sz w:val="22"/>
          <w:szCs w:val="22"/>
        </w:rPr>
        <w:t>ke sledování televize</w:t>
      </w:r>
      <w:r w:rsidR="00337A53" w:rsidRPr="00EB2612">
        <w:rPr>
          <w:b w:val="0"/>
          <w:color w:val="auto"/>
          <w:sz w:val="22"/>
          <w:szCs w:val="22"/>
        </w:rPr>
        <w:t>, filmů</w:t>
      </w:r>
      <w:r w:rsidR="00C93E10" w:rsidRPr="00EB2612">
        <w:rPr>
          <w:b w:val="0"/>
          <w:color w:val="auto"/>
          <w:sz w:val="22"/>
          <w:szCs w:val="22"/>
        </w:rPr>
        <w:t xml:space="preserve"> a videa</w:t>
      </w:r>
      <w:r w:rsidR="00054903" w:rsidRPr="00EB2612">
        <w:rPr>
          <w:b w:val="0"/>
          <w:color w:val="auto"/>
          <w:sz w:val="22"/>
          <w:szCs w:val="22"/>
        </w:rPr>
        <w:t xml:space="preserve"> podle sledovaného média</w:t>
      </w:r>
    </w:p>
    <w:p w:rsidR="00BB64DB" w:rsidRPr="00EB2612" w:rsidRDefault="00FE1FC6" w:rsidP="00BB64DB">
      <w:pPr>
        <w:keepNext/>
        <w:jc w:val="center"/>
      </w:pPr>
      <w:r w:rsidRPr="00EB2612">
        <w:rPr>
          <w:noProof/>
        </w:rPr>
        <w:drawing>
          <wp:inline distT="0" distB="0" distL="0" distR="0">
            <wp:extent cx="5000625" cy="2238375"/>
            <wp:effectExtent l="0" t="0" r="0" b="0"/>
            <wp:docPr id="11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BB64DB" w:rsidRPr="00EB2612" w:rsidRDefault="00882967" w:rsidP="00BB64DB">
      <w:pPr>
        <w:pStyle w:val="Titulek"/>
        <w:rPr>
          <w:b w:val="0"/>
          <w:color w:val="auto"/>
          <w:sz w:val="22"/>
          <w:szCs w:val="22"/>
        </w:rPr>
      </w:pPr>
      <w:r w:rsidRPr="00EB2612">
        <w:rPr>
          <w:b w:val="0"/>
          <w:color w:val="auto"/>
          <w:sz w:val="22"/>
          <w:szCs w:val="22"/>
        </w:rPr>
        <w:t xml:space="preserve">Zdroj: </w:t>
      </w:r>
      <w:r w:rsidR="003F593B" w:rsidRPr="003F593B">
        <w:rPr>
          <w:b w:val="0"/>
          <w:color w:val="auto"/>
          <w:sz w:val="22"/>
          <w:szCs w:val="22"/>
        </w:rPr>
        <w:t>Výběrové šetření o informačních a komunikačních technologiích, ČSÚ</w:t>
      </w:r>
    </w:p>
    <w:p w:rsidR="00F176FF" w:rsidRPr="00EB2612" w:rsidRDefault="0051292C" w:rsidP="00847143">
      <w:pPr>
        <w:spacing w:after="0"/>
      </w:pPr>
      <w:r w:rsidRPr="00EB2612">
        <w:lastRenderedPageBreak/>
        <w:t xml:space="preserve">Jak je také patrné z Grafu </w:t>
      </w:r>
      <w:r w:rsidR="00FA118E">
        <w:t>63</w:t>
      </w:r>
      <w:r w:rsidR="00847143" w:rsidRPr="00EB2612">
        <w:t xml:space="preserve">, služby online sledování televize, filmů a videa jsou oblíbené </w:t>
      </w:r>
      <w:r w:rsidRPr="00EB2612">
        <w:t>nejvíce</w:t>
      </w:r>
      <w:r w:rsidR="00847143" w:rsidRPr="00EB2612">
        <w:t xml:space="preserve"> u mladší populace a zejména pak sledování videa ze stránek určených ke sdílen</w:t>
      </w:r>
      <w:r w:rsidR="00681BA0" w:rsidRPr="00EB2612">
        <w:t>í (ne</w:t>
      </w:r>
      <w:r w:rsidR="003C105C" w:rsidRPr="00EB2612">
        <w:t xml:space="preserve">celých </w:t>
      </w:r>
      <w:r w:rsidR="00696E42" w:rsidRPr="00EB2612">
        <w:t>86</w:t>
      </w:r>
      <w:r w:rsidR="003C105C" w:rsidRPr="00EB2612">
        <w:t xml:space="preserve"> % </w:t>
      </w:r>
      <w:r w:rsidR="00054903" w:rsidRPr="00EB2612">
        <w:t>osob</w:t>
      </w:r>
      <w:r w:rsidR="003C105C" w:rsidRPr="00EB2612">
        <w:t xml:space="preserve"> ve věku 16–</w:t>
      </w:r>
      <w:r w:rsidR="00681BA0" w:rsidRPr="00EB2612">
        <w:t>24</w:t>
      </w:r>
      <w:r w:rsidR="00054903" w:rsidRPr="00EB2612">
        <w:t xml:space="preserve"> let</w:t>
      </w:r>
      <w:r w:rsidR="00681BA0" w:rsidRPr="00EB2612">
        <w:t xml:space="preserve"> sledovalo videa prostřednictvím streamingu). </w:t>
      </w:r>
      <w:r w:rsidR="00847143" w:rsidRPr="00EB2612">
        <w:t xml:space="preserve">Sledování televize na internetu si udržuje svou pozici také u starší populace a s přibývajícím věkem klesá oblíbenost sledování televize online spíše pozvolna. Naopak </w:t>
      </w:r>
      <w:r w:rsidR="00054903" w:rsidRPr="00EB2612">
        <w:t>využívání</w:t>
      </w:r>
      <w:r w:rsidR="00847143" w:rsidRPr="00EB2612">
        <w:t xml:space="preserve"> neplacených katalogů pořadů ke sledování videa </w:t>
      </w:r>
      <w:r w:rsidR="00681BA0" w:rsidRPr="00EB2612">
        <w:t>u starších věkových kategorií klesá strměji</w:t>
      </w:r>
      <w:r w:rsidR="00696E42" w:rsidRPr="00EB2612">
        <w:t xml:space="preserve"> a mladší lidé preferují tento způsob sledování videa před sledováním běžné internetové televize</w:t>
      </w:r>
      <w:r w:rsidR="00681BA0" w:rsidRPr="00EB2612">
        <w:t xml:space="preserve">. </w:t>
      </w:r>
    </w:p>
    <w:p w:rsidR="00BB64DB" w:rsidRPr="00EB2612" w:rsidRDefault="00BB64DB" w:rsidP="00BB64DB">
      <w:pPr>
        <w:pStyle w:val="Titulek"/>
        <w:keepNext/>
        <w:rPr>
          <w:b w:val="0"/>
          <w:color w:val="auto"/>
          <w:sz w:val="22"/>
          <w:szCs w:val="22"/>
        </w:rPr>
      </w:pPr>
      <w:r w:rsidRPr="00EB2612">
        <w:rPr>
          <w:color w:val="auto"/>
          <w:sz w:val="22"/>
          <w:szCs w:val="22"/>
        </w:rPr>
        <w:t xml:space="preserve">Graf </w:t>
      </w:r>
      <w:r w:rsidR="00FA118E">
        <w:rPr>
          <w:color w:val="auto"/>
          <w:sz w:val="22"/>
          <w:szCs w:val="22"/>
        </w:rPr>
        <w:t>63</w:t>
      </w:r>
      <w:r w:rsidRPr="00EB2612">
        <w:rPr>
          <w:color w:val="auto"/>
          <w:sz w:val="22"/>
          <w:szCs w:val="22"/>
        </w:rPr>
        <w:t xml:space="preserve"> </w:t>
      </w:r>
      <w:r w:rsidR="00054903" w:rsidRPr="00EB2612">
        <w:rPr>
          <w:b w:val="0"/>
          <w:color w:val="auto"/>
          <w:sz w:val="22"/>
          <w:szCs w:val="22"/>
        </w:rPr>
        <w:t>Podíl osob využívajících</w:t>
      </w:r>
      <w:r w:rsidR="00054903" w:rsidRPr="00EB2612">
        <w:rPr>
          <w:color w:val="auto"/>
          <w:sz w:val="22"/>
          <w:szCs w:val="22"/>
        </w:rPr>
        <w:t xml:space="preserve"> </w:t>
      </w:r>
      <w:r w:rsidR="00054903" w:rsidRPr="00EB2612">
        <w:rPr>
          <w:b w:val="0"/>
          <w:color w:val="auto"/>
          <w:sz w:val="22"/>
          <w:szCs w:val="22"/>
        </w:rPr>
        <w:t>internet</w:t>
      </w:r>
      <w:r w:rsidR="00F176FF" w:rsidRPr="00EB2612">
        <w:rPr>
          <w:b w:val="0"/>
          <w:color w:val="auto"/>
          <w:sz w:val="22"/>
          <w:szCs w:val="22"/>
        </w:rPr>
        <w:t xml:space="preserve"> ke sledování tel</w:t>
      </w:r>
      <w:r w:rsidR="00696E42" w:rsidRPr="00EB2612">
        <w:rPr>
          <w:b w:val="0"/>
          <w:color w:val="auto"/>
          <w:sz w:val="22"/>
          <w:szCs w:val="22"/>
        </w:rPr>
        <w:t>evize, filmů a videa v roce 2018</w:t>
      </w:r>
      <w:r w:rsidR="00F176FF" w:rsidRPr="00EB2612">
        <w:rPr>
          <w:b w:val="0"/>
          <w:color w:val="auto"/>
          <w:sz w:val="22"/>
          <w:szCs w:val="22"/>
        </w:rPr>
        <w:t xml:space="preserve"> podle věkových kategorií</w:t>
      </w:r>
      <w:r w:rsidR="002F0571" w:rsidRPr="00EB2612">
        <w:rPr>
          <w:b w:val="0"/>
          <w:color w:val="auto"/>
          <w:sz w:val="22"/>
          <w:szCs w:val="22"/>
        </w:rPr>
        <w:t xml:space="preserve"> (v</w:t>
      </w:r>
      <w:r w:rsidR="003C105C" w:rsidRPr="00EB2612">
        <w:rPr>
          <w:b w:val="0"/>
          <w:color w:val="auto"/>
          <w:sz w:val="22"/>
          <w:szCs w:val="22"/>
        </w:rPr>
        <w:t> %</w:t>
      </w:r>
      <w:r w:rsidR="002F0571" w:rsidRPr="00EB2612">
        <w:rPr>
          <w:b w:val="0"/>
          <w:color w:val="auto"/>
          <w:sz w:val="22"/>
          <w:szCs w:val="22"/>
        </w:rPr>
        <w:t>)</w:t>
      </w:r>
    </w:p>
    <w:p w:rsidR="00BB64DB" w:rsidRPr="00EB2612" w:rsidRDefault="00696E42" w:rsidP="007127CE">
      <w:pPr>
        <w:jc w:val="center"/>
      </w:pPr>
      <w:r w:rsidRPr="00EB2612">
        <w:rPr>
          <w:noProof/>
        </w:rPr>
        <w:drawing>
          <wp:inline distT="0" distB="0" distL="0" distR="0">
            <wp:extent cx="6162675" cy="1895475"/>
            <wp:effectExtent l="0" t="0" r="0" b="0"/>
            <wp:docPr id="12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BB64DB" w:rsidRPr="00EB2612" w:rsidRDefault="00BB64DB" w:rsidP="00BB64DB">
      <w:pPr>
        <w:pStyle w:val="Titulek"/>
        <w:tabs>
          <w:tab w:val="left" w:pos="1134"/>
        </w:tabs>
        <w:rPr>
          <w:b w:val="0"/>
          <w:color w:val="auto"/>
          <w:sz w:val="22"/>
          <w:szCs w:val="22"/>
        </w:rPr>
      </w:pPr>
      <w:r w:rsidRPr="00EB2612">
        <w:rPr>
          <w:b w:val="0"/>
          <w:color w:val="auto"/>
          <w:sz w:val="22"/>
          <w:szCs w:val="22"/>
        </w:rPr>
        <w:t xml:space="preserve">Zdroj: </w:t>
      </w:r>
      <w:r w:rsidR="003F593B" w:rsidRPr="003F593B">
        <w:rPr>
          <w:b w:val="0"/>
          <w:color w:val="auto"/>
          <w:sz w:val="22"/>
          <w:szCs w:val="22"/>
        </w:rPr>
        <w:t>Výběrové šetření o informačních a komunikačních technologiích, ČSÚ</w:t>
      </w:r>
    </w:p>
    <w:p w:rsidR="00FA118E" w:rsidRDefault="00FA118E">
      <w:pPr>
        <w:spacing w:after="0" w:line="240" w:lineRule="auto"/>
        <w:jc w:val="left"/>
        <w:rPr>
          <w:lang w:eastAsia="en-US"/>
        </w:rPr>
      </w:pPr>
      <w:r>
        <w:rPr>
          <w:lang w:eastAsia="en-US"/>
        </w:rPr>
        <w:br w:type="page"/>
      </w:r>
    </w:p>
    <w:p w:rsidR="00BB64DB" w:rsidRPr="00EB2612" w:rsidRDefault="00BB64DB" w:rsidP="00694914">
      <w:pPr>
        <w:pStyle w:val="Nadpis1"/>
        <w:numPr>
          <w:ilvl w:val="0"/>
          <w:numId w:val="17"/>
        </w:numPr>
      </w:pPr>
      <w:bookmarkStart w:id="121" w:name="_Toc430189814"/>
      <w:bookmarkStart w:id="122" w:name="_Toc55384445"/>
      <w:r w:rsidRPr="00EB2612">
        <w:lastRenderedPageBreak/>
        <w:t>VIDEOHRY</w:t>
      </w:r>
      <w:bookmarkEnd w:id="121"/>
      <w:bookmarkEnd w:id="122"/>
    </w:p>
    <w:p w:rsidR="00BB64DB" w:rsidRPr="00EB2612" w:rsidRDefault="00BB64DB" w:rsidP="00BB64DB">
      <w:pPr>
        <w:pStyle w:val="Titulek"/>
        <w:keepNext/>
        <w:jc w:val="right"/>
        <w:rPr>
          <w:color w:val="auto"/>
        </w:rPr>
      </w:pPr>
      <w:bookmarkStart w:id="123" w:name="_Toc464832057"/>
      <w:r w:rsidRPr="00EB2612">
        <w:rPr>
          <w:color w:val="auto"/>
          <w:sz w:val="22"/>
          <w:szCs w:val="22"/>
        </w:rPr>
        <w:t xml:space="preserve">Tabulka </w:t>
      </w:r>
      <w:r w:rsidR="001918B2" w:rsidRPr="00EB2612">
        <w:rPr>
          <w:color w:val="auto"/>
          <w:sz w:val="22"/>
          <w:szCs w:val="22"/>
        </w:rPr>
        <w:t>9</w:t>
      </w:r>
      <w:r w:rsidRPr="00EB2612">
        <w:rPr>
          <w:color w:val="auto"/>
        </w:rPr>
        <w:t xml:space="preserve"> </w:t>
      </w:r>
      <w:r w:rsidRPr="00EB2612">
        <w:rPr>
          <w:b w:val="0"/>
          <w:color w:val="auto"/>
          <w:sz w:val="22"/>
          <w:szCs w:val="22"/>
        </w:rPr>
        <w:t>Vymezení oblasti videoher podle klasifikace NACE</w:t>
      </w:r>
      <w:bookmarkEnd w:id="123"/>
    </w:p>
    <w:tbl>
      <w:tblPr>
        <w:tblW w:w="6377" w:type="dxa"/>
        <w:jc w:val="right"/>
        <w:tblCellMar>
          <w:left w:w="70" w:type="dxa"/>
          <w:right w:w="70" w:type="dxa"/>
        </w:tblCellMar>
        <w:tblLook w:val="04A0"/>
      </w:tblPr>
      <w:tblGrid>
        <w:gridCol w:w="1009"/>
        <w:gridCol w:w="5368"/>
      </w:tblGrid>
      <w:tr w:rsidR="00BB64DB" w:rsidRPr="00EB2612" w:rsidTr="00942F60">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942F60">
            <w:pPr>
              <w:pStyle w:val="Box"/>
              <w:ind w:hanging="1133"/>
              <w:rPr>
                <w:rFonts w:asciiTheme="minorHAnsi" w:hAnsiTheme="minorHAnsi"/>
                <w:sz w:val="20"/>
                <w:szCs w:val="20"/>
              </w:rPr>
            </w:pPr>
            <w:r w:rsidRPr="00EB2612">
              <w:rPr>
                <w:rFonts w:asciiTheme="minorHAnsi" w:hAnsiTheme="minorHAnsi"/>
                <w:sz w:val="20"/>
                <w:szCs w:val="20"/>
              </w:rPr>
              <w:t>NACE</w:t>
            </w:r>
          </w:p>
        </w:tc>
        <w:tc>
          <w:tcPr>
            <w:tcW w:w="5368" w:type="dxa"/>
            <w:tcBorders>
              <w:top w:val="single" w:sz="12" w:space="0" w:color="auto"/>
              <w:left w:val="nil"/>
              <w:bottom w:val="single" w:sz="12" w:space="0" w:color="auto"/>
              <w:right w:val="nil"/>
            </w:tcBorders>
            <w:shd w:val="clear" w:color="auto" w:fill="F2DBDB" w:themeFill="accent2" w:themeFillTint="33"/>
            <w:hideMark/>
          </w:tcPr>
          <w:p w:rsidR="00BB64DB" w:rsidRPr="00EB2612" w:rsidRDefault="00BB64DB" w:rsidP="00942F60">
            <w:pPr>
              <w:pStyle w:val="Box"/>
              <w:ind w:hanging="1134"/>
              <w:rPr>
                <w:rFonts w:asciiTheme="minorHAnsi" w:hAnsiTheme="minorHAnsi"/>
                <w:sz w:val="20"/>
                <w:szCs w:val="20"/>
              </w:rPr>
            </w:pPr>
            <w:r w:rsidRPr="00EB2612">
              <w:rPr>
                <w:rFonts w:asciiTheme="minorHAnsi" w:hAnsiTheme="minorHAnsi"/>
                <w:sz w:val="20"/>
                <w:szCs w:val="20"/>
              </w:rPr>
              <w:t>EKONOMICKÁ ČINNOST</w:t>
            </w:r>
          </w:p>
        </w:tc>
      </w:tr>
      <w:tr w:rsidR="00BB64DB" w:rsidRPr="00EB2612" w:rsidTr="00942F60">
        <w:trPr>
          <w:trHeight w:val="255"/>
          <w:jc w:val="right"/>
        </w:trPr>
        <w:tc>
          <w:tcPr>
            <w:tcW w:w="1009" w:type="dxa"/>
            <w:tcBorders>
              <w:top w:val="single" w:sz="12" w:space="0" w:color="auto"/>
              <w:left w:val="nil"/>
              <w:bottom w:val="single" w:sz="12" w:space="0" w:color="auto"/>
              <w:right w:val="nil"/>
            </w:tcBorders>
            <w:shd w:val="clear" w:color="auto" w:fill="auto"/>
            <w:vAlign w:val="bottom"/>
            <w:hideMark/>
          </w:tcPr>
          <w:p w:rsidR="00BB64DB" w:rsidRPr="00EB2612" w:rsidRDefault="00BB64DB" w:rsidP="00942F60">
            <w:pPr>
              <w:spacing w:after="0" w:line="276" w:lineRule="auto"/>
              <w:jc w:val="left"/>
              <w:rPr>
                <w:rFonts w:asciiTheme="minorHAnsi" w:hAnsiTheme="minorHAnsi"/>
                <w:szCs w:val="20"/>
              </w:rPr>
            </w:pPr>
            <w:r w:rsidRPr="00EB2612">
              <w:rPr>
                <w:rFonts w:asciiTheme="minorHAnsi" w:hAnsiTheme="minorHAnsi"/>
                <w:szCs w:val="20"/>
              </w:rPr>
              <w:t>58.21</w:t>
            </w:r>
          </w:p>
        </w:tc>
        <w:tc>
          <w:tcPr>
            <w:tcW w:w="5368" w:type="dxa"/>
            <w:tcBorders>
              <w:top w:val="single" w:sz="12" w:space="0" w:color="auto"/>
              <w:left w:val="nil"/>
              <w:bottom w:val="single" w:sz="12" w:space="0" w:color="auto"/>
              <w:right w:val="nil"/>
            </w:tcBorders>
            <w:shd w:val="clear" w:color="auto" w:fill="auto"/>
            <w:vAlign w:val="bottom"/>
            <w:hideMark/>
          </w:tcPr>
          <w:p w:rsidR="00BB64DB" w:rsidRPr="00EB2612" w:rsidRDefault="00BB64DB" w:rsidP="00942F60">
            <w:pPr>
              <w:spacing w:after="0" w:line="276" w:lineRule="auto"/>
              <w:jc w:val="left"/>
              <w:rPr>
                <w:rFonts w:asciiTheme="minorHAnsi" w:hAnsiTheme="minorHAnsi"/>
                <w:szCs w:val="20"/>
              </w:rPr>
            </w:pPr>
            <w:r w:rsidRPr="00EB2612">
              <w:rPr>
                <w:rFonts w:asciiTheme="minorHAnsi" w:hAnsiTheme="minorHAnsi"/>
                <w:szCs w:val="20"/>
              </w:rPr>
              <w:t>Vydávání počítačových her</w:t>
            </w:r>
          </w:p>
        </w:tc>
      </w:tr>
    </w:tbl>
    <w:p w:rsidR="00234F33" w:rsidRPr="00EB2612" w:rsidRDefault="00234F33" w:rsidP="00BB64DB"/>
    <w:p w:rsidR="00BA44D7" w:rsidRPr="00EB2612" w:rsidRDefault="00BB64DB" w:rsidP="00BB64DB">
      <w:r w:rsidRPr="00EB2612">
        <w:t>Trh s videohrami je nejmladší oblastí audio</w:t>
      </w:r>
      <w:r w:rsidR="00942F60" w:rsidRPr="00EB2612">
        <w:t>vizuálního a mediálního sektoru</w:t>
      </w:r>
      <w:r w:rsidRPr="00EB2612">
        <w:t>. Herní průmysl je celosvětově rychle se rozvíjejícím odvětvím a je ve ve</w:t>
      </w:r>
      <w:r w:rsidR="000D41C4" w:rsidRPr="00EB2612">
        <w:t>lké míře ovlivněn technologickým</w:t>
      </w:r>
      <w:r w:rsidRPr="00EB2612">
        <w:t xml:space="preserve"> vývojem. Proto se také forma hraní her a návyky spotřebitelů mění rychleji než v ostatních audiovizuálních oblastech a vedle klasických počítačových her a videoher se stále rychleji rozvíjí trh s mobilními herními aplikacemi a hrami přes sociální sítě</w:t>
      </w:r>
      <w:r w:rsidR="00BA44D7" w:rsidRPr="00EB2612">
        <w:t>.</w:t>
      </w:r>
      <w:r w:rsidR="00946D80" w:rsidRPr="00EB2612">
        <w:t xml:space="preserve"> Právě mobilní herní aplikace generují v současnosti celosvětově největší příjmy</w:t>
      </w:r>
      <w:r w:rsidRPr="00EB2612">
        <w:t xml:space="preserve"> (</w:t>
      </w:r>
      <w:r w:rsidR="00946D80" w:rsidRPr="00EB2612">
        <w:t>Newzoo, 2020</w:t>
      </w:r>
      <w:r w:rsidR="00BA44D7" w:rsidRPr="00EB2612">
        <w:t>)</w:t>
      </w:r>
      <w:r w:rsidR="00946D80" w:rsidRPr="00EB2612">
        <w:t>.</w:t>
      </w:r>
    </w:p>
    <w:p w:rsidR="00BB64DB" w:rsidRPr="00EB2612" w:rsidRDefault="00BA44D7" w:rsidP="00BB64DB">
      <w:r w:rsidRPr="00EB2612">
        <w:tab/>
      </w:r>
      <w:r w:rsidR="00BB64DB" w:rsidRPr="00EB2612">
        <w:t xml:space="preserve"> Údaje o</w:t>
      </w:r>
      <w:r w:rsidR="00FC208C" w:rsidRPr="00EB2612">
        <w:t xml:space="preserve"> herním průmyslu v ČR a SR sbírá spolek</w:t>
      </w:r>
      <w:r w:rsidR="00BB64DB" w:rsidRPr="00EB2612">
        <w:t xml:space="preserve"> </w:t>
      </w:r>
      <w:r w:rsidR="00FC208C" w:rsidRPr="00EB2612">
        <w:t>České hry, který</w:t>
      </w:r>
      <w:r w:rsidR="00BB64DB" w:rsidRPr="00EB2612">
        <w:t xml:space="preserve"> </w:t>
      </w:r>
      <w:r w:rsidR="00FC208C" w:rsidRPr="00EB2612">
        <w:t>vydal v roce 2016</w:t>
      </w:r>
      <w:r w:rsidR="00E61500" w:rsidRPr="00EB2612">
        <w:t xml:space="preserve"> publi</w:t>
      </w:r>
      <w:r w:rsidR="00FC208C" w:rsidRPr="00EB2612">
        <w:t>k</w:t>
      </w:r>
      <w:r w:rsidR="00E61500" w:rsidRPr="00EB2612">
        <w:t>a</w:t>
      </w:r>
      <w:r w:rsidR="002771F3" w:rsidRPr="00EB2612">
        <w:t>ci Č</w:t>
      </w:r>
      <w:r w:rsidR="00FC208C" w:rsidRPr="00EB2612">
        <w:t xml:space="preserve">eský herní průmysl a dále </w:t>
      </w:r>
      <w:r w:rsidR="00535AEF" w:rsidRPr="00EB2612">
        <w:t xml:space="preserve">například </w:t>
      </w:r>
      <w:r w:rsidR="00FC208C" w:rsidRPr="00EB2612">
        <w:t>organizace MU Game Studies</w:t>
      </w:r>
      <w:r w:rsidR="00BB64DB" w:rsidRPr="00EB2612">
        <w:t xml:space="preserve">. </w:t>
      </w:r>
      <w:r w:rsidR="00972FC7" w:rsidRPr="00EB2612">
        <w:t>V roce 2018 byla založena Asociace českých herních vývojářů, jejímž cílem je mimo jiné sbírat a publikovat data o průmyslovém odvětví her</w:t>
      </w:r>
      <w:r w:rsidR="00BB1409" w:rsidRPr="00EB2612">
        <w:t xml:space="preserve"> </w:t>
      </w:r>
      <w:r w:rsidR="00BF04D9" w:rsidRPr="00EB2612">
        <w:t xml:space="preserve">v ČR a </w:t>
      </w:r>
      <w:r w:rsidR="00BB00BE" w:rsidRPr="00EB2612">
        <w:t>která publikuje</w:t>
      </w:r>
      <w:r w:rsidR="00535AEF" w:rsidRPr="00EB2612">
        <w:t xml:space="preserve"> studii České počítačové hry</w:t>
      </w:r>
      <w:r w:rsidR="00BB00BE" w:rsidRPr="00EB2612">
        <w:t xml:space="preserve"> (poslední s daty za rok 2019 a výhledem na rok 2020)</w:t>
      </w:r>
      <w:r w:rsidR="00972FC7" w:rsidRPr="00EB2612">
        <w:t xml:space="preserve">. </w:t>
      </w:r>
      <w:r w:rsidR="00F37CFB" w:rsidRPr="00EB2612">
        <w:t>Údaje o</w:t>
      </w:r>
      <w:r w:rsidR="00362010">
        <w:t> </w:t>
      </w:r>
      <w:r w:rsidR="00F37CFB" w:rsidRPr="00EB2612">
        <w:t xml:space="preserve">příjmech podniků </w:t>
      </w:r>
      <w:r w:rsidR="00FC208C" w:rsidRPr="00EB2612">
        <w:t xml:space="preserve">a počtu zaměstnanců </w:t>
      </w:r>
      <w:r w:rsidR="00F37CFB" w:rsidRPr="00EB2612">
        <w:t>pocházejí z Podnikové strukturální statistiky.</w:t>
      </w:r>
      <w:r w:rsidR="00FC208C" w:rsidRPr="00EB2612">
        <w:t xml:space="preserve"> Pojem </w:t>
      </w:r>
      <w:r w:rsidR="00BB64DB" w:rsidRPr="00EB2612">
        <w:t xml:space="preserve">počítačová hra </w:t>
      </w:r>
      <w:r w:rsidR="00FC208C" w:rsidRPr="00EB2612">
        <w:t xml:space="preserve">je v textu </w:t>
      </w:r>
      <w:r w:rsidR="00BB64DB" w:rsidRPr="00EB2612">
        <w:t xml:space="preserve">volně </w:t>
      </w:r>
      <w:r w:rsidR="008E3C01" w:rsidRPr="00EB2612">
        <w:t>nahrazován pojmem videohra a </w:t>
      </w:r>
      <w:r w:rsidR="00BB64DB" w:rsidRPr="00EB2612">
        <w:t xml:space="preserve">zahrnuje veškeré aplikace a software, který je používaný ke hře na </w:t>
      </w:r>
      <w:r w:rsidR="00FA118E">
        <w:t>různých</w:t>
      </w:r>
      <w:r w:rsidR="00BB64DB" w:rsidRPr="00EB2612">
        <w:t xml:space="preserve"> zařízeních (počítač,</w:t>
      </w:r>
      <w:r w:rsidR="00220644" w:rsidRPr="00EB2612">
        <w:t> </w:t>
      </w:r>
      <w:r w:rsidR="00BB64DB" w:rsidRPr="00EB2612">
        <w:t>tablet, telefon, přenosná herní zařízení apod.).</w:t>
      </w:r>
    </w:p>
    <w:p w:rsidR="00BB64DB" w:rsidRPr="00EB2612" w:rsidRDefault="00B414F8" w:rsidP="00694914">
      <w:pPr>
        <w:pStyle w:val="Nadpis2"/>
        <w:numPr>
          <w:ilvl w:val="1"/>
          <w:numId w:val="17"/>
        </w:numPr>
      </w:pPr>
      <w:bookmarkStart w:id="124" w:name="_Toc430189815"/>
      <w:bookmarkStart w:id="125" w:name="_Toc431475043"/>
      <w:bookmarkStart w:id="126" w:name="_Toc463969198"/>
      <w:bookmarkStart w:id="127" w:name="_Toc465253908"/>
      <w:bookmarkStart w:id="128" w:name="_Toc55384446"/>
      <w:r w:rsidRPr="00EB2612">
        <w:t>PŘÍJMY</w:t>
      </w:r>
      <w:r w:rsidR="00BB64DB" w:rsidRPr="00EB2612">
        <w:t xml:space="preserve"> A ZAMĚSTNANOST</w:t>
      </w:r>
      <w:bookmarkEnd w:id="124"/>
      <w:bookmarkEnd w:id="125"/>
      <w:bookmarkEnd w:id="126"/>
      <w:bookmarkEnd w:id="127"/>
      <w:bookmarkEnd w:id="128"/>
    </w:p>
    <w:p w:rsidR="00BB64DB" w:rsidRPr="00EB2612" w:rsidRDefault="00BB64DB" w:rsidP="00BB64DB">
      <w:pPr>
        <w:ind w:firstLine="708"/>
      </w:pPr>
      <w:r w:rsidRPr="00EB2612">
        <w:t xml:space="preserve">Celkové </w:t>
      </w:r>
      <w:r w:rsidR="002A1980" w:rsidRPr="00EB2612">
        <w:t xml:space="preserve">příjmy </w:t>
      </w:r>
      <w:r w:rsidR="00F37CFB" w:rsidRPr="00EB2612">
        <w:t xml:space="preserve">podniků </w:t>
      </w:r>
      <w:r w:rsidR="00985D52" w:rsidRPr="00EB2612">
        <w:t xml:space="preserve">s převažující ekonomickou činností </w:t>
      </w:r>
      <w:r w:rsidR="00F37CFB" w:rsidRPr="00EB2612">
        <w:t>v oblasti videoher</w:t>
      </w:r>
      <w:r w:rsidR="00985D52" w:rsidRPr="00EB2612">
        <w:t xml:space="preserve"> (CZ-NACE 58.21)</w:t>
      </w:r>
      <w:r w:rsidR="00F37CFB" w:rsidRPr="00EB2612">
        <w:t xml:space="preserve"> </w:t>
      </w:r>
      <w:r w:rsidR="00BB00BE" w:rsidRPr="00EB2612">
        <w:t>se v</w:t>
      </w:r>
      <w:r w:rsidR="00362010">
        <w:t> </w:t>
      </w:r>
      <w:r w:rsidR="00BB00BE" w:rsidRPr="00EB2612">
        <w:t>roce 2018 pohybovaly kolem 2,8</w:t>
      </w:r>
      <w:r w:rsidR="004B7DDE" w:rsidRPr="00EB2612">
        <w:t xml:space="preserve"> mld. Kč.</w:t>
      </w:r>
      <w:r w:rsidRPr="00EB2612">
        <w:t xml:space="preserve"> </w:t>
      </w:r>
      <w:r w:rsidR="00E61500" w:rsidRPr="00EB2612">
        <w:t>Počet zaměstnanců</w:t>
      </w:r>
      <w:r w:rsidR="00255DDE" w:rsidRPr="00EB2612">
        <w:t xml:space="preserve"> podle údajů Podnikové strukturální statistiky meziročně </w:t>
      </w:r>
      <w:r w:rsidR="00342299" w:rsidRPr="00EB2612">
        <w:t>vzrostl</w:t>
      </w:r>
      <w:r w:rsidR="00995124" w:rsidRPr="00EB2612">
        <w:t xml:space="preserve"> a v roce 201</w:t>
      </w:r>
      <w:r w:rsidR="00BB00BE" w:rsidRPr="00EB2612">
        <w:t>8</w:t>
      </w:r>
      <w:r w:rsidR="00E61500" w:rsidRPr="00EB2612">
        <w:t xml:space="preserve"> </w:t>
      </w:r>
      <w:r w:rsidR="00BB00BE" w:rsidRPr="00EB2612">
        <w:t>dosahoval výše okolo 670</w:t>
      </w:r>
      <w:r w:rsidR="00255DDE" w:rsidRPr="00EB2612">
        <w:t xml:space="preserve"> zaměstnanců</w:t>
      </w:r>
      <w:r w:rsidR="00BB00BE" w:rsidRPr="00EB2612">
        <w:t>. Data z Podnikové strukturální statistiky je možné doplnit o údaje z</w:t>
      </w:r>
      <w:r w:rsidR="00255DDE" w:rsidRPr="00EB2612">
        <w:t xml:space="preserve"> </w:t>
      </w:r>
      <w:r w:rsidR="00985D52" w:rsidRPr="00EB2612">
        <w:t xml:space="preserve">nedávno publikované studie </w:t>
      </w:r>
      <w:r w:rsidR="00342299" w:rsidRPr="00EB2612">
        <w:t>České počítačové hry</w:t>
      </w:r>
      <w:r w:rsidR="00BB00BE" w:rsidRPr="00EB2612">
        <w:t>, která nabízí</w:t>
      </w:r>
      <w:r w:rsidR="00E5532E" w:rsidRPr="00EB2612">
        <w:t xml:space="preserve"> aktuálnější</w:t>
      </w:r>
      <w:r w:rsidR="00BB00BE" w:rsidRPr="00EB2612">
        <w:t xml:space="preserve"> data vztažená na celý hern</w:t>
      </w:r>
      <w:r w:rsidR="00E5532E" w:rsidRPr="00EB2612">
        <w:t>í průmys</w:t>
      </w:r>
      <w:r w:rsidR="0089266D" w:rsidRPr="00EB2612">
        <w:t>l</w:t>
      </w:r>
      <w:r w:rsidR="00E5532E" w:rsidRPr="00EB2612">
        <w:t>. Ze studie, která vychází z vlastního dotazníkového šetření mezi herními firmami</w:t>
      </w:r>
      <w:r w:rsidR="003F593B">
        <w:t>,</w:t>
      </w:r>
      <w:r w:rsidR="00E5532E" w:rsidRPr="00EB2612">
        <w:t xml:space="preserve"> vyplývá, že v </w:t>
      </w:r>
      <w:r w:rsidR="003F593B" w:rsidRPr="00EB2612">
        <w:t>roce 2019</w:t>
      </w:r>
      <w:r w:rsidR="00E5532E" w:rsidRPr="00EB2612">
        <w:t xml:space="preserve"> zaznamenal celý </w:t>
      </w:r>
      <w:r w:rsidR="00985D52" w:rsidRPr="00EB2612">
        <w:t>hern</w:t>
      </w:r>
      <w:r w:rsidR="00BB00BE" w:rsidRPr="00EB2612">
        <w:t xml:space="preserve">í průmysl </w:t>
      </w:r>
      <w:r w:rsidR="00E5532E" w:rsidRPr="00EB2612">
        <w:t>příjmy ve výši 4,54 mld. Kč</w:t>
      </w:r>
      <w:r w:rsidR="00985D52" w:rsidRPr="00EB2612">
        <w:t xml:space="preserve"> </w:t>
      </w:r>
      <w:r w:rsidR="00362010">
        <w:t>a </w:t>
      </w:r>
      <w:r w:rsidR="00E5532E" w:rsidRPr="00EB2612">
        <w:t>počet pracujících (zaměstnanců, podnikatelů a pracovníků na dohody) ve vývoji her činil přibližně 1</w:t>
      </w:r>
      <w:r w:rsidR="00FA118E">
        <w:t>,8 tis.</w:t>
      </w:r>
      <w:r w:rsidR="00E5532E" w:rsidRPr="00EB2612">
        <w:t xml:space="preserve"> osob </w:t>
      </w:r>
      <w:r w:rsidR="00985D52" w:rsidRPr="00EB2612">
        <w:t>(GDACZ</w:t>
      </w:r>
      <w:r w:rsidR="00BB00BE" w:rsidRPr="00EB2612">
        <w:t>, 2020</w:t>
      </w:r>
      <w:r w:rsidR="00985D52" w:rsidRPr="00EB2612">
        <w:t>)</w:t>
      </w:r>
      <w:r w:rsidR="00342299" w:rsidRPr="00EB2612">
        <w:t>.</w:t>
      </w:r>
    </w:p>
    <w:p w:rsidR="0016269D" w:rsidRPr="00EB2612" w:rsidRDefault="00BB64DB" w:rsidP="00DA4D23">
      <w:pPr>
        <w:pStyle w:val="Titulek"/>
        <w:keepNext/>
        <w:rPr>
          <w:b w:val="0"/>
          <w:noProof/>
          <w:color w:val="auto"/>
          <w:sz w:val="22"/>
          <w:szCs w:val="22"/>
          <w:lang w:eastAsia="cs-CZ"/>
        </w:rPr>
      </w:pPr>
      <w:r w:rsidRPr="00EB2612">
        <w:rPr>
          <w:color w:val="auto"/>
          <w:sz w:val="22"/>
          <w:szCs w:val="22"/>
        </w:rPr>
        <w:t xml:space="preserve">Graf </w:t>
      </w:r>
      <w:r w:rsidR="00C30140" w:rsidRPr="00EB2612">
        <w:rPr>
          <w:color w:val="auto"/>
          <w:sz w:val="22"/>
          <w:szCs w:val="22"/>
        </w:rPr>
        <w:t>6</w:t>
      </w:r>
      <w:r w:rsidR="00FA118E">
        <w:rPr>
          <w:color w:val="auto"/>
          <w:sz w:val="22"/>
          <w:szCs w:val="22"/>
        </w:rPr>
        <w:t>4</w:t>
      </w:r>
      <w:r w:rsidRPr="00EB2612">
        <w:rPr>
          <w:color w:val="auto"/>
        </w:rPr>
        <w:t xml:space="preserve"> </w:t>
      </w:r>
      <w:r w:rsidR="002B7E46" w:rsidRPr="00EB2612">
        <w:rPr>
          <w:b w:val="0"/>
          <w:color w:val="auto"/>
          <w:sz w:val="22"/>
          <w:szCs w:val="22"/>
        </w:rPr>
        <w:t>Příjmy</w:t>
      </w:r>
      <w:r w:rsidR="00995124" w:rsidRPr="00EB2612">
        <w:rPr>
          <w:b w:val="0"/>
          <w:color w:val="auto"/>
          <w:sz w:val="22"/>
          <w:szCs w:val="22"/>
        </w:rPr>
        <w:t xml:space="preserve"> </w:t>
      </w:r>
      <w:r w:rsidRPr="00EB2612">
        <w:rPr>
          <w:b w:val="0"/>
          <w:color w:val="auto"/>
          <w:sz w:val="22"/>
          <w:szCs w:val="22"/>
        </w:rPr>
        <w:t xml:space="preserve">a </w:t>
      </w:r>
      <w:r w:rsidR="002B7E46" w:rsidRPr="00EB2612">
        <w:rPr>
          <w:b w:val="0"/>
          <w:color w:val="auto"/>
          <w:sz w:val="22"/>
          <w:szCs w:val="22"/>
        </w:rPr>
        <w:t>počet</w:t>
      </w:r>
      <w:r w:rsidR="002A1980" w:rsidRPr="00EB2612">
        <w:rPr>
          <w:b w:val="0"/>
          <w:color w:val="auto"/>
          <w:sz w:val="22"/>
          <w:szCs w:val="22"/>
        </w:rPr>
        <w:t xml:space="preserve"> zaměstnanců</w:t>
      </w:r>
      <w:r w:rsidR="00995124" w:rsidRPr="00EB2612">
        <w:rPr>
          <w:b w:val="0"/>
          <w:color w:val="auto"/>
          <w:sz w:val="22"/>
          <w:szCs w:val="22"/>
        </w:rPr>
        <w:t xml:space="preserve"> </w:t>
      </w:r>
      <w:r w:rsidR="00406BC3" w:rsidRPr="00EB2612">
        <w:rPr>
          <w:b w:val="0"/>
          <w:color w:val="auto"/>
          <w:sz w:val="22"/>
          <w:szCs w:val="22"/>
        </w:rPr>
        <w:t>v oblasti videoher</w:t>
      </w:r>
    </w:p>
    <w:p w:rsidR="00995124" w:rsidRPr="00EB2612" w:rsidRDefault="006755E7" w:rsidP="00995124">
      <w:pPr>
        <w:jc w:val="center"/>
      </w:pPr>
      <w:r w:rsidRPr="00EB2612">
        <w:rPr>
          <w:noProof/>
        </w:rPr>
        <w:drawing>
          <wp:inline distT="0" distB="0" distL="0" distR="0">
            <wp:extent cx="5162550" cy="1895475"/>
            <wp:effectExtent l="0" t="0" r="0" b="0"/>
            <wp:docPr id="146"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CB2E34" w:rsidRPr="00EB2612">
        <w:rPr>
          <w:b w:val="0"/>
          <w:color w:val="auto"/>
          <w:sz w:val="22"/>
          <w:szCs w:val="22"/>
        </w:rPr>
        <w:t>Podniková strukturální statistika</w:t>
      </w:r>
      <w:r w:rsidR="00882967" w:rsidRPr="00EB2612">
        <w:rPr>
          <w:b w:val="0"/>
          <w:color w:val="auto"/>
          <w:sz w:val="22"/>
          <w:szCs w:val="22"/>
        </w:rPr>
        <w:t xml:space="preserve">, </w:t>
      </w:r>
      <w:r w:rsidR="00CB2E34" w:rsidRPr="00EB2612">
        <w:rPr>
          <w:b w:val="0"/>
          <w:color w:val="auto"/>
          <w:sz w:val="22"/>
          <w:szCs w:val="22"/>
        </w:rPr>
        <w:t>ČSÚ</w:t>
      </w:r>
    </w:p>
    <w:p w:rsidR="00BB64DB" w:rsidRPr="00EB2612" w:rsidRDefault="00BB64DB" w:rsidP="00694914">
      <w:pPr>
        <w:pStyle w:val="Nadpis2"/>
        <w:numPr>
          <w:ilvl w:val="1"/>
          <w:numId w:val="17"/>
        </w:numPr>
      </w:pPr>
      <w:bookmarkStart w:id="129" w:name="_Toc430189816"/>
      <w:bookmarkStart w:id="130" w:name="_Toc431475044"/>
      <w:bookmarkStart w:id="131" w:name="_Toc463969199"/>
      <w:bookmarkStart w:id="132" w:name="_Toc465253909"/>
      <w:bookmarkStart w:id="133" w:name="_Toc55384447"/>
      <w:r w:rsidRPr="00EB2612">
        <w:lastRenderedPageBreak/>
        <w:t>POHLED SPOTŘEBITELE</w:t>
      </w:r>
      <w:bookmarkEnd w:id="129"/>
      <w:bookmarkEnd w:id="130"/>
      <w:bookmarkEnd w:id="131"/>
      <w:bookmarkEnd w:id="132"/>
      <w:bookmarkEnd w:id="133"/>
    </w:p>
    <w:p w:rsidR="00BB64DB" w:rsidRPr="00EB2612" w:rsidRDefault="00BB64DB" w:rsidP="00BB64DB">
      <w:pPr>
        <w:rPr>
          <w:rFonts w:cs="Arial"/>
          <w:szCs w:val="20"/>
        </w:rPr>
      </w:pPr>
      <w:r w:rsidRPr="00EB2612">
        <w:rPr>
          <w:rFonts w:cs="Arial"/>
          <w:szCs w:val="20"/>
        </w:rPr>
        <w:t>O spotřebitelských návycích posledních let existuje podrobnější evidence než u ekonomických ukazatelů. Výstupy z šetření VŠIT odhalují velké rozdíly ve využití internetu ke hře</w:t>
      </w:r>
      <w:r w:rsidR="000624C6" w:rsidRPr="00EB2612">
        <w:rPr>
          <w:rFonts w:cs="Arial"/>
          <w:szCs w:val="20"/>
        </w:rPr>
        <w:t xml:space="preserve"> či stahování</w:t>
      </w:r>
      <w:r w:rsidRPr="00EB2612">
        <w:rPr>
          <w:rFonts w:cs="Arial"/>
          <w:szCs w:val="20"/>
        </w:rPr>
        <w:t xml:space="preserve"> počítačových her podle věkové struktury. Hry prostřednictvím internetu hrálo</w:t>
      </w:r>
      <w:r w:rsidR="000624C6" w:rsidRPr="00EB2612">
        <w:rPr>
          <w:rFonts w:cs="Arial"/>
          <w:szCs w:val="20"/>
        </w:rPr>
        <w:t xml:space="preserve"> či stahovalo</w:t>
      </w:r>
      <w:r w:rsidR="00C91190" w:rsidRPr="00EB2612">
        <w:rPr>
          <w:rFonts w:cs="Arial"/>
          <w:szCs w:val="20"/>
        </w:rPr>
        <w:t xml:space="preserve"> v roce 2018</w:t>
      </w:r>
      <w:r w:rsidR="00F40373" w:rsidRPr="00EB2612">
        <w:rPr>
          <w:rFonts w:cs="Arial"/>
          <w:szCs w:val="20"/>
        </w:rPr>
        <w:t xml:space="preserve"> </w:t>
      </w:r>
      <w:r w:rsidR="00993F83" w:rsidRPr="00EB2612">
        <w:rPr>
          <w:rFonts w:cs="Arial"/>
          <w:szCs w:val="20"/>
        </w:rPr>
        <w:t>přibližně</w:t>
      </w:r>
      <w:r w:rsidR="00C91190" w:rsidRPr="00EB2612">
        <w:rPr>
          <w:rFonts w:cs="Arial"/>
          <w:szCs w:val="20"/>
        </w:rPr>
        <w:t xml:space="preserve"> 68</w:t>
      </w:r>
      <w:r w:rsidRPr="00EB2612">
        <w:rPr>
          <w:rFonts w:cs="Arial"/>
          <w:szCs w:val="20"/>
        </w:rPr>
        <w:t xml:space="preserve"> % </w:t>
      </w:r>
      <w:r w:rsidR="005F0301" w:rsidRPr="00EB2612">
        <w:rPr>
          <w:rFonts w:cs="Arial"/>
          <w:szCs w:val="20"/>
        </w:rPr>
        <w:t>osob ve</w:t>
      </w:r>
      <w:r w:rsidRPr="00EB2612">
        <w:rPr>
          <w:rFonts w:cs="Arial"/>
          <w:szCs w:val="20"/>
        </w:rPr>
        <w:t xml:space="preserve"> věku 16–24 let. Četnost této </w:t>
      </w:r>
      <w:r w:rsidR="00FA118E">
        <w:rPr>
          <w:rFonts w:cs="Arial"/>
          <w:szCs w:val="20"/>
        </w:rPr>
        <w:t xml:space="preserve">aktivity </w:t>
      </w:r>
      <w:r w:rsidR="00C91190" w:rsidRPr="00EB2612">
        <w:rPr>
          <w:rFonts w:cs="Arial"/>
          <w:szCs w:val="20"/>
        </w:rPr>
        <w:t xml:space="preserve">výrazně </w:t>
      </w:r>
      <w:r w:rsidRPr="00EB2612">
        <w:rPr>
          <w:rFonts w:cs="Arial"/>
          <w:szCs w:val="20"/>
        </w:rPr>
        <w:t>poklesla</w:t>
      </w:r>
      <w:r w:rsidR="00F40373" w:rsidRPr="00EB2612">
        <w:rPr>
          <w:rFonts w:cs="Arial"/>
          <w:szCs w:val="20"/>
        </w:rPr>
        <w:t xml:space="preserve"> </w:t>
      </w:r>
      <w:r w:rsidR="00FF0F49" w:rsidRPr="00EB2612">
        <w:rPr>
          <w:rFonts w:cs="Arial"/>
          <w:szCs w:val="20"/>
        </w:rPr>
        <w:t>u věkové kategorie 25–</w:t>
      </w:r>
      <w:r w:rsidRPr="00EB2612">
        <w:rPr>
          <w:rFonts w:cs="Arial"/>
          <w:szCs w:val="20"/>
        </w:rPr>
        <w:t>34 let</w:t>
      </w:r>
      <w:r w:rsidR="00C91190" w:rsidRPr="00EB2612">
        <w:rPr>
          <w:rFonts w:cs="Arial"/>
          <w:szCs w:val="20"/>
        </w:rPr>
        <w:t xml:space="preserve"> (hraní her se věnovalo 41 % populace v této věkové kategorii)</w:t>
      </w:r>
      <w:r w:rsidRPr="00EB2612">
        <w:rPr>
          <w:rFonts w:cs="Arial"/>
          <w:szCs w:val="20"/>
        </w:rPr>
        <w:t xml:space="preserve"> a dále klesala s přib</w:t>
      </w:r>
      <w:r w:rsidR="000624C6" w:rsidRPr="00EB2612">
        <w:rPr>
          <w:rFonts w:cs="Arial"/>
          <w:szCs w:val="20"/>
        </w:rPr>
        <w:t>ývajícím věkem v populaci. Stahování či hraní</w:t>
      </w:r>
      <w:r w:rsidRPr="00EB2612">
        <w:rPr>
          <w:rFonts w:cs="Arial"/>
          <w:szCs w:val="20"/>
        </w:rPr>
        <w:t xml:space="preserve"> počítačových her online je tedy doménou zejména mladých lidí a s přibývajícím věkem </w:t>
      </w:r>
      <w:r w:rsidR="00C91190" w:rsidRPr="00EB2612">
        <w:rPr>
          <w:rFonts w:cs="Arial"/>
          <w:szCs w:val="20"/>
        </w:rPr>
        <w:t>značně</w:t>
      </w:r>
      <w:r w:rsidRPr="00EB2612">
        <w:rPr>
          <w:rFonts w:cs="Arial"/>
          <w:szCs w:val="20"/>
        </w:rPr>
        <w:t xml:space="preserve"> ubývá jednotlivců, kteří tuto činnost provozují.</w:t>
      </w:r>
    </w:p>
    <w:p w:rsidR="00BB64DB" w:rsidRPr="00EB2612" w:rsidRDefault="00BB64DB" w:rsidP="00BB64DB">
      <w:pPr>
        <w:pStyle w:val="Titulek"/>
        <w:keepNext/>
        <w:rPr>
          <w:color w:val="auto"/>
        </w:rPr>
      </w:pPr>
      <w:r w:rsidRPr="00EB2612">
        <w:rPr>
          <w:color w:val="auto"/>
          <w:sz w:val="22"/>
          <w:szCs w:val="22"/>
        </w:rPr>
        <w:t xml:space="preserve">Graf </w:t>
      </w:r>
      <w:r w:rsidR="00C30140" w:rsidRPr="00EB2612">
        <w:rPr>
          <w:color w:val="auto"/>
          <w:sz w:val="22"/>
          <w:szCs w:val="22"/>
        </w:rPr>
        <w:t>6</w:t>
      </w:r>
      <w:r w:rsidR="00FA118E">
        <w:rPr>
          <w:color w:val="auto"/>
          <w:sz w:val="22"/>
          <w:szCs w:val="22"/>
        </w:rPr>
        <w:t>5</w:t>
      </w:r>
      <w:r w:rsidRPr="00EB2612">
        <w:rPr>
          <w:color w:val="auto"/>
        </w:rPr>
        <w:t xml:space="preserve"> </w:t>
      </w:r>
      <w:r w:rsidR="005717CE" w:rsidRPr="005717CE">
        <w:rPr>
          <w:b w:val="0"/>
          <w:color w:val="auto"/>
          <w:sz w:val="22"/>
          <w:szCs w:val="22"/>
        </w:rPr>
        <w:t xml:space="preserve">Podíl osob </w:t>
      </w:r>
      <w:r w:rsidR="005717CE">
        <w:rPr>
          <w:b w:val="0"/>
          <w:color w:val="auto"/>
          <w:sz w:val="22"/>
          <w:szCs w:val="22"/>
        </w:rPr>
        <w:t>využívajících internet</w:t>
      </w:r>
      <w:r w:rsidR="002B7E46" w:rsidRPr="00EB2612">
        <w:rPr>
          <w:b w:val="0"/>
          <w:color w:val="auto"/>
          <w:sz w:val="22"/>
          <w:szCs w:val="22"/>
        </w:rPr>
        <w:t xml:space="preserve"> </w:t>
      </w:r>
      <w:r w:rsidRPr="00EB2612">
        <w:rPr>
          <w:b w:val="0"/>
          <w:color w:val="auto"/>
          <w:sz w:val="22"/>
          <w:szCs w:val="22"/>
        </w:rPr>
        <w:t>ke hře</w:t>
      </w:r>
      <w:r w:rsidR="000624C6" w:rsidRPr="00EB2612">
        <w:rPr>
          <w:b w:val="0"/>
          <w:color w:val="auto"/>
          <w:sz w:val="22"/>
          <w:szCs w:val="22"/>
        </w:rPr>
        <w:t xml:space="preserve"> či stahování</w:t>
      </w:r>
      <w:r w:rsidRPr="00EB2612">
        <w:rPr>
          <w:b w:val="0"/>
          <w:color w:val="auto"/>
          <w:sz w:val="22"/>
          <w:szCs w:val="22"/>
        </w:rPr>
        <w:t xml:space="preserve"> počítačových her v roce 201</w:t>
      </w:r>
      <w:r w:rsidR="00C91190" w:rsidRPr="00EB2612">
        <w:rPr>
          <w:b w:val="0"/>
          <w:color w:val="auto"/>
          <w:sz w:val="22"/>
          <w:szCs w:val="22"/>
        </w:rPr>
        <w:t>8</w:t>
      </w:r>
      <w:r w:rsidR="005717CE">
        <w:rPr>
          <w:b w:val="0"/>
          <w:color w:val="auto"/>
          <w:sz w:val="22"/>
          <w:szCs w:val="22"/>
        </w:rPr>
        <w:t>, podle věkových kategorií</w:t>
      </w:r>
    </w:p>
    <w:p w:rsidR="00BB64DB" w:rsidRPr="00EB2612" w:rsidRDefault="005E339C" w:rsidP="00BB64DB">
      <w:pPr>
        <w:keepNext/>
        <w:jc w:val="center"/>
        <w:rPr>
          <w:color w:val="17365D" w:themeColor="text2" w:themeShade="BF"/>
        </w:rPr>
      </w:pPr>
      <w:r w:rsidRPr="005E339C">
        <w:rPr>
          <w:noProof/>
          <w:color w:val="17365D" w:themeColor="text2" w:themeShade="BF"/>
        </w:rPr>
        <w:drawing>
          <wp:inline distT="0" distB="0" distL="0" distR="0">
            <wp:extent cx="4330599" cy="1748333"/>
            <wp:effectExtent l="0" t="0" r="0" b="0"/>
            <wp:docPr id="148"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BB64DB" w:rsidRPr="00EB2612" w:rsidRDefault="00793BA5" w:rsidP="00BB64DB">
      <w:pPr>
        <w:pStyle w:val="Titulek"/>
        <w:rPr>
          <w:b w:val="0"/>
          <w:color w:val="auto"/>
          <w:sz w:val="22"/>
          <w:szCs w:val="22"/>
        </w:rPr>
      </w:pPr>
      <w:r w:rsidRPr="00EB2612">
        <w:rPr>
          <w:b w:val="0"/>
          <w:color w:val="auto"/>
          <w:sz w:val="22"/>
          <w:szCs w:val="22"/>
        </w:rPr>
        <w:t xml:space="preserve">Zdroj: </w:t>
      </w:r>
      <w:r w:rsidR="003F593B" w:rsidRPr="003F593B">
        <w:rPr>
          <w:b w:val="0"/>
          <w:color w:val="auto"/>
          <w:sz w:val="22"/>
          <w:szCs w:val="22"/>
        </w:rPr>
        <w:t>Výběrové šetření o informačních a komunikačních technologiích, ČSÚ</w:t>
      </w:r>
    </w:p>
    <w:p w:rsidR="00E26F9A" w:rsidRPr="00EB2612" w:rsidRDefault="00D357F7" w:rsidP="00D357F7">
      <w:pPr>
        <w:rPr>
          <w:rFonts w:cs="Arial"/>
          <w:szCs w:val="20"/>
        </w:rPr>
      </w:pPr>
      <w:r w:rsidRPr="00EB2612">
        <w:rPr>
          <w:lang w:eastAsia="en-US"/>
        </w:rPr>
        <w:t>I přesto, že hraní her</w:t>
      </w:r>
      <w:r w:rsidR="005428B5" w:rsidRPr="00EB2612">
        <w:rPr>
          <w:lang w:eastAsia="en-US"/>
        </w:rPr>
        <w:t xml:space="preserve"> online</w:t>
      </w:r>
      <w:r w:rsidRPr="00EB2612">
        <w:rPr>
          <w:lang w:eastAsia="en-US"/>
        </w:rPr>
        <w:t xml:space="preserve"> je v rámci </w:t>
      </w:r>
      <w:r w:rsidR="005428B5" w:rsidRPr="00EB2612">
        <w:rPr>
          <w:lang w:eastAsia="en-US"/>
        </w:rPr>
        <w:t xml:space="preserve">zemí evropské osmadvacítky </w:t>
      </w:r>
      <w:r w:rsidRPr="00EB2612">
        <w:rPr>
          <w:lang w:eastAsia="en-US"/>
        </w:rPr>
        <w:t>zejména mužskou doménou</w:t>
      </w:r>
      <w:r w:rsidR="005428B5" w:rsidRPr="00EB2612">
        <w:rPr>
          <w:lang w:eastAsia="en-US"/>
        </w:rPr>
        <w:t xml:space="preserve">, </w:t>
      </w:r>
      <w:r w:rsidR="003F593B" w:rsidRPr="00EB2612">
        <w:rPr>
          <w:lang w:eastAsia="en-US"/>
        </w:rPr>
        <w:t>není zastoupení</w:t>
      </w:r>
      <w:r w:rsidR="005428B5" w:rsidRPr="00EB2612">
        <w:rPr>
          <w:lang w:eastAsia="en-US"/>
        </w:rPr>
        <w:t xml:space="preserve"> ženských hráček v jednotlivých zemích zanedbatelné. V Nizozemsku, které má v</w:t>
      </w:r>
      <w:r w:rsidR="004048BF" w:rsidRPr="00EB2612">
        <w:rPr>
          <w:lang w:eastAsia="en-US"/>
        </w:rPr>
        <w:t> </w:t>
      </w:r>
      <w:r w:rsidR="005428B5" w:rsidRPr="00EB2612">
        <w:rPr>
          <w:lang w:eastAsia="en-US"/>
        </w:rPr>
        <w:t>populaci</w:t>
      </w:r>
      <w:r w:rsidR="004048BF" w:rsidRPr="00EB2612">
        <w:rPr>
          <w:lang w:eastAsia="en-US"/>
        </w:rPr>
        <w:t xml:space="preserve"> 16</w:t>
      </w:r>
      <w:r w:rsidR="006F2AE7" w:rsidRPr="00EB2612">
        <w:rPr>
          <w:lang w:eastAsia="en-US"/>
        </w:rPr>
        <w:t>–</w:t>
      </w:r>
      <w:r w:rsidR="004048BF" w:rsidRPr="00EB2612">
        <w:rPr>
          <w:lang w:eastAsia="en-US"/>
        </w:rPr>
        <w:t>74 let</w:t>
      </w:r>
      <w:r w:rsidR="005428B5" w:rsidRPr="00EB2612">
        <w:rPr>
          <w:lang w:eastAsia="en-US"/>
        </w:rPr>
        <w:t xml:space="preserve"> vůbec nejvyšší podíl osob hrajících videohry</w:t>
      </w:r>
      <w:r w:rsidR="004048BF" w:rsidRPr="00EB2612">
        <w:rPr>
          <w:lang w:eastAsia="en-US"/>
        </w:rPr>
        <w:t xml:space="preserve"> (48</w:t>
      </w:r>
      <w:r w:rsidR="004048BF" w:rsidRPr="00EB2612">
        <w:rPr>
          <w:rFonts w:cs="Arial"/>
          <w:szCs w:val="20"/>
        </w:rPr>
        <w:t>%)</w:t>
      </w:r>
      <w:r w:rsidR="005428B5" w:rsidRPr="00EB2612">
        <w:rPr>
          <w:lang w:eastAsia="en-US"/>
        </w:rPr>
        <w:t xml:space="preserve"> v EU, je také nejvíce hráček (</w:t>
      </w:r>
      <w:r w:rsidR="005428B5" w:rsidRPr="00EB2612">
        <w:rPr>
          <w:rFonts w:cs="Arial"/>
          <w:szCs w:val="20"/>
        </w:rPr>
        <w:t>4</w:t>
      </w:r>
      <w:r w:rsidR="004048BF" w:rsidRPr="00EB2612">
        <w:rPr>
          <w:rFonts w:cs="Arial"/>
          <w:szCs w:val="20"/>
        </w:rPr>
        <w:t xml:space="preserve">6%). Velký podíl hráček má také Dánsko (42%) a Belgie (40 %). Ve všech třech zmiňovaných zemích není rozdíl mezi podílem </w:t>
      </w:r>
      <w:r w:rsidR="003F593B" w:rsidRPr="00EB2612">
        <w:rPr>
          <w:rFonts w:cs="Arial"/>
          <w:szCs w:val="20"/>
        </w:rPr>
        <w:t>hráčů</w:t>
      </w:r>
      <w:r w:rsidR="004048BF" w:rsidRPr="00EB2612">
        <w:rPr>
          <w:rFonts w:cs="Arial"/>
          <w:szCs w:val="20"/>
        </w:rPr>
        <w:t xml:space="preserve"> a hráček </w:t>
      </w:r>
      <w:r w:rsidR="003F593B" w:rsidRPr="00EB2612">
        <w:rPr>
          <w:rFonts w:cs="Arial"/>
          <w:szCs w:val="20"/>
        </w:rPr>
        <w:t>vyšší</w:t>
      </w:r>
      <w:r w:rsidR="004048BF" w:rsidRPr="00EB2612">
        <w:rPr>
          <w:rFonts w:cs="Arial"/>
          <w:szCs w:val="20"/>
        </w:rPr>
        <w:t xml:space="preserve"> než 7 p. b. Naopak v </w:t>
      </w:r>
      <w:r w:rsidR="00E26F9A" w:rsidRPr="00EB2612">
        <w:rPr>
          <w:rFonts w:cs="Arial"/>
          <w:szCs w:val="20"/>
        </w:rPr>
        <w:t>česku</w:t>
      </w:r>
      <w:r w:rsidR="004048BF" w:rsidRPr="00EB2612">
        <w:rPr>
          <w:rFonts w:cs="Arial"/>
          <w:szCs w:val="20"/>
        </w:rPr>
        <w:t>, kter</w:t>
      </w:r>
      <w:r w:rsidR="00E26F9A" w:rsidRPr="00EB2612">
        <w:rPr>
          <w:rFonts w:cs="Arial"/>
          <w:szCs w:val="20"/>
        </w:rPr>
        <w:t>é je s </w:t>
      </w:r>
      <w:proofErr w:type="gramStart"/>
      <w:r w:rsidR="00E26F9A" w:rsidRPr="00EB2612">
        <w:rPr>
          <w:rFonts w:cs="Arial"/>
          <w:szCs w:val="20"/>
        </w:rPr>
        <w:t>29%</w:t>
      </w:r>
      <w:proofErr w:type="gramEnd"/>
      <w:r w:rsidR="00E26F9A" w:rsidRPr="00EB2612">
        <w:rPr>
          <w:rFonts w:cs="Arial"/>
          <w:szCs w:val="20"/>
        </w:rPr>
        <w:t xml:space="preserve"> podílem osob hrajících videohry na 19. místě evropského žebříčku, je zastoupení hráček v porovnání s ostatními zeměmi nízké. V populaci 16</w:t>
      </w:r>
      <w:r w:rsidR="006F2AE7" w:rsidRPr="00EB2612">
        <w:rPr>
          <w:lang w:eastAsia="en-US"/>
        </w:rPr>
        <w:t>–</w:t>
      </w:r>
      <w:r w:rsidR="00E26F9A" w:rsidRPr="00EB2612">
        <w:rPr>
          <w:rFonts w:cs="Arial"/>
          <w:szCs w:val="20"/>
        </w:rPr>
        <w:t>74 let je v Česku 37 % hráčů a pouze 21 % hráček. Nejméně hráček najdeme v Bulharsku (16 %).</w:t>
      </w:r>
    </w:p>
    <w:p w:rsidR="00D357F7" w:rsidRPr="00EB2612" w:rsidRDefault="00E26F9A" w:rsidP="00D357F7">
      <w:pPr>
        <w:pStyle w:val="Titulek"/>
        <w:keepNext/>
        <w:rPr>
          <w:color w:val="auto"/>
          <w:sz w:val="22"/>
          <w:szCs w:val="22"/>
        </w:rPr>
      </w:pPr>
      <w:r w:rsidRPr="00270851">
        <w:rPr>
          <w:color w:val="auto"/>
          <w:sz w:val="22"/>
          <w:szCs w:val="22"/>
        </w:rPr>
        <w:t xml:space="preserve">Graf </w:t>
      </w:r>
      <w:r w:rsidR="00FA118E">
        <w:rPr>
          <w:color w:val="auto"/>
          <w:sz w:val="22"/>
          <w:szCs w:val="22"/>
        </w:rPr>
        <w:t>66</w:t>
      </w:r>
      <w:r w:rsidRPr="00270851">
        <w:rPr>
          <w:color w:val="auto"/>
          <w:sz w:val="22"/>
          <w:szCs w:val="22"/>
        </w:rPr>
        <w:t xml:space="preserve"> </w:t>
      </w:r>
      <w:r w:rsidR="005717CE" w:rsidRPr="005717CE">
        <w:rPr>
          <w:b w:val="0"/>
          <w:color w:val="auto"/>
          <w:sz w:val="22"/>
          <w:szCs w:val="22"/>
        </w:rPr>
        <w:t xml:space="preserve">Podíl osob </w:t>
      </w:r>
      <w:r w:rsidR="004B3227">
        <w:rPr>
          <w:b w:val="0"/>
          <w:color w:val="auto"/>
          <w:sz w:val="22"/>
          <w:szCs w:val="22"/>
        </w:rPr>
        <w:t>ve věku 16</w:t>
      </w:r>
      <w:r w:rsidR="006F2AE7" w:rsidRPr="006F2AE7">
        <w:rPr>
          <w:b w:val="0"/>
          <w:color w:val="auto"/>
          <w:sz w:val="22"/>
          <w:szCs w:val="22"/>
        </w:rPr>
        <w:t>–</w:t>
      </w:r>
      <w:r w:rsidR="004B3227">
        <w:rPr>
          <w:b w:val="0"/>
          <w:color w:val="auto"/>
          <w:sz w:val="22"/>
          <w:szCs w:val="22"/>
        </w:rPr>
        <w:t xml:space="preserve">74 let </w:t>
      </w:r>
      <w:r w:rsidR="005717CE">
        <w:rPr>
          <w:b w:val="0"/>
          <w:color w:val="auto"/>
          <w:sz w:val="22"/>
          <w:szCs w:val="22"/>
        </w:rPr>
        <w:t>využívajících internet</w:t>
      </w:r>
      <w:r w:rsidR="005717CE" w:rsidRPr="00EB2612">
        <w:rPr>
          <w:b w:val="0"/>
          <w:color w:val="auto"/>
          <w:sz w:val="22"/>
          <w:szCs w:val="22"/>
        </w:rPr>
        <w:t xml:space="preserve"> </w:t>
      </w:r>
      <w:r w:rsidR="004B3227">
        <w:rPr>
          <w:b w:val="0"/>
          <w:color w:val="auto"/>
          <w:sz w:val="22"/>
          <w:szCs w:val="22"/>
        </w:rPr>
        <w:t>k hraní</w:t>
      </w:r>
      <w:r w:rsidR="005717CE" w:rsidRPr="00EB2612">
        <w:rPr>
          <w:b w:val="0"/>
          <w:color w:val="auto"/>
          <w:sz w:val="22"/>
          <w:szCs w:val="22"/>
        </w:rPr>
        <w:t xml:space="preserve"> či stahování počítačových her </w:t>
      </w:r>
      <w:r w:rsidR="00890155" w:rsidRPr="00EB2612">
        <w:rPr>
          <w:b w:val="0"/>
          <w:color w:val="auto"/>
          <w:sz w:val="22"/>
          <w:szCs w:val="22"/>
        </w:rPr>
        <w:t>podle pohlaví</w:t>
      </w:r>
      <w:r w:rsidRPr="00EB2612">
        <w:rPr>
          <w:b w:val="0"/>
          <w:color w:val="auto"/>
          <w:sz w:val="22"/>
          <w:szCs w:val="22"/>
        </w:rPr>
        <w:t>, 201</w:t>
      </w:r>
      <w:r w:rsidR="00890155" w:rsidRPr="00EB2612">
        <w:rPr>
          <w:b w:val="0"/>
          <w:color w:val="auto"/>
          <w:sz w:val="22"/>
          <w:szCs w:val="22"/>
        </w:rPr>
        <w:t>8</w:t>
      </w:r>
    </w:p>
    <w:p w:rsidR="003C30A0" w:rsidRPr="00EB2612" w:rsidRDefault="007D3AAB" w:rsidP="003C30A0">
      <w:pPr>
        <w:rPr>
          <w:lang w:eastAsia="en-US"/>
        </w:rPr>
      </w:pPr>
      <w:r w:rsidRPr="00EB2612">
        <w:rPr>
          <w:noProof/>
        </w:rPr>
        <w:drawing>
          <wp:inline distT="0" distB="0" distL="0" distR="0">
            <wp:extent cx="6067425" cy="203835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00D357F7" w:rsidRPr="00EB2612">
        <w:rPr>
          <w:lang w:eastAsia="en-US"/>
        </w:rPr>
        <w:t>¨</w:t>
      </w:r>
    </w:p>
    <w:p w:rsidR="00D357F7" w:rsidRPr="00EB2612" w:rsidRDefault="00D357F7" w:rsidP="00D357F7">
      <w:pPr>
        <w:rPr>
          <w:lang w:eastAsia="en-US"/>
        </w:rPr>
      </w:pPr>
      <w:r w:rsidRPr="00EB2612">
        <w:rPr>
          <w:lang w:eastAsia="en-US"/>
        </w:rPr>
        <w:t>Zdroj: ICT usage in households and by individuals,</w:t>
      </w:r>
      <w:r w:rsidRPr="00EB2612">
        <w:rPr>
          <w:szCs w:val="22"/>
          <w:lang w:eastAsia="en-US"/>
        </w:rPr>
        <w:t xml:space="preserve"> </w:t>
      </w:r>
      <w:r w:rsidRPr="00EB2612">
        <w:rPr>
          <w:rFonts w:asciiTheme="minorHAnsi" w:hAnsiTheme="minorHAnsi"/>
          <w:sz w:val="22"/>
          <w:szCs w:val="22"/>
          <w:lang w:eastAsia="en-US"/>
        </w:rPr>
        <w:t>Eurostat</w:t>
      </w:r>
    </w:p>
    <w:p w:rsidR="00FF66DD" w:rsidRPr="00EB2612" w:rsidRDefault="004B3227" w:rsidP="00FF66DD">
      <w:pPr>
        <w:rPr>
          <w:lang w:eastAsia="en-US"/>
        </w:rPr>
      </w:pPr>
      <w:r>
        <w:rPr>
          <w:lang w:eastAsia="en-US"/>
        </w:rPr>
        <w:lastRenderedPageBreak/>
        <w:t>Formy</w:t>
      </w:r>
      <w:r w:rsidRPr="00EB2612">
        <w:rPr>
          <w:lang w:eastAsia="en-US"/>
        </w:rPr>
        <w:t xml:space="preserve"> </w:t>
      </w:r>
      <w:r w:rsidR="00FF66DD" w:rsidRPr="00EB2612">
        <w:rPr>
          <w:lang w:eastAsia="en-US"/>
        </w:rPr>
        <w:t xml:space="preserve">hraní počítačových her v české populaci můžeme nepřímo odhadnout podle cílení českých vývojářských firem (nutno však podotknout, že </w:t>
      </w:r>
      <w:r w:rsidR="00C76A44" w:rsidRPr="00EB2612">
        <w:rPr>
          <w:lang w:eastAsia="en-US"/>
        </w:rPr>
        <w:t xml:space="preserve">zdaleka </w:t>
      </w:r>
      <w:r w:rsidR="00FF66DD" w:rsidRPr="00EB2612">
        <w:rPr>
          <w:lang w:eastAsia="en-US"/>
        </w:rPr>
        <w:t>ne všechny se zaměřují primárně na český herní trh). Nejčastější platformou, pro kterou jsou u nás vyráběny hry</w:t>
      </w:r>
      <w:r w:rsidR="00C76A44" w:rsidRPr="00EB2612">
        <w:rPr>
          <w:lang w:eastAsia="en-US"/>
        </w:rPr>
        <w:t>,</w:t>
      </w:r>
      <w:r w:rsidR="00FF66DD" w:rsidRPr="00EB2612">
        <w:rPr>
          <w:lang w:eastAsia="en-US"/>
        </w:rPr>
        <w:t xml:space="preserve"> jsou podle </w:t>
      </w:r>
      <w:r w:rsidR="00C76A44" w:rsidRPr="00EB2612">
        <w:rPr>
          <w:lang w:eastAsia="en-US"/>
        </w:rPr>
        <w:t>dat</w:t>
      </w:r>
      <w:r w:rsidR="00FF66DD" w:rsidRPr="00EB2612">
        <w:rPr>
          <w:lang w:eastAsia="en-US"/>
        </w:rPr>
        <w:t xml:space="preserve"> </w:t>
      </w:r>
      <w:r w:rsidR="003F593B" w:rsidRPr="00EB2612">
        <w:rPr>
          <w:lang w:eastAsia="en-US"/>
        </w:rPr>
        <w:t>Asociace</w:t>
      </w:r>
      <w:r w:rsidR="00FF66DD" w:rsidRPr="00EB2612">
        <w:rPr>
          <w:lang w:eastAsia="en-US"/>
        </w:rPr>
        <w:t xml:space="preserve"> </w:t>
      </w:r>
      <w:r w:rsidR="00C76A44" w:rsidRPr="00EB2612">
        <w:rPr>
          <w:lang w:eastAsia="en-US"/>
        </w:rPr>
        <w:t xml:space="preserve">českých </w:t>
      </w:r>
      <w:r w:rsidR="00FF66DD" w:rsidRPr="00EB2612">
        <w:rPr>
          <w:lang w:eastAsia="en-US"/>
        </w:rPr>
        <w:t>herních vývojářů z</w:t>
      </w:r>
      <w:bookmarkStart w:id="134" w:name="_GoBack"/>
      <w:bookmarkEnd w:id="134"/>
      <w:r w:rsidR="005717CE">
        <w:rPr>
          <w:lang w:eastAsia="en-US"/>
        </w:rPr>
        <w:t>a referenční rok 2019</w:t>
      </w:r>
      <w:r w:rsidR="00FF66DD" w:rsidRPr="00EB2612">
        <w:rPr>
          <w:lang w:eastAsia="en-US"/>
        </w:rPr>
        <w:t xml:space="preserve"> stále počítače a herní konzole</w:t>
      </w:r>
      <w:r w:rsidR="00C76A44" w:rsidRPr="00EB2612">
        <w:rPr>
          <w:lang w:eastAsia="en-US"/>
        </w:rPr>
        <w:t>. P</w:t>
      </w:r>
      <w:r w:rsidR="00FF66DD" w:rsidRPr="00EB2612">
        <w:rPr>
          <w:lang w:eastAsia="en-US"/>
        </w:rPr>
        <w:t xml:space="preserve">řibližně 67 </w:t>
      </w:r>
      <w:r w:rsidR="00FF66DD" w:rsidRPr="00EB2612">
        <w:rPr>
          <w:rFonts w:cs="Arial"/>
          <w:szCs w:val="20"/>
        </w:rPr>
        <w:t>% vývojářských společností</w:t>
      </w:r>
      <w:r w:rsidR="00C76A44" w:rsidRPr="00EB2612">
        <w:rPr>
          <w:rFonts w:cs="Arial"/>
          <w:szCs w:val="20"/>
        </w:rPr>
        <w:t xml:space="preserve"> se zaměřuje na tento segment trhu. Druhou nejčastější platformou jsou mobilní </w:t>
      </w:r>
      <w:r w:rsidR="000251B8" w:rsidRPr="00EB2612">
        <w:rPr>
          <w:rFonts w:cs="Arial"/>
          <w:szCs w:val="20"/>
        </w:rPr>
        <w:t xml:space="preserve">telefony, pro které </w:t>
      </w:r>
      <w:r w:rsidR="003F593B" w:rsidRPr="00EB2612">
        <w:rPr>
          <w:rFonts w:cs="Arial"/>
          <w:szCs w:val="20"/>
        </w:rPr>
        <w:t>vyrábí</w:t>
      </w:r>
      <w:r w:rsidR="000251B8" w:rsidRPr="00EB2612">
        <w:rPr>
          <w:rFonts w:cs="Arial"/>
          <w:szCs w:val="20"/>
        </w:rPr>
        <w:t xml:space="preserve"> hry 4</w:t>
      </w:r>
      <w:r w:rsidR="00C76A44" w:rsidRPr="00EB2612">
        <w:rPr>
          <w:rFonts w:cs="Arial"/>
          <w:szCs w:val="20"/>
        </w:rPr>
        <w:t>1</w:t>
      </w:r>
      <w:r>
        <w:rPr>
          <w:rFonts w:cs="Arial"/>
          <w:szCs w:val="20"/>
        </w:rPr>
        <w:t> </w:t>
      </w:r>
      <w:r w:rsidR="00C76A44" w:rsidRPr="00EB2612">
        <w:rPr>
          <w:rFonts w:cs="Arial"/>
          <w:szCs w:val="20"/>
        </w:rPr>
        <w:t>% českých vývojářů. Výrazně méně čes</w:t>
      </w:r>
      <w:r w:rsidR="00BF04D9" w:rsidRPr="00EB2612">
        <w:rPr>
          <w:rFonts w:cs="Arial"/>
          <w:szCs w:val="20"/>
        </w:rPr>
        <w:t>kých herních společností se zamě</w:t>
      </w:r>
      <w:r w:rsidR="000251B8" w:rsidRPr="00EB2612">
        <w:rPr>
          <w:rFonts w:cs="Arial"/>
          <w:szCs w:val="20"/>
        </w:rPr>
        <w:t>řuje na webové hry (16</w:t>
      </w:r>
      <w:r w:rsidR="00C76A44" w:rsidRPr="00EB2612">
        <w:rPr>
          <w:rFonts w:cs="Arial"/>
          <w:szCs w:val="20"/>
        </w:rPr>
        <w:t xml:space="preserve"> %) a</w:t>
      </w:r>
      <w:r w:rsidR="00362010">
        <w:rPr>
          <w:rFonts w:cs="Arial"/>
          <w:szCs w:val="20"/>
        </w:rPr>
        <w:t> </w:t>
      </w:r>
      <w:r w:rsidR="00C76A44" w:rsidRPr="00EB2612">
        <w:rPr>
          <w:rFonts w:cs="Arial"/>
          <w:szCs w:val="20"/>
        </w:rPr>
        <w:t>virtuální či roz</w:t>
      </w:r>
      <w:r w:rsidR="000251B8" w:rsidRPr="00EB2612">
        <w:rPr>
          <w:rFonts w:cs="Arial"/>
          <w:szCs w:val="20"/>
        </w:rPr>
        <w:t>šířenou realitu (8</w:t>
      </w:r>
      <w:r w:rsidR="00C76A44" w:rsidRPr="00EB2612">
        <w:rPr>
          <w:rFonts w:cs="Arial"/>
          <w:szCs w:val="20"/>
        </w:rPr>
        <w:t xml:space="preserve"> %</w:t>
      </w:r>
      <w:r w:rsidR="000251B8" w:rsidRPr="00EB2612">
        <w:rPr>
          <w:rFonts w:cs="Arial"/>
          <w:szCs w:val="20"/>
        </w:rPr>
        <w:t xml:space="preserve">). V roce 2019 bylo </w:t>
      </w:r>
      <w:r>
        <w:rPr>
          <w:rFonts w:cs="Arial"/>
          <w:szCs w:val="20"/>
        </w:rPr>
        <w:t xml:space="preserve">v Česku </w:t>
      </w:r>
      <w:r w:rsidR="000251B8" w:rsidRPr="00EB2612">
        <w:rPr>
          <w:rFonts w:cs="Arial"/>
          <w:szCs w:val="20"/>
        </w:rPr>
        <w:t>vydáno celkem 65 her, což je přibližně dvakrát více než v</w:t>
      </w:r>
      <w:r w:rsidR="003F593B">
        <w:rPr>
          <w:rFonts w:cs="Arial"/>
          <w:szCs w:val="20"/>
        </w:rPr>
        <w:t xml:space="preserve"> </w:t>
      </w:r>
      <w:r w:rsidR="000251B8" w:rsidRPr="00EB2612">
        <w:rPr>
          <w:rFonts w:cs="Arial"/>
          <w:szCs w:val="20"/>
        </w:rPr>
        <w:t>roce 2018.</w:t>
      </w:r>
    </w:p>
    <w:p w:rsidR="00BB64DB" w:rsidRPr="00EB2612" w:rsidRDefault="00BB64DB" w:rsidP="00BB64DB">
      <w:pPr>
        <w:pStyle w:val="Titulek"/>
        <w:keepNext/>
        <w:rPr>
          <w:color w:val="auto"/>
          <w:sz w:val="22"/>
          <w:szCs w:val="22"/>
        </w:rPr>
      </w:pPr>
      <w:r w:rsidRPr="00EB2612">
        <w:rPr>
          <w:color w:val="auto"/>
          <w:sz w:val="22"/>
          <w:szCs w:val="22"/>
        </w:rPr>
        <w:t xml:space="preserve">Graf </w:t>
      </w:r>
      <w:r w:rsidR="00FF0F49" w:rsidRPr="00EB2612">
        <w:rPr>
          <w:color w:val="auto"/>
          <w:sz w:val="22"/>
          <w:szCs w:val="22"/>
        </w:rPr>
        <w:t>6</w:t>
      </w:r>
      <w:r w:rsidR="00FA118E">
        <w:rPr>
          <w:color w:val="auto"/>
          <w:sz w:val="22"/>
          <w:szCs w:val="22"/>
        </w:rPr>
        <w:t>7</w:t>
      </w:r>
      <w:r w:rsidRPr="00EB2612">
        <w:rPr>
          <w:color w:val="auto"/>
          <w:sz w:val="22"/>
          <w:szCs w:val="22"/>
        </w:rPr>
        <w:t xml:space="preserve"> </w:t>
      </w:r>
      <w:r w:rsidR="00C76A44" w:rsidRPr="00EB2612">
        <w:rPr>
          <w:b w:val="0"/>
          <w:color w:val="auto"/>
          <w:sz w:val="22"/>
          <w:szCs w:val="22"/>
        </w:rPr>
        <w:t xml:space="preserve">Herní platformy podle zaměření českých </w:t>
      </w:r>
      <w:proofErr w:type="spellStart"/>
      <w:r w:rsidR="004B3227" w:rsidRPr="00EB2612">
        <w:rPr>
          <w:b w:val="0"/>
          <w:color w:val="auto"/>
          <w:sz w:val="22"/>
          <w:szCs w:val="22"/>
        </w:rPr>
        <w:t>vývojář</w:t>
      </w:r>
      <w:r w:rsidR="004B3227">
        <w:rPr>
          <w:b w:val="0"/>
          <w:color w:val="auto"/>
          <w:sz w:val="22"/>
          <w:szCs w:val="22"/>
        </w:rPr>
        <w:t>ských</w:t>
      </w:r>
      <w:proofErr w:type="spellEnd"/>
      <w:r w:rsidR="004B3227">
        <w:rPr>
          <w:b w:val="0"/>
          <w:color w:val="auto"/>
          <w:sz w:val="22"/>
          <w:szCs w:val="22"/>
        </w:rPr>
        <w:t xml:space="preserve"> společností</w:t>
      </w:r>
      <w:r w:rsidR="004B3227" w:rsidRPr="00EB2612">
        <w:rPr>
          <w:b w:val="0"/>
          <w:color w:val="auto"/>
          <w:sz w:val="22"/>
          <w:szCs w:val="22"/>
        </w:rPr>
        <w:t xml:space="preserve"> </w:t>
      </w:r>
      <w:r w:rsidR="00890155" w:rsidRPr="00EB2612">
        <w:rPr>
          <w:b w:val="0"/>
          <w:color w:val="auto"/>
          <w:sz w:val="22"/>
          <w:szCs w:val="22"/>
        </w:rPr>
        <w:t>v roce 2019</w:t>
      </w:r>
    </w:p>
    <w:p w:rsidR="00BB64DB" w:rsidRPr="00EB2612" w:rsidRDefault="00890155" w:rsidP="00BB64DB">
      <w:pPr>
        <w:keepNext/>
        <w:jc w:val="center"/>
      </w:pPr>
      <w:r w:rsidRPr="00EB2612">
        <w:rPr>
          <w:noProof/>
        </w:rPr>
        <w:drawing>
          <wp:inline distT="0" distB="0" distL="0" distR="0">
            <wp:extent cx="4467225" cy="1704975"/>
            <wp:effectExtent l="0" t="0" r="0" b="0"/>
            <wp:docPr id="11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BB64DB" w:rsidRPr="00EB2612" w:rsidRDefault="00BB64DB" w:rsidP="00BB64DB">
      <w:pPr>
        <w:pStyle w:val="Titulek"/>
        <w:rPr>
          <w:b w:val="0"/>
          <w:color w:val="auto"/>
          <w:sz w:val="22"/>
          <w:szCs w:val="22"/>
        </w:rPr>
      </w:pPr>
      <w:r w:rsidRPr="00EB2612">
        <w:rPr>
          <w:b w:val="0"/>
          <w:color w:val="auto"/>
          <w:sz w:val="22"/>
          <w:szCs w:val="22"/>
        </w:rPr>
        <w:t xml:space="preserve">Zdroj: </w:t>
      </w:r>
      <w:r w:rsidR="003F593B" w:rsidRPr="00EB2612">
        <w:rPr>
          <w:b w:val="0"/>
          <w:color w:val="auto"/>
          <w:sz w:val="22"/>
          <w:szCs w:val="22"/>
        </w:rPr>
        <w:t>Asociace</w:t>
      </w:r>
      <w:r w:rsidR="00075EB5" w:rsidRPr="00EB2612">
        <w:rPr>
          <w:b w:val="0"/>
          <w:color w:val="auto"/>
          <w:sz w:val="22"/>
          <w:szCs w:val="22"/>
        </w:rPr>
        <w:t xml:space="preserve"> českých herních vývojářů</w:t>
      </w:r>
      <w:r w:rsidR="00890155" w:rsidRPr="00EB2612">
        <w:rPr>
          <w:b w:val="0"/>
          <w:color w:val="auto"/>
          <w:sz w:val="22"/>
          <w:szCs w:val="22"/>
        </w:rPr>
        <w:t>, 2020</w:t>
      </w:r>
    </w:p>
    <w:p w:rsidR="00993F83" w:rsidRPr="00EB2612" w:rsidRDefault="000E077B" w:rsidP="00993F83">
      <w:pPr>
        <w:rPr>
          <w:lang w:eastAsia="en-US"/>
        </w:rPr>
      </w:pPr>
      <w:r w:rsidRPr="00EB2612">
        <w:rPr>
          <w:lang w:eastAsia="en-US"/>
        </w:rPr>
        <w:t>V posledních letech roste také nabídka českých her</w:t>
      </w:r>
      <w:r w:rsidR="00606322" w:rsidRPr="00EB2612">
        <w:rPr>
          <w:lang w:eastAsia="en-US"/>
        </w:rPr>
        <w:t xml:space="preserve"> na celosvětovém trhu</w:t>
      </w:r>
      <w:r w:rsidR="00C30140" w:rsidRPr="00EB2612">
        <w:rPr>
          <w:lang w:eastAsia="en-US"/>
        </w:rPr>
        <w:t>.</w:t>
      </w:r>
      <w:r w:rsidRPr="00EB2612">
        <w:rPr>
          <w:lang w:eastAsia="en-US"/>
        </w:rPr>
        <w:t xml:space="preserve"> </w:t>
      </w:r>
      <w:r w:rsidR="00E61500" w:rsidRPr="00EB2612">
        <w:rPr>
          <w:lang w:eastAsia="en-US"/>
        </w:rPr>
        <w:t>Některé ú</w:t>
      </w:r>
      <w:r w:rsidR="00606322" w:rsidRPr="00EB2612">
        <w:rPr>
          <w:lang w:eastAsia="en-US"/>
        </w:rPr>
        <w:t>daje o úspěšnosti českých videoher</w:t>
      </w:r>
      <w:r w:rsidR="00704803" w:rsidRPr="00EB2612">
        <w:rPr>
          <w:lang w:eastAsia="en-US"/>
        </w:rPr>
        <w:t xml:space="preserve"> v rámci mezinárodní herní komunity </w:t>
      </w:r>
      <w:r w:rsidR="00606322" w:rsidRPr="00EB2612">
        <w:rPr>
          <w:lang w:eastAsia="en-US"/>
        </w:rPr>
        <w:t xml:space="preserve">lze získat z databáze </w:t>
      </w:r>
      <w:r w:rsidR="00704803" w:rsidRPr="00EB2612">
        <w:rPr>
          <w:lang w:eastAsia="en-US"/>
        </w:rPr>
        <w:t xml:space="preserve">největší světové </w:t>
      </w:r>
      <w:r w:rsidR="00606322" w:rsidRPr="00EB2612">
        <w:rPr>
          <w:lang w:eastAsia="en-US"/>
        </w:rPr>
        <w:t xml:space="preserve">distribuční platformy STEAM, která nabízí herní tituly za poplatek online ke stažení. </w:t>
      </w:r>
      <w:r w:rsidR="008B32B7" w:rsidRPr="00EB2612">
        <w:rPr>
          <w:lang w:eastAsia="en-US"/>
        </w:rPr>
        <w:t>V polovině roku 2018 se na některých serverech věnujících se videohrám objevila velmi podrobná data z databáze STEAM platná k 1. červenci 2018 (Hall,</w:t>
      </w:r>
      <w:r w:rsidR="000F6FFD" w:rsidRPr="00EB2612">
        <w:rPr>
          <w:lang w:eastAsia="en-US"/>
        </w:rPr>
        <w:t xml:space="preserve"> </w:t>
      </w:r>
      <w:r w:rsidR="008B32B7" w:rsidRPr="00EB2612">
        <w:rPr>
          <w:lang w:eastAsia="en-US"/>
        </w:rPr>
        <w:t>2018)</w:t>
      </w:r>
      <w:r w:rsidR="00606322" w:rsidRPr="00EB2612">
        <w:rPr>
          <w:lang w:eastAsia="en-US"/>
        </w:rPr>
        <w:t>.</w:t>
      </w:r>
      <w:r w:rsidR="008B32B7" w:rsidRPr="00EB2612">
        <w:rPr>
          <w:lang w:eastAsia="en-US"/>
        </w:rPr>
        <w:t xml:space="preserve"> Z těchto volně dostupných dat bylo možné získat mimo jiné údaje o českých videohrách vydaných v roce 2017</w:t>
      </w:r>
      <w:r w:rsidR="00C30140" w:rsidRPr="00EB2612">
        <w:rPr>
          <w:lang w:eastAsia="en-US"/>
        </w:rPr>
        <w:t>, které</w:t>
      </w:r>
      <w:r w:rsidR="00606322" w:rsidRPr="00EB2612">
        <w:rPr>
          <w:lang w:eastAsia="en-US"/>
        </w:rPr>
        <w:t xml:space="preserve"> </w:t>
      </w:r>
      <w:r w:rsidR="008B32B7" w:rsidRPr="00EB2612">
        <w:rPr>
          <w:lang w:eastAsia="en-US"/>
        </w:rPr>
        <w:t>oslovily celosvětově více než 218 tis. hráčů.</w:t>
      </w:r>
      <w:r w:rsidR="00EE5179" w:rsidRPr="00EB2612">
        <w:rPr>
          <w:lang w:eastAsia="en-US"/>
        </w:rPr>
        <w:t xml:space="preserve"> </w:t>
      </w:r>
      <w:r w:rsidR="00EF3614" w:rsidRPr="00EB2612">
        <w:rPr>
          <w:lang w:eastAsia="en-US"/>
        </w:rPr>
        <w:t>Na základě dat</w:t>
      </w:r>
      <w:r w:rsidR="00C30140" w:rsidRPr="00EB2612">
        <w:rPr>
          <w:lang w:eastAsia="en-US"/>
        </w:rPr>
        <w:t xml:space="preserve"> z databáze STEAM</w:t>
      </w:r>
      <w:r w:rsidR="00EF3614" w:rsidRPr="00EB2612">
        <w:rPr>
          <w:lang w:eastAsia="en-US"/>
        </w:rPr>
        <w:t xml:space="preserve"> jsme </w:t>
      </w:r>
      <w:r w:rsidR="00C30140" w:rsidRPr="00EB2612">
        <w:rPr>
          <w:lang w:eastAsia="en-US"/>
        </w:rPr>
        <w:t xml:space="preserve">také </w:t>
      </w:r>
      <w:r w:rsidR="000D41C4" w:rsidRPr="00EB2612">
        <w:rPr>
          <w:lang w:eastAsia="en-US"/>
        </w:rPr>
        <w:t>vypočítali hrubý odha</w:t>
      </w:r>
      <w:r w:rsidR="00EF3614" w:rsidRPr="00EB2612">
        <w:rPr>
          <w:lang w:eastAsia="en-US"/>
        </w:rPr>
        <w:t xml:space="preserve">d celkových tržeb </w:t>
      </w:r>
      <w:r w:rsidR="000D41C4" w:rsidRPr="00EB2612">
        <w:rPr>
          <w:lang w:eastAsia="en-US"/>
        </w:rPr>
        <w:t>za hry vydané</w:t>
      </w:r>
      <w:r w:rsidR="00EF3614" w:rsidRPr="00EB2612">
        <w:rPr>
          <w:lang w:eastAsia="en-US"/>
        </w:rPr>
        <w:t xml:space="preserve"> v roce 2017</w:t>
      </w:r>
      <w:r w:rsidR="000D41C4" w:rsidRPr="00EB2612">
        <w:rPr>
          <w:lang w:eastAsia="en-US"/>
        </w:rPr>
        <w:t>,</w:t>
      </w:r>
      <w:r w:rsidR="00EF3614" w:rsidRPr="00EB2612">
        <w:rPr>
          <w:lang w:eastAsia="en-US"/>
        </w:rPr>
        <w:t xml:space="preserve"> a to vynásobením celkového počtu hráčů jednotlivých her aktuálně nejvýhodnější online cenou</w:t>
      </w:r>
      <w:r w:rsidR="00C30140" w:rsidRPr="00EB2612">
        <w:rPr>
          <w:lang w:eastAsia="en-US"/>
        </w:rPr>
        <w:t xml:space="preserve"> dané hry</w:t>
      </w:r>
      <w:r w:rsidR="00EF3614" w:rsidRPr="00EB2612">
        <w:rPr>
          <w:lang w:eastAsia="en-US"/>
        </w:rPr>
        <w:t xml:space="preserve">. Podle tohoto výpočtu můžeme odhadovat celkové tržby her vydaných v roce 2017 </w:t>
      </w:r>
      <w:r w:rsidR="004B3227">
        <w:rPr>
          <w:lang w:eastAsia="en-US"/>
        </w:rPr>
        <w:t>uvedených v databázi</w:t>
      </w:r>
      <w:r w:rsidR="00EF3614" w:rsidRPr="00EB2612">
        <w:rPr>
          <w:lang w:eastAsia="en-US"/>
        </w:rPr>
        <w:t xml:space="preserve"> STEAM na 109 mil. Kč.</w:t>
      </w:r>
    </w:p>
    <w:p w:rsidR="00755F49" w:rsidRPr="00EB2612" w:rsidRDefault="003731DD" w:rsidP="00755F49">
      <w:pPr>
        <w:pStyle w:val="Titulek"/>
        <w:keepNext/>
        <w:rPr>
          <w:b w:val="0"/>
          <w:color w:val="auto"/>
          <w:sz w:val="22"/>
          <w:szCs w:val="22"/>
        </w:rPr>
      </w:pPr>
      <w:bookmarkStart w:id="135" w:name="_Toc430189817"/>
      <w:r w:rsidRPr="00EB2612">
        <w:rPr>
          <w:color w:val="auto"/>
          <w:sz w:val="22"/>
          <w:szCs w:val="22"/>
        </w:rPr>
        <w:t xml:space="preserve">Tabulka </w:t>
      </w:r>
      <w:r w:rsidR="001918B2" w:rsidRPr="00EB2612">
        <w:rPr>
          <w:color w:val="auto"/>
          <w:sz w:val="22"/>
          <w:szCs w:val="22"/>
        </w:rPr>
        <w:t>10</w:t>
      </w:r>
      <w:r w:rsidRPr="00EB2612">
        <w:rPr>
          <w:color w:val="auto"/>
          <w:sz w:val="22"/>
          <w:szCs w:val="22"/>
        </w:rPr>
        <w:t xml:space="preserve"> </w:t>
      </w:r>
      <w:r w:rsidRPr="00EB2612">
        <w:rPr>
          <w:b w:val="0"/>
          <w:color w:val="auto"/>
          <w:sz w:val="22"/>
          <w:szCs w:val="22"/>
        </w:rPr>
        <w:t xml:space="preserve">Vybrané ukazatele z herní databáze STEAM </w:t>
      </w:r>
      <w:r w:rsidR="00755F49" w:rsidRPr="00EB2612">
        <w:rPr>
          <w:b w:val="0"/>
          <w:color w:val="auto"/>
          <w:sz w:val="22"/>
          <w:szCs w:val="22"/>
        </w:rPr>
        <w:t>k </w:t>
      </w:r>
      <w:r w:rsidR="001132C6" w:rsidRPr="00EB2612">
        <w:rPr>
          <w:b w:val="0"/>
          <w:color w:val="auto"/>
          <w:sz w:val="22"/>
          <w:szCs w:val="22"/>
        </w:rPr>
        <w:t>1. 7. 2018</w:t>
      </w:r>
      <w:r w:rsidR="008B32B7" w:rsidRPr="00EB2612">
        <w:rPr>
          <w:b w:val="0"/>
          <w:color w:val="auto"/>
          <w:sz w:val="22"/>
          <w:szCs w:val="22"/>
        </w:rPr>
        <w:t xml:space="preserve"> (pouze hry </w:t>
      </w:r>
      <w:r w:rsidR="001132C6" w:rsidRPr="00EB2612">
        <w:rPr>
          <w:b w:val="0"/>
          <w:color w:val="auto"/>
          <w:sz w:val="22"/>
          <w:szCs w:val="22"/>
        </w:rPr>
        <w:t>vydané</w:t>
      </w:r>
      <w:r w:rsidR="008B32B7" w:rsidRPr="00EB2612">
        <w:rPr>
          <w:b w:val="0"/>
          <w:color w:val="auto"/>
          <w:sz w:val="22"/>
          <w:szCs w:val="22"/>
        </w:rPr>
        <w:t xml:space="preserve"> v roce 2017)</w:t>
      </w:r>
    </w:p>
    <w:tbl>
      <w:tblPr>
        <w:tblW w:w="7513" w:type="dxa"/>
        <w:tblCellMar>
          <w:left w:w="70" w:type="dxa"/>
          <w:right w:w="70" w:type="dxa"/>
        </w:tblCellMar>
        <w:tblLook w:val="04A0"/>
      </w:tblPr>
      <w:tblGrid>
        <w:gridCol w:w="3356"/>
        <w:gridCol w:w="4157"/>
      </w:tblGrid>
      <w:tr w:rsidR="00B42372" w:rsidRPr="00EB2612" w:rsidTr="000E077B">
        <w:trPr>
          <w:trHeight w:val="300"/>
        </w:trPr>
        <w:tc>
          <w:tcPr>
            <w:tcW w:w="7513" w:type="dxa"/>
            <w:gridSpan w:val="2"/>
            <w:tcBorders>
              <w:top w:val="single" w:sz="12" w:space="0" w:color="auto"/>
              <w:left w:val="nil"/>
              <w:bottom w:val="single" w:sz="12" w:space="0" w:color="auto"/>
              <w:right w:val="nil"/>
            </w:tcBorders>
            <w:shd w:val="clear" w:color="auto" w:fill="F2DBDB" w:themeFill="accent2" w:themeFillTint="33"/>
            <w:noWrap/>
            <w:vAlign w:val="center"/>
            <w:hideMark/>
          </w:tcPr>
          <w:p w:rsidR="00B42372" w:rsidRPr="00EB2612" w:rsidRDefault="00B42372" w:rsidP="00B42372">
            <w:pPr>
              <w:spacing w:after="0" w:line="240" w:lineRule="auto"/>
              <w:jc w:val="center"/>
              <w:rPr>
                <w:rFonts w:asciiTheme="minorHAnsi" w:hAnsiTheme="minorHAnsi" w:cs="Arial"/>
                <w:color w:val="000000"/>
                <w:szCs w:val="20"/>
              </w:rPr>
            </w:pPr>
            <w:r w:rsidRPr="00EB2612">
              <w:rPr>
                <w:rFonts w:asciiTheme="minorHAnsi" w:hAnsiTheme="minorHAnsi" w:cs="Arial"/>
                <w:color w:val="000000"/>
                <w:szCs w:val="20"/>
              </w:rPr>
              <w:t>Údaje o českých hrách</w:t>
            </w:r>
            <w:r w:rsidR="008B32B7" w:rsidRPr="00EB2612">
              <w:rPr>
                <w:rFonts w:asciiTheme="minorHAnsi" w:hAnsiTheme="minorHAnsi" w:cs="Arial"/>
                <w:color w:val="000000"/>
                <w:szCs w:val="20"/>
              </w:rPr>
              <w:t xml:space="preserve"> vydaných v roce 2017</w:t>
            </w:r>
            <w:r w:rsidRPr="00EB2612">
              <w:rPr>
                <w:rFonts w:asciiTheme="minorHAnsi" w:hAnsiTheme="minorHAnsi" w:cs="Arial"/>
                <w:color w:val="000000"/>
                <w:szCs w:val="20"/>
              </w:rPr>
              <w:t xml:space="preserve"> dostupných v databázi STEAM</w:t>
            </w:r>
          </w:p>
        </w:tc>
      </w:tr>
      <w:tr w:rsidR="00755F49" w:rsidRPr="00EB2612" w:rsidTr="00E96DF9">
        <w:trPr>
          <w:trHeight w:val="300"/>
        </w:trPr>
        <w:tc>
          <w:tcPr>
            <w:tcW w:w="3356" w:type="dxa"/>
            <w:tcBorders>
              <w:top w:val="single" w:sz="12" w:space="0" w:color="auto"/>
              <w:left w:val="nil"/>
              <w:bottom w:val="nil"/>
              <w:right w:val="nil"/>
            </w:tcBorders>
            <w:shd w:val="clear" w:color="auto" w:fill="auto"/>
            <w:noWrap/>
            <w:vAlign w:val="bottom"/>
            <w:hideMark/>
          </w:tcPr>
          <w:p w:rsidR="00755F49" w:rsidRPr="00EB2612" w:rsidRDefault="00755F49" w:rsidP="00755F49">
            <w:pPr>
              <w:spacing w:after="0"/>
              <w:jc w:val="left"/>
              <w:rPr>
                <w:rFonts w:ascii="Calibri" w:hAnsi="Calibri"/>
                <w:color w:val="000000"/>
                <w:szCs w:val="20"/>
              </w:rPr>
            </w:pPr>
            <w:r w:rsidRPr="00EB2612">
              <w:rPr>
                <w:rFonts w:ascii="Calibri" w:hAnsi="Calibri"/>
                <w:color w:val="000000"/>
                <w:szCs w:val="20"/>
              </w:rPr>
              <w:t>Počet her</w:t>
            </w:r>
          </w:p>
        </w:tc>
        <w:tc>
          <w:tcPr>
            <w:tcW w:w="4157" w:type="dxa"/>
            <w:tcBorders>
              <w:top w:val="single" w:sz="12" w:space="0" w:color="auto"/>
              <w:left w:val="nil"/>
              <w:bottom w:val="nil"/>
              <w:right w:val="nil"/>
            </w:tcBorders>
            <w:shd w:val="clear" w:color="auto" w:fill="auto"/>
            <w:noWrap/>
            <w:vAlign w:val="bottom"/>
            <w:hideMark/>
          </w:tcPr>
          <w:p w:rsidR="00755F49" w:rsidRPr="00EB2612" w:rsidRDefault="00755F49" w:rsidP="00755F49">
            <w:pPr>
              <w:spacing w:after="0"/>
              <w:jc w:val="right"/>
              <w:rPr>
                <w:rFonts w:ascii="Calibri" w:hAnsi="Calibri"/>
                <w:color w:val="000000"/>
                <w:szCs w:val="20"/>
              </w:rPr>
            </w:pPr>
            <w:r w:rsidRPr="00EB2612">
              <w:rPr>
                <w:rFonts w:ascii="Calibri" w:hAnsi="Calibri"/>
                <w:color w:val="000000"/>
                <w:szCs w:val="20"/>
              </w:rPr>
              <w:t>15</w:t>
            </w:r>
          </w:p>
        </w:tc>
      </w:tr>
      <w:tr w:rsidR="00755F49" w:rsidRPr="00EB2612" w:rsidTr="00E96DF9">
        <w:trPr>
          <w:trHeight w:val="300"/>
        </w:trPr>
        <w:tc>
          <w:tcPr>
            <w:tcW w:w="3356" w:type="dxa"/>
            <w:tcBorders>
              <w:top w:val="nil"/>
              <w:left w:val="nil"/>
              <w:bottom w:val="nil"/>
              <w:right w:val="nil"/>
            </w:tcBorders>
            <w:shd w:val="clear" w:color="auto" w:fill="auto"/>
            <w:noWrap/>
            <w:vAlign w:val="bottom"/>
            <w:hideMark/>
          </w:tcPr>
          <w:p w:rsidR="00755F49" w:rsidRPr="00EB2612" w:rsidRDefault="00755F49" w:rsidP="00755F49">
            <w:pPr>
              <w:spacing w:after="0"/>
              <w:jc w:val="left"/>
              <w:rPr>
                <w:rFonts w:ascii="Calibri" w:hAnsi="Calibri"/>
                <w:color w:val="000000"/>
                <w:szCs w:val="20"/>
              </w:rPr>
            </w:pPr>
            <w:r w:rsidRPr="00EB2612">
              <w:rPr>
                <w:rFonts w:ascii="Calibri" w:hAnsi="Calibri"/>
                <w:color w:val="000000"/>
                <w:szCs w:val="20"/>
              </w:rPr>
              <w:t>Počet hráčů v tis.</w:t>
            </w:r>
          </w:p>
        </w:tc>
        <w:tc>
          <w:tcPr>
            <w:tcW w:w="4157" w:type="dxa"/>
            <w:tcBorders>
              <w:top w:val="nil"/>
              <w:left w:val="nil"/>
              <w:bottom w:val="nil"/>
              <w:right w:val="nil"/>
            </w:tcBorders>
            <w:shd w:val="clear" w:color="auto" w:fill="auto"/>
            <w:noWrap/>
            <w:vAlign w:val="bottom"/>
            <w:hideMark/>
          </w:tcPr>
          <w:p w:rsidR="00755F49" w:rsidRPr="00EB2612" w:rsidRDefault="00755F49" w:rsidP="00755F49">
            <w:pPr>
              <w:spacing w:after="0"/>
              <w:jc w:val="right"/>
              <w:rPr>
                <w:rFonts w:ascii="Calibri" w:hAnsi="Calibri"/>
                <w:color w:val="000000"/>
                <w:szCs w:val="20"/>
              </w:rPr>
            </w:pPr>
            <w:r w:rsidRPr="00EB2612">
              <w:rPr>
                <w:rFonts w:ascii="Calibri" w:hAnsi="Calibri"/>
                <w:color w:val="000000"/>
                <w:szCs w:val="20"/>
              </w:rPr>
              <w:t>218,4</w:t>
            </w:r>
          </w:p>
        </w:tc>
      </w:tr>
      <w:tr w:rsidR="00755F49" w:rsidRPr="00EB2612" w:rsidTr="00E96DF9">
        <w:trPr>
          <w:trHeight w:val="300"/>
        </w:trPr>
        <w:tc>
          <w:tcPr>
            <w:tcW w:w="3356" w:type="dxa"/>
            <w:tcBorders>
              <w:top w:val="nil"/>
              <w:left w:val="nil"/>
              <w:bottom w:val="nil"/>
              <w:right w:val="nil"/>
            </w:tcBorders>
            <w:shd w:val="clear" w:color="auto" w:fill="auto"/>
            <w:noWrap/>
            <w:vAlign w:val="bottom"/>
            <w:hideMark/>
          </w:tcPr>
          <w:p w:rsidR="00755F49" w:rsidRPr="00EB2612" w:rsidRDefault="00755F49" w:rsidP="00755F49">
            <w:pPr>
              <w:spacing w:after="0"/>
              <w:jc w:val="left"/>
              <w:rPr>
                <w:rFonts w:ascii="Calibri" w:hAnsi="Calibri"/>
                <w:color w:val="000000"/>
                <w:szCs w:val="20"/>
              </w:rPr>
            </w:pPr>
            <w:r w:rsidRPr="00EB2612">
              <w:rPr>
                <w:rFonts w:ascii="Calibri" w:hAnsi="Calibri"/>
                <w:color w:val="000000"/>
                <w:szCs w:val="20"/>
              </w:rPr>
              <w:t>Nejvíce hráčů jedné hry v tis.</w:t>
            </w:r>
          </w:p>
        </w:tc>
        <w:tc>
          <w:tcPr>
            <w:tcW w:w="4157" w:type="dxa"/>
            <w:tcBorders>
              <w:top w:val="nil"/>
              <w:left w:val="nil"/>
              <w:bottom w:val="nil"/>
              <w:right w:val="nil"/>
            </w:tcBorders>
            <w:shd w:val="clear" w:color="auto" w:fill="auto"/>
            <w:noWrap/>
            <w:vAlign w:val="bottom"/>
            <w:hideMark/>
          </w:tcPr>
          <w:p w:rsidR="00755F49" w:rsidRPr="00EB2612" w:rsidRDefault="00755F49" w:rsidP="00755F49">
            <w:pPr>
              <w:spacing w:after="0"/>
              <w:jc w:val="right"/>
              <w:rPr>
                <w:rFonts w:ascii="Calibri" w:hAnsi="Calibri"/>
                <w:color w:val="000000"/>
                <w:szCs w:val="20"/>
              </w:rPr>
            </w:pPr>
            <w:r w:rsidRPr="00EB2612">
              <w:rPr>
                <w:rFonts w:ascii="Calibri" w:hAnsi="Calibri"/>
                <w:color w:val="000000"/>
                <w:szCs w:val="20"/>
              </w:rPr>
              <w:t>87,2</w:t>
            </w:r>
          </w:p>
        </w:tc>
      </w:tr>
      <w:tr w:rsidR="00755F49" w:rsidRPr="00EB2612" w:rsidTr="00E96DF9">
        <w:trPr>
          <w:trHeight w:val="300"/>
        </w:trPr>
        <w:tc>
          <w:tcPr>
            <w:tcW w:w="3356" w:type="dxa"/>
            <w:tcBorders>
              <w:top w:val="nil"/>
              <w:left w:val="nil"/>
              <w:right w:val="nil"/>
            </w:tcBorders>
            <w:shd w:val="clear" w:color="auto" w:fill="auto"/>
            <w:noWrap/>
            <w:vAlign w:val="bottom"/>
            <w:hideMark/>
          </w:tcPr>
          <w:p w:rsidR="00755F49" w:rsidRPr="00EB2612" w:rsidRDefault="00755F49" w:rsidP="00755F49">
            <w:pPr>
              <w:spacing w:after="0"/>
              <w:jc w:val="left"/>
              <w:rPr>
                <w:rFonts w:ascii="Calibri" w:hAnsi="Calibri"/>
                <w:color w:val="000000"/>
                <w:szCs w:val="20"/>
              </w:rPr>
            </w:pPr>
            <w:r w:rsidRPr="00EB2612">
              <w:rPr>
                <w:rFonts w:ascii="Calibri" w:hAnsi="Calibri"/>
                <w:color w:val="000000"/>
                <w:szCs w:val="20"/>
              </w:rPr>
              <w:t>Odhad tržeb v mil. Kč</w:t>
            </w:r>
          </w:p>
        </w:tc>
        <w:tc>
          <w:tcPr>
            <w:tcW w:w="4157" w:type="dxa"/>
            <w:tcBorders>
              <w:top w:val="nil"/>
              <w:left w:val="nil"/>
              <w:right w:val="nil"/>
            </w:tcBorders>
            <w:shd w:val="clear" w:color="auto" w:fill="auto"/>
            <w:noWrap/>
            <w:vAlign w:val="bottom"/>
            <w:hideMark/>
          </w:tcPr>
          <w:p w:rsidR="00755F49" w:rsidRPr="00EB2612" w:rsidRDefault="00755F49" w:rsidP="00755F49">
            <w:pPr>
              <w:spacing w:after="0"/>
              <w:jc w:val="right"/>
              <w:rPr>
                <w:rFonts w:ascii="Calibri" w:hAnsi="Calibri"/>
                <w:color w:val="000000"/>
                <w:szCs w:val="20"/>
              </w:rPr>
            </w:pPr>
            <w:r w:rsidRPr="00EB2612">
              <w:rPr>
                <w:rFonts w:ascii="Calibri" w:hAnsi="Calibri"/>
                <w:color w:val="000000"/>
                <w:szCs w:val="20"/>
              </w:rPr>
              <w:t>109,3</w:t>
            </w:r>
          </w:p>
        </w:tc>
      </w:tr>
      <w:tr w:rsidR="00755F49" w:rsidRPr="00EB2612" w:rsidTr="00E96DF9">
        <w:trPr>
          <w:trHeight w:val="300"/>
        </w:trPr>
        <w:tc>
          <w:tcPr>
            <w:tcW w:w="3356" w:type="dxa"/>
            <w:tcBorders>
              <w:top w:val="nil"/>
              <w:left w:val="nil"/>
              <w:bottom w:val="single" w:sz="12" w:space="0" w:color="auto"/>
              <w:right w:val="nil"/>
            </w:tcBorders>
            <w:shd w:val="clear" w:color="auto" w:fill="auto"/>
            <w:noWrap/>
            <w:vAlign w:val="bottom"/>
            <w:hideMark/>
          </w:tcPr>
          <w:p w:rsidR="00755F49" w:rsidRPr="00EB2612" w:rsidRDefault="00755F49" w:rsidP="00755F49">
            <w:pPr>
              <w:spacing w:after="0"/>
              <w:jc w:val="left"/>
              <w:rPr>
                <w:rFonts w:ascii="Calibri" w:hAnsi="Calibri"/>
                <w:color w:val="000000"/>
                <w:szCs w:val="20"/>
              </w:rPr>
            </w:pPr>
            <w:r w:rsidRPr="00EB2612">
              <w:rPr>
                <w:rFonts w:ascii="Calibri" w:hAnsi="Calibri"/>
                <w:color w:val="000000"/>
                <w:szCs w:val="20"/>
              </w:rPr>
              <w:t>Nejvyšší tržby za jednu hru</w:t>
            </w:r>
            <w:r w:rsidR="000D41C4" w:rsidRPr="00EB2612">
              <w:rPr>
                <w:rFonts w:ascii="Calibri" w:hAnsi="Calibri"/>
                <w:color w:val="000000"/>
                <w:szCs w:val="20"/>
              </w:rPr>
              <w:t xml:space="preserve"> v Kč</w:t>
            </w:r>
          </w:p>
        </w:tc>
        <w:tc>
          <w:tcPr>
            <w:tcW w:w="4157" w:type="dxa"/>
            <w:tcBorders>
              <w:top w:val="nil"/>
              <w:left w:val="nil"/>
              <w:bottom w:val="single" w:sz="12" w:space="0" w:color="auto"/>
              <w:right w:val="nil"/>
            </w:tcBorders>
            <w:shd w:val="clear" w:color="auto" w:fill="auto"/>
            <w:noWrap/>
            <w:vAlign w:val="bottom"/>
            <w:hideMark/>
          </w:tcPr>
          <w:p w:rsidR="00755F49" w:rsidRPr="00EB2612" w:rsidRDefault="00755F49" w:rsidP="00755F49">
            <w:pPr>
              <w:spacing w:after="0"/>
              <w:jc w:val="right"/>
              <w:rPr>
                <w:rFonts w:ascii="Calibri" w:hAnsi="Calibri"/>
                <w:color w:val="000000"/>
                <w:szCs w:val="20"/>
              </w:rPr>
            </w:pPr>
            <w:r w:rsidRPr="00EB2612">
              <w:rPr>
                <w:rFonts w:ascii="Calibri" w:hAnsi="Calibri"/>
                <w:color w:val="000000"/>
                <w:szCs w:val="20"/>
              </w:rPr>
              <w:t>56,3</w:t>
            </w:r>
          </w:p>
        </w:tc>
      </w:tr>
    </w:tbl>
    <w:p w:rsidR="00993F83" w:rsidRPr="00EB2612" w:rsidRDefault="003731DD" w:rsidP="003731DD">
      <w:pPr>
        <w:spacing w:before="120"/>
        <w:rPr>
          <w:rFonts w:asciiTheme="minorHAnsi" w:hAnsiTheme="minorHAnsi"/>
          <w:sz w:val="22"/>
          <w:szCs w:val="22"/>
        </w:rPr>
      </w:pPr>
      <w:r w:rsidRPr="00EB2612">
        <w:rPr>
          <w:rFonts w:asciiTheme="minorHAnsi" w:hAnsiTheme="minorHAnsi"/>
          <w:sz w:val="22"/>
          <w:szCs w:val="22"/>
        </w:rPr>
        <w:t xml:space="preserve">Zdroj: </w:t>
      </w:r>
      <w:proofErr w:type="spellStart"/>
      <w:r w:rsidR="004B3227">
        <w:rPr>
          <w:rFonts w:asciiTheme="minorHAnsi" w:hAnsiTheme="minorHAnsi"/>
          <w:sz w:val="22"/>
          <w:szCs w:val="22"/>
        </w:rPr>
        <w:t>datbáze</w:t>
      </w:r>
      <w:proofErr w:type="spellEnd"/>
      <w:r w:rsidR="004B3227">
        <w:rPr>
          <w:rFonts w:asciiTheme="minorHAnsi" w:hAnsiTheme="minorHAnsi"/>
          <w:sz w:val="22"/>
          <w:szCs w:val="22"/>
        </w:rPr>
        <w:t xml:space="preserve"> STEAM a </w:t>
      </w:r>
      <w:r w:rsidR="00755F49" w:rsidRPr="00EB2612">
        <w:rPr>
          <w:rFonts w:asciiTheme="minorHAnsi" w:hAnsiTheme="minorHAnsi"/>
          <w:sz w:val="22"/>
          <w:szCs w:val="22"/>
        </w:rPr>
        <w:t>vlastní výpočet</w:t>
      </w:r>
    </w:p>
    <w:p w:rsidR="00AD20E8" w:rsidRPr="00EB2612" w:rsidRDefault="00B93823" w:rsidP="005717CE">
      <w:r w:rsidRPr="00EB2612">
        <w:t xml:space="preserve">Také hraním </w:t>
      </w:r>
      <w:r w:rsidR="004B3227">
        <w:t xml:space="preserve">počítačových </w:t>
      </w:r>
      <w:r w:rsidRPr="00EB2612">
        <w:t>her trávili lidé čas během jarních měsíců roku 2020 spojených s pandemií COVID-19 a omezením voln</w:t>
      </w:r>
      <w:r w:rsidR="001760CA" w:rsidRPr="00EB2612">
        <w:t>ého pohybu</w:t>
      </w:r>
      <w:r w:rsidR="005717CE">
        <w:t xml:space="preserve"> osob</w:t>
      </w:r>
      <w:r w:rsidR="001760CA" w:rsidRPr="00EB2612">
        <w:t>. Podle dat</w:t>
      </w:r>
      <w:r w:rsidRPr="00EB2612">
        <w:t xml:space="preserve"> </w:t>
      </w:r>
      <w:r w:rsidR="001760CA" w:rsidRPr="00EB2612">
        <w:t xml:space="preserve">evropské společnosti </w:t>
      </w:r>
      <w:proofErr w:type="spellStart"/>
      <w:r w:rsidR="001760CA" w:rsidRPr="00EB2612">
        <w:t>Interactive</w:t>
      </w:r>
      <w:proofErr w:type="spellEnd"/>
      <w:r w:rsidR="001760CA" w:rsidRPr="00EB2612">
        <w:t xml:space="preserve"> Software </w:t>
      </w:r>
      <w:proofErr w:type="spellStart"/>
      <w:r w:rsidR="001760CA" w:rsidRPr="00EB2612">
        <w:lastRenderedPageBreak/>
        <w:t>Federation</w:t>
      </w:r>
      <w:proofErr w:type="spellEnd"/>
      <w:r w:rsidR="001760CA" w:rsidRPr="00EB2612">
        <w:t xml:space="preserve"> </w:t>
      </w:r>
      <w:proofErr w:type="spellStart"/>
      <w:r w:rsidR="001760CA" w:rsidRPr="00EB2612">
        <w:t>of</w:t>
      </w:r>
      <w:proofErr w:type="spellEnd"/>
      <w:r w:rsidR="001760CA" w:rsidRPr="00EB2612">
        <w:t xml:space="preserve"> </w:t>
      </w:r>
      <w:proofErr w:type="spellStart"/>
      <w:r w:rsidR="001760CA" w:rsidRPr="00EB2612">
        <w:t>Europe</w:t>
      </w:r>
      <w:proofErr w:type="spellEnd"/>
      <w:r w:rsidR="001760CA" w:rsidRPr="00EB2612">
        <w:t xml:space="preserve"> vzrostl </w:t>
      </w:r>
      <w:r w:rsidR="00D74697">
        <w:t xml:space="preserve">průměrný </w:t>
      </w:r>
      <w:r w:rsidR="001760CA" w:rsidRPr="00EB2612">
        <w:t xml:space="preserve">čas </w:t>
      </w:r>
      <w:r w:rsidR="00D74697">
        <w:t xml:space="preserve">osob používajících internet </w:t>
      </w:r>
      <w:r w:rsidR="001760CA" w:rsidRPr="00EB2612">
        <w:t>trávený hraním videoher ve druhém čtvrtletí roku 2020 oproti stejnému období předchozího roku přibližně o 1,5 hodiny. Údaje pocházejí z online  šetření GameTrack, kterého se účastní respondenti ve věku 11 až 64 let ze Spojeného králo</w:t>
      </w:r>
      <w:r w:rsidR="00067FD5" w:rsidRPr="00EB2612">
        <w:t>v</w:t>
      </w:r>
      <w:r w:rsidR="001760CA" w:rsidRPr="00EB2612">
        <w:t>ství, Francie, Německa, Španělska a Itálie. Z šetření také vyplývá že, během jarních měs</w:t>
      </w:r>
      <w:r w:rsidR="00067FD5" w:rsidRPr="00EB2612">
        <w:t>íců přiby</w:t>
      </w:r>
      <w:r w:rsidR="001760CA" w:rsidRPr="00EB2612">
        <w:t>lo v rámci hraní</w:t>
      </w:r>
      <w:r w:rsidR="00067FD5" w:rsidRPr="00EB2612">
        <w:t xml:space="preserve"> videoher</w:t>
      </w:r>
      <w:r w:rsidR="001760CA" w:rsidRPr="00EB2612">
        <w:t xml:space="preserve"> interakce s ostatními hráči </w:t>
      </w:r>
      <w:r w:rsidR="006F2AE7" w:rsidRPr="00EB2612">
        <w:rPr>
          <w:lang w:eastAsia="en-US"/>
        </w:rPr>
        <w:t>–</w:t>
      </w:r>
      <w:r w:rsidR="001760CA" w:rsidRPr="00EB2612">
        <w:t xml:space="preserve"> </w:t>
      </w:r>
      <w:r w:rsidR="00067FD5" w:rsidRPr="00EB2612">
        <w:t xml:space="preserve">každý pátý hráč trávil více času hraním her s rodinou či </w:t>
      </w:r>
      <w:r w:rsidR="003F593B" w:rsidRPr="00EB2612">
        <w:t>přáteli</w:t>
      </w:r>
      <w:r w:rsidR="00067FD5" w:rsidRPr="00EB2612">
        <w:t xml:space="preserve"> a </w:t>
      </w:r>
      <w:r w:rsidR="001760CA" w:rsidRPr="00EB2612">
        <w:t xml:space="preserve">přibližně každý </w:t>
      </w:r>
      <w:r w:rsidR="003F593B" w:rsidRPr="00EB2612">
        <w:t>pátý</w:t>
      </w:r>
      <w:r w:rsidR="001760CA" w:rsidRPr="00EB2612">
        <w:t xml:space="preserve"> rodič strávil během období pandemie více času hraním videoher se svými dětmi</w:t>
      </w:r>
      <w:r w:rsidR="00067FD5" w:rsidRPr="00EB2612">
        <w:t xml:space="preserve"> (ISFE, 2020).</w:t>
      </w:r>
    </w:p>
    <w:p w:rsidR="00067FD5" w:rsidRPr="00EB2612" w:rsidRDefault="00067FD5" w:rsidP="00067FD5">
      <w:pPr>
        <w:pStyle w:val="Titulek"/>
        <w:keepNext/>
        <w:jc w:val="left"/>
        <w:rPr>
          <w:b w:val="0"/>
          <w:color w:val="auto"/>
          <w:sz w:val="22"/>
          <w:szCs w:val="22"/>
        </w:rPr>
      </w:pPr>
      <w:r w:rsidRPr="00EB2612">
        <w:rPr>
          <w:color w:val="auto"/>
          <w:sz w:val="22"/>
          <w:szCs w:val="22"/>
        </w:rPr>
        <w:t xml:space="preserve">Graf </w:t>
      </w:r>
      <w:r w:rsidR="00270851">
        <w:rPr>
          <w:color w:val="auto"/>
          <w:sz w:val="22"/>
          <w:szCs w:val="22"/>
        </w:rPr>
        <w:t>6</w:t>
      </w:r>
      <w:r w:rsidR="00FA118E">
        <w:rPr>
          <w:color w:val="auto"/>
          <w:sz w:val="22"/>
          <w:szCs w:val="22"/>
        </w:rPr>
        <w:t>8</w:t>
      </w:r>
      <w:r w:rsidRPr="00EB2612">
        <w:rPr>
          <w:b w:val="0"/>
          <w:color w:val="auto"/>
          <w:sz w:val="22"/>
          <w:szCs w:val="22"/>
        </w:rPr>
        <w:t xml:space="preserve"> </w:t>
      </w:r>
      <w:r w:rsidR="00D74697">
        <w:rPr>
          <w:b w:val="0"/>
          <w:color w:val="auto"/>
          <w:sz w:val="22"/>
          <w:szCs w:val="22"/>
        </w:rPr>
        <w:t>Průměrný č</w:t>
      </w:r>
      <w:r w:rsidRPr="00EB2612">
        <w:rPr>
          <w:b w:val="0"/>
          <w:color w:val="auto"/>
          <w:sz w:val="22"/>
          <w:szCs w:val="22"/>
        </w:rPr>
        <w:t>as strávený hraním videoher hráči ve věku 11 až 64 let na libovolné platformě</w:t>
      </w:r>
      <w:r w:rsidR="00270851">
        <w:rPr>
          <w:b w:val="0"/>
          <w:color w:val="auto"/>
          <w:sz w:val="22"/>
          <w:szCs w:val="22"/>
        </w:rPr>
        <w:t xml:space="preserve"> (pouze osoby používající internet)</w:t>
      </w:r>
    </w:p>
    <w:p w:rsidR="00704803" w:rsidRPr="00EB2612" w:rsidRDefault="00AD20E8" w:rsidP="00AD20E8">
      <w:pPr>
        <w:spacing w:after="0" w:line="240" w:lineRule="auto"/>
        <w:jc w:val="center"/>
        <w:rPr>
          <w:rFonts w:asciiTheme="minorHAnsi" w:hAnsiTheme="minorHAnsi"/>
          <w:sz w:val="22"/>
          <w:szCs w:val="22"/>
        </w:rPr>
      </w:pPr>
      <w:r w:rsidRPr="00EB2612">
        <w:rPr>
          <w:rFonts w:asciiTheme="minorHAnsi" w:hAnsiTheme="minorHAnsi"/>
          <w:noProof/>
          <w:sz w:val="22"/>
          <w:szCs w:val="22"/>
        </w:rPr>
        <w:drawing>
          <wp:inline distT="0" distB="0" distL="0" distR="0">
            <wp:extent cx="4991100" cy="2371725"/>
            <wp:effectExtent l="0" t="0" r="0" b="0"/>
            <wp:docPr id="118"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067FD5" w:rsidRPr="00EB2612" w:rsidRDefault="00067FD5" w:rsidP="00067FD5">
      <w:pPr>
        <w:spacing w:after="0" w:line="240" w:lineRule="auto"/>
        <w:jc w:val="left"/>
        <w:rPr>
          <w:rFonts w:asciiTheme="minorHAnsi" w:hAnsiTheme="minorHAnsi"/>
          <w:sz w:val="22"/>
          <w:szCs w:val="22"/>
        </w:rPr>
      </w:pPr>
      <w:r w:rsidRPr="00EB2612">
        <w:rPr>
          <w:rFonts w:asciiTheme="minorHAnsi" w:hAnsiTheme="minorHAnsi"/>
          <w:sz w:val="22"/>
          <w:szCs w:val="22"/>
        </w:rPr>
        <w:t>Zdroj: Interactive Software Federation of Europe</w:t>
      </w:r>
    </w:p>
    <w:p w:rsidR="00067FD5" w:rsidRPr="00EB2612" w:rsidRDefault="00067FD5">
      <w:pPr>
        <w:spacing w:after="0" w:line="240" w:lineRule="auto"/>
        <w:jc w:val="left"/>
        <w:rPr>
          <w:rFonts w:asciiTheme="minorHAnsi" w:hAnsiTheme="minorHAnsi"/>
          <w:sz w:val="22"/>
          <w:szCs w:val="22"/>
        </w:rPr>
      </w:pPr>
      <w:r w:rsidRPr="00EB2612">
        <w:rPr>
          <w:rFonts w:asciiTheme="minorHAnsi" w:hAnsiTheme="minorHAnsi"/>
          <w:sz w:val="22"/>
          <w:szCs w:val="22"/>
        </w:rPr>
        <w:br w:type="page"/>
      </w:r>
    </w:p>
    <w:p w:rsidR="00067FD5" w:rsidRPr="00EB2612" w:rsidRDefault="00067FD5" w:rsidP="00067FD5">
      <w:pPr>
        <w:spacing w:after="0" w:line="240" w:lineRule="auto"/>
        <w:jc w:val="left"/>
        <w:rPr>
          <w:rFonts w:asciiTheme="minorHAnsi" w:hAnsiTheme="minorHAnsi"/>
          <w:sz w:val="22"/>
          <w:szCs w:val="22"/>
        </w:rPr>
      </w:pPr>
    </w:p>
    <w:p w:rsidR="00BB64DB" w:rsidRPr="00EB2612" w:rsidRDefault="00BB64DB" w:rsidP="00641938">
      <w:pPr>
        <w:pStyle w:val="Nadpis1"/>
      </w:pPr>
      <w:bookmarkStart w:id="136" w:name="_Toc55384448"/>
      <w:r w:rsidRPr="00EB2612">
        <w:t>ZÁVĚR</w:t>
      </w:r>
      <w:bookmarkEnd w:id="135"/>
      <w:bookmarkEnd w:id="136"/>
    </w:p>
    <w:p w:rsidR="00BB64DB" w:rsidRPr="00EB2612" w:rsidRDefault="00BB64DB" w:rsidP="00BB64DB">
      <w:r w:rsidRPr="00EB2612">
        <w:t>V této publi</w:t>
      </w:r>
      <w:r w:rsidR="00430E4E" w:rsidRPr="00EB2612">
        <w:t>kaci byly jednotlivě rozebrány</w:t>
      </w:r>
      <w:r w:rsidRPr="00EB2612">
        <w:t xml:space="preserve"> oblasti kulturního průmyslu </w:t>
      </w:r>
      <w:r w:rsidR="00D448C3" w:rsidRPr="00EB2612">
        <w:t>–</w:t>
      </w:r>
      <w:r w:rsidRPr="00EB2612">
        <w:t xml:space="preserve"> </w:t>
      </w:r>
      <w:r w:rsidR="001C378C" w:rsidRPr="00EB2612">
        <w:t>knihy a tisk, film, h</w:t>
      </w:r>
      <w:r w:rsidRPr="00EB2612">
        <w:t xml:space="preserve">udba, </w:t>
      </w:r>
      <w:r w:rsidR="006F2AE7">
        <w:t>rádio</w:t>
      </w:r>
      <w:r w:rsidR="001C378C" w:rsidRPr="00EB2612">
        <w:t>,</w:t>
      </w:r>
      <w:r w:rsidR="006F2AE7">
        <w:t xml:space="preserve"> televize a videohry</w:t>
      </w:r>
      <w:r w:rsidR="00D448C3" w:rsidRPr="00EB2612">
        <w:t xml:space="preserve"> –</w:t>
      </w:r>
      <w:r w:rsidRPr="00EB2612">
        <w:t xml:space="preserve"> a to zejména z hlediska výkonnostních ukazatelů a pohledu</w:t>
      </w:r>
      <w:r w:rsidR="00F40373" w:rsidRPr="00EB2612">
        <w:t xml:space="preserve"> spotřebitele. Údaje </w:t>
      </w:r>
      <w:r w:rsidR="003F4B35" w:rsidRPr="00EB2612">
        <w:t xml:space="preserve">vycházejí především </w:t>
      </w:r>
      <w:r w:rsidR="001C378C" w:rsidRPr="00EB2612">
        <w:t>z </w:t>
      </w:r>
      <w:r w:rsidRPr="00EB2612">
        <w:t>šetření ČSÚ a doplňujících dat profesních organizací. Probíhající změny v </w:t>
      </w:r>
      <w:r w:rsidR="001C378C" w:rsidRPr="00EB2612">
        <w:t>a</w:t>
      </w:r>
      <w:r w:rsidRPr="00EB2612">
        <w:t>udiovizuálním</w:t>
      </w:r>
      <w:r w:rsidR="008E3C01" w:rsidRPr="00EB2612">
        <w:t xml:space="preserve"> a </w:t>
      </w:r>
      <w:r w:rsidRPr="00EB2612">
        <w:t xml:space="preserve">mediálním </w:t>
      </w:r>
      <w:r w:rsidR="003F4B35" w:rsidRPr="00EB2612">
        <w:t>sektoru jsou</w:t>
      </w:r>
      <w:r w:rsidRPr="00EB2612">
        <w:t xml:space="preserve"> determinované také technologickým vývojem a </w:t>
      </w:r>
      <w:r w:rsidR="008E3C01" w:rsidRPr="00EB2612">
        <w:t>rozvojem internetových služeb</w:t>
      </w:r>
      <w:r w:rsidR="00D448C3" w:rsidRPr="00EB2612">
        <w:t>,</w:t>
      </w:r>
      <w:r w:rsidR="008E3C01" w:rsidRPr="00EB2612">
        <w:t xml:space="preserve"> a </w:t>
      </w:r>
      <w:r w:rsidRPr="00EB2612">
        <w:t>proto byl této problematice věnován odpovídající prost</w:t>
      </w:r>
      <w:r w:rsidR="003F4B35" w:rsidRPr="00EB2612">
        <w:t>or. Prezentované údaje vycházejí</w:t>
      </w:r>
      <w:r w:rsidRPr="00EB2612">
        <w:t xml:space="preserve"> ve velké míře z výběrových šetření a doplňujících studií</w:t>
      </w:r>
      <w:r w:rsidR="00D448C3" w:rsidRPr="00EB2612">
        <w:t>,</w:t>
      </w:r>
      <w:r w:rsidRPr="00EB2612">
        <w:t xml:space="preserve"> a </w:t>
      </w:r>
      <w:r w:rsidR="006C2078" w:rsidRPr="00EB2612">
        <w:t xml:space="preserve">tak </w:t>
      </w:r>
      <w:r w:rsidRPr="00EB2612">
        <w:t xml:space="preserve">je potřeba závěry plynoucí z této studie brát </w:t>
      </w:r>
      <w:r w:rsidR="00323843" w:rsidRPr="00EB2612">
        <w:t>především</w:t>
      </w:r>
      <w:r w:rsidRPr="00EB2612">
        <w:t xml:space="preserve"> jako orientační přehled trendů posledních let.</w:t>
      </w:r>
    </w:p>
    <w:p w:rsidR="003759E9" w:rsidRPr="00EB2612" w:rsidRDefault="00BB64DB" w:rsidP="00BB64DB">
      <w:pPr>
        <w:ind w:firstLine="708"/>
        <w:rPr>
          <w:b/>
        </w:rPr>
      </w:pPr>
      <w:r w:rsidRPr="00EB2612">
        <w:t xml:space="preserve">Pro </w:t>
      </w:r>
      <w:r w:rsidR="001C378C" w:rsidRPr="00EB2612">
        <w:t>velkou část analýzy</w:t>
      </w:r>
      <w:r w:rsidRPr="00EB2612">
        <w:t xml:space="preserve"> ekonomických ukazatelů byla použita, vzhledem k jejich dostupnosti v době psaní textu</w:t>
      </w:r>
      <w:r w:rsidR="00C30140" w:rsidRPr="00EB2612">
        <w:t xml:space="preserve">, data za </w:t>
      </w:r>
      <w:r w:rsidR="008025EE">
        <w:t>referenční rok 2018</w:t>
      </w:r>
      <w:r w:rsidRPr="00EB2612">
        <w:t xml:space="preserve">. Subjekty v jednotlivých oblastech </w:t>
      </w:r>
      <w:r w:rsidR="001C378C" w:rsidRPr="00EB2612">
        <w:t>a</w:t>
      </w:r>
      <w:r w:rsidRPr="00EB2612">
        <w:t>udiovizuálního a mediálního sektoru financovaly své činnosti zejména z vlastních podnikatelských aktivit</w:t>
      </w:r>
      <w:r w:rsidR="006F2AE7">
        <w:t xml:space="preserve"> (s výjimkou filmové produkce a</w:t>
      </w:r>
      <w:r w:rsidR="00362010">
        <w:t> </w:t>
      </w:r>
      <w:r w:rsidR="006F2AE7">
        <w:t>veřejnoprávních médií)</w:t>
      </w:r>
      <w:r w:rsidRPr="00EB2612">
        <w:t xml:space="preserve"> a nebyly ve velké míře odkázané na veřejné finance. Na celkových příjmech v kulturních průmyslech</w:t>
      </w:r>
      <w:r w:rsidR="008025EE">
        <w:t xml:space="preserve"> se v roce 2018</w:t>
      </w:r>
      <w:r w:rsidRPr="00EB2612">
        <w:t xml:space="preserve"> nejvíce podílela oblast </w:t>
      </w:r>
      <w:r w:rsidR="001C378C" w:rsidRPr="00EB2612">
        <w:t>k</w:t>
      </w:r>
      <w:r w:rsidR="00CE05B1" w:rsidRPr="00EB2612">
        <w:t>nih a tisku</w:t>
      </w:r>
      <w:r w:rsidR="006F31E4" w:rsidRPr="00EB2612">
        <w:t>,</w:t>
      </w:r>
      <w:r w:rsidR="008E3CF8">
        <w:t xml:space="preserve"> kde však</w:t>
      </w:r>
      <w:r w:rsidR="006F31E4" w:rsidRPr="00EB2612">
        <w:t xml:space="preserve"> příjmy</w:t>
      </w:r>
      <w:r w:rsidR="008E3CF8">
        <w:t xml:space="preserve"> subjektů</w:t>
      </w:r>
      <w:r w:rsidR="006F31E4" w:rsidRPr="00EB2612">
        <w:t xml:space="preserve"> </w:t>
      </w:r>
      <w:r w:rsidR="003F593B">
        <w:t>dlouhodobě</w:t>
      </w:r>
      <w:r w:rsidR="006F31E4" w:rsidRPr="00EB2612">
        <w:t xml:space="preserve"> </w:t>
      </w:r>
      <w:r w:rsidR="008025EE">
        <w:t>stagnují</w:t>
      </w:r>
      <w:r w:rsidR="00CE05B1" w:rsidRPr="00EB2612">
        <w:t xml:space="preserve">. </w:t>
      </w:r>
      <w:r w:rsidRPr="00EB2612">
        <w:t xml:space="preserve">V rámci meziročního srovnání vývoje </w:t>
      </w:r>
      <w:r w:rsidR="004D3A66" w:rsidRPr="00EB2612">
        <w:t>příjmů</w:t>
      </w:r>
      <w:r w:rsidR="009B195C">
        <w:t xml:space="preserve"> vzrostly celkové příjmy subjektů ve všech oblastech kulturních průmyslů mimo rozhlas, který zaznamenal mírné zhoršení hospodářských výsledků</w:t>
      </w:r>
      <w:r w:rsidR="003759E9" w:rsidRPr="00EB2612">
        <w:t>.</w:t>
      </w:r>
      <w:r w:rsidR="009B195C">
        <w:t xml:space="preserve"> Nejprogresivněji se </w:t>
      </w:r>
      <w:proofErr w:type="spellStart"/>
      <w:r w:rsidR="009B195C">
        <w:t>vývíjela</w:t>
      </w:r>
      <w:proofErr w:type="spellEnd"/>
      <w:r w:rsidR="009B195C">
        <w:t xml:space="preserve"> oblast videoher, kde celkové příjmy stouply oproti předchozímu roku dvojnásobně.  Mezi lety 2017 a 2018</w:t>
      </w:r>
      <w:r w:rsidR="00CE05B1" w:rsidRPr="00EB2612">
        <w:t xml:space="preserve"> se </w:t>
      </w:r>
      <w:r w:rsidR="000636B3" w:rsidRPr="00EB2612">
        <w:t xml:space="preserve">ekonomicky </w:t>
      </w:r>
      <w:r w:rsidR="00CE05B1" w:rsidRPr="00EB2612">
        <w:t xml:space="preserve">dařilo </w:t>
      </w:r>
      <w:r w:rsidR="00D72956" w:rsidRPr="00EB2612">
        <w:t xml:space="preserve">také </w:t>
      </w:r>
      <w:r w:rsidR="00CE05B1" w:rsidRPr="00EB2612">
        <w:t xml:space="preserve">společnostem v oblasti </w:t>
      </w:r>
      <w:r w:rsidR="005C628E" w:rsidRPr="00EB2612">
        <w:t>hudebního průmyslu</w:t>
      </w:r>
      <w:r w:rsidR="00D931E3" w:rsidRPr="00EB2612">
        <w:t xml:space="preserve">, který </w:t>
      </w:r>
      <w:r w:rsidR="005C628E" w:rsidRPr="00EB2612">
        <w:t xml:space="preserve">stále těží z </w:t>
      </w:r>
      <w:r w:rsidR="001132C6" w:rsidRPr="00EB2612">
        <w:t>rostoucího</w:t>
      </w:r>
      <w:r w:rsidR="00CE05B1" w:rsidRPr="00EB2612">
        <w:t xml:space="preserve"> zájmu o</w:t>
      </w:r>
      <w:r w:rsidR="000E0D24" w:rsidRPr="00EB2612">
        <w:t> </w:t>
      </w:r>
      <w:proofErr w:type="spellStart"/>
      <w:r w:rsidR="00CE05B1" w:rsidRPr="00EB2612">
        <w:t>streamingové</w:t>
      </w:r>
      <w:proofErr w:type="spellEnd"/>
      <w:r w:rsidR="00CE05B1" w:rsidRPr="00EB2612">
        <w:t xml:space="preserve"> služby</w:t>
      </w:r>
      <w:r w:rsidR="009B195C">
        <w:t xml:space="preserve"> a filmov</w:t>
      </w:r>
      <w:r w:rsidR="003F593B">
        <w:t>ému průmysl, jemuž</w:t>
      </w:r>
      <w:r w:rsidR="009B195C">
        <w:t xml:space="preserve"> </w:t>
      </w:r>
      <w:r w:rsidR="003F593B">
        <w:t xml:space="preserve">pomáhá </w:t>
      </w:r>
      <w:r w:rsidR="009B195C">
        <w:t>úspěšn</w:t>
      </w:r>
      <w:r w:rsidR="003F593B">
        <w:t>é</w:t>
      </w:r>
      <w:r w:rsidR="009B195C">
        <w:t xml:space="preserve"> využívání filmových pobídek pro zahraniční produkce</w:t>
      </w:r>
      <w:r w:rsidR="00CE05B1" w:rsidRPr="00EB2612">
        <w:t>.</w:t>
      </w:r>
      <w:r w:rsidR="003759E9" w:rsidRPr="00EB2612">
        <w:t xml:space="preserve"> </w:t>
      </w:r>
      <w:r w:rsidR="00D931E3" w:rsidRPr="00EB2612">
        <w:t>Stabilní výsledky v posledních letech</w:t>
      </w:r>
      <w:r w:rsidR="00F4721B" w:rsidRPr="00EB2612">
        <w:t xml:space="preserve"> </w:t>
      </w:r>
      <w:r w:rsidR="00D931E3" w:rsidRPr="00EB2612">
        <w:t xml:space="preserve">dosahuje oblast </w:t>
      </w:r>
      <w:r w:rsidR="00DE1D26" w:rsidRPr="00EB2612">
        <w:t>televize</w:t>
      </w:r>
      <w:r w:rsidR="00F4721B" w:rsidRPr="00EB2612">
        <w:t xml:space="preserve">, kde se velkým společnostem dlouhodobě daří udržovat vysokou </w:t>
      </w:r>
      <w:r w:rsidR="009B195C">
        <w:t>sledovanost</w:t>
      </w:r>
      <w:r w:rsidR="00F4721B" w:rsidRPr="00EB2612">
        <w:t xml:space="preserve"> a</w:t>
      </w:r>
      <w:r w:rsidR="009B195C">
        <w:t xml:space="preserve"> s tím spojený zájem inzerentů.</w:t>
      </w:r>
    </w:p>
    <w:p w:rsidR="00A6066F" w:rsidRDefault="00BB64DB" w:rsidP="00BB64DB">
      <w:pPr>
        <w:ind w:firstLine="708"/>
      </w:pPr>
      <w:r w:rsidRPr="00EB2612">
        <w:t>Spotřebitelé zboží a služeb v </w:t>
      </w:r>
      <w:r w:rsidR="001C378C" w:rsidRPr="00EB2612">
        <w:t>a</w:t>
      </w:r>
      <w:r w:rsidRPr="00EB2612">
        <w:t xml:space="preserve">udiovizuálním a mediálním sektoru se pak lišili zejména v míře využití internetu a nových technologií v rámci jednotlivých oblastí. </w:t>
      </w:r>
      <w:r w:rsidR="00B9366B" w:rsidRPr="00EB2612">
        <w:t>Zatímco četba online zpráv byla rozšířena i</w:t>
      </w:r>
      <w:r w:rsidR="00362010">
        <w:t> </w:t>
      </w:r>
      <w:r w:rsidR="00B9366B" w:rsidRPr="00EB2612">
        <w:t>u</w:t>
      </w:r>
      <w:r w:rsidR="00362010">
        <w:t> </w:t>
      </w:r>
      <w:r w:rsidR="00B9366B" w:rsidRPr="00EB2612">
        <w:t xml:space="preserve">starší populace, hraní videoher online bylo doménou zejména mladých lidí. </w:t>
      </w:r>
      <w:r w:rsidRPr="00EB2612">
        <w:t>Při využití digitálníc</w:t>
      </w:r>
      <w:r w:rsidR="009B195C">
        <w:t>h hudebních služeb v roce 2019</w:t>
      </w:r>
      <w:r w:rsidRPr="00EB2612">
        <w:t xml:space="preserve"> </w:t>
      </w:r>
      <w:r w:rsidR="003A489B">
        <w:t xml:space="preserve">jednoznačně dominoval </w:t>
      </w:r>
      <w:r w:rsidRPr="00EB2612">
        <w:rPr>
          <w:i/>
        </w:rPr>
        <w:t>streaming</w:t>
      </w:r>
      <w:r w:rsidRPr="00EB2612">
        <w:t xml:space="preserve"> (přehrávání skladeb v rámci hudebního katalogu) </w:t>
      </w:r>
      <w:r w:rsidR="003A489B">
        <w:t>nad zpoplatněným</w:t>
      </w:r>
      <w:r w:rsidRPr="00EB2612">
        <w:t xml:space="preserve"> stažení</w:t>
      </w:r>
      <w:r w:rsidR="003A489B">
        <w:t>m</w:t>
      </w:r>
      <w:r w:rsidRPr="00EB2612">
        <w:t xml:space="preserve"> digitálních souborů. Sledování filmů</w:t>
      </w:r>
      <w:r w:rsidR="00E57AF7" w:rsidRPr="00EB2612">
        <w:t xml:space="preserve"> a videa</w:t>
      </w:r>
      <w:r w:rsidRPr="00EB2612">
        <w:t xml:space="preserve"> přes internet bylo rozšířené</w:t>
      </w:r>
      <w:r w:rsidR="00282CCA" w:rsidRPr="00EB2612">
        <w:t> </w:t>
      </w:r>
      <w:r w:rsidRPr="00EB2612">
        <w:t>u</w:t>
      </w:r>
      <w:r w:rsidR="00282CCA" w:rsidRPr="00EB2612">
        <w:t> </w:t>
      </w:r>
      <w:r w:rsidRPr="00EB2612">
        <w:t xml:space="preserve">velké části populace, jen malé procento uživatelů online služeb však </w:t>
      </w:r>
      <w:r w:rsidR="00E57AF7" w:rsidRPr="00EB2612">
        <w:t>využívalo placených služeb</w:t>
      </w:r>
      <w:r w:rsidR="00323843" w:rsidRPr="00EB2612">
        <w:t>.</w:t>
      </w:r>
      <w:r w:rsidRPr="00EB2612">
        <w:t xml:space="preserve"> Čtení </w:t>
      </w:r>
      <w:r w:rsidR="007A33CC" w:rsidRPr="00EB2612">
        <w:t xml:space="preserve">placených </w:t>
      </w:r>
      <w:r w:rsidRPr="00EB2612">
        <w:t xml:space="preserve">periodik a knih v digitální formě nebylo v minulých letech </w:t>
      </w:r>
      <w:r w:rsidR="00D72956" w:rsidRPr="00EB2612">
        <w:t xml:space="preserve">také </w:t>
      </w:r>
      <w:r w:rsidRPr="00EB2612">
        <w:t xml:space="preserve">příliš rozšířené. </w:t>
      </w:r>
      <w:r w:rsidR="00B9366B" w:rsidRPr="00EB2612">
        <w:t xml:space="preserve">Rozdílné návyky bylo možné sledovat také v mužské a ženské populaci v souvislosti s četbou </w:t>
      </w:r>
      <w:r w:rsidR="00D72956" w:rsidRPr="00EB2612">
        <w:t xml:space="preserve">knih – mezi ženami najdeme </w:t>
      </w:r>
      <w:r w:rsidR="00A6066F" w:rsidRPr="00EB2612">
        <w:t xml:space="preserve">daleko více čtenářek než v mužské populaci. Posluchači rozhlasových </w:t>
      </w:r>
      <w:r w:rsidR="00D72956" w:rsidRPr="00EB2612">
        <w:t>stanic pak preferují</w:t>
      </w:r>
      <w:r w:rsidR="005203C7" w:rsidRPr="00EB2612">
        <w:t>, soudě podle programové struktury, u současné hudby spíše zahraniční tvorbu, za</w:t>
      </w:r>
      <w:r w:rsidR="003A489B">
        <w:t>tímco u hudby minulých dekád mírně převažoval</w:t>
      </w:r>
      <w:r w:rsidR="005203C7" w:rsidRPr="00EB2612">
        <w:t xml:space="preserve"> poměr českých interpretů </w:t>
      </w:r>
      <w:r w:rsidR="003A489B">
        <w:t>nad zahraničními</w:t>
      </w:r>
      <w:r w:rsidR="005203C7" w:rsidRPr="00EB2612">
        <w:t xml:space="preserve">. Kinosály pak alespoň </w:t>
      </w:r>
      <w:r w:rsidR="001132C6" w:rsidRPr="00EB2612">
        <w:t>jednou</w:t>
      </w:r>
      <w:r w:rsidR="00D72956" w:rsidRPr="00EB2612">
        <w:t xml:space="preserve"> za rok navštíví</w:t>
      </w:r>
      <w:r w:rsidR="005203C7" w:rsidRPr="00EB2612">
        <w:t xml:space="preserve"> polovina populace a největší podíl návštěvníků kinosálů </w:t>
      </w:r>
      <w:r w:rsidR="00D72956" w:rsidRPr="00EB2612">
        <w:t>se nachází</w:t>
      </w:r>
      <w:r w:rsidR="005203C7" w:rsidRPr="00EB2612">
        <w:t xml:space="preserve"> mezi mladými lidmi.</w:t>
      </w:r>
    </w:p>
    <w:p w:rsidR="003A489B" w:rsidRPr="00EB2612" w:rsidRDefault="003A489B" w:rsidP="00BB64DB">
      <w:pPr>
        <w:ind w:firstLine="708"/>
      </w:pPr>
      <w:r>
        <w:t xml:space="preserve">Trendy ve </w:t>
      </w:r>
      <w:r w:rsidR="003F593B">
        <w:t>spotřebitelském</w:t>
      </w:r>
      <w:r>
        <w:t xml:space="preserve"> chování stejně jako ekonomické výkony subjektů se však mění v rámci právě probíhající koronavirové pandemie.</w:t>
      </w:r>
      <w:r w:rsidR="00733C7A">
        <w:t xml:space="preserve"> Vládní omezení volného pohybu osob dopadla zejména na provozovatele maloobchodu s </w:t>
      </w:r>
      <w:r w:rsidR="003F593B">
        <w:t>kulturním</w:t>
      </w:r>
      <w:r w:rsidR="00733C7A">
        <w:t xml:space="preserve"> zbožím, provo</w:t>
      </w:r>
      <w:r w:rsidR="008E3CF8">
        <w:t xml:space="preserve">zovatele zařízení, producenty, </w:t>
      </w:r>
      <w:r w:rsidR="00733C7A">
        <w:t xml:space="preserve">pořadatele akcí a také autory a nakladatele. Naopak </w:t>
      </w:r>
      <w:r w:rsidR="008E3CF8">
        <w:t xml:space="preserve">někteří </w:t>
      </w:r>
      <w:r w:rsidR="00733C7A">
        <w:t xml:space="preserve">poskytovatelé vysílání a digitálních služeb mohli těžit ze zvýšeného zájmu o média </w:t>
      </w:r>
      <w:r w:rsidR="008D5C9E">
        <w:t>v souvislosti s větším množstvím volného času napříč věkovými skupinami obyvatel.</w:t>
      </w:r>
    </w:p>
    <w:p w:rsidR="001132C6" w:rsidRPr="00EB2612" w:rsidRDefault="001132C6" w:rsidP="001132C6">
      <w:pPr>
        <w:pStyle w:val="Nadpis1"/>
      </w:pPr>
      <w:bookmarkStart w:id="137" w:name="_Toc430189818"/>
      <w:bookmarkStart w:id="138" w:name="_Toc55384449"/>
      <w:r w:rsidRPr="00EB2612">
        <w:lastRenderedPageBreak/>
        <w:t>ZDROJE</w:t>
      </w:r>
      <w:bookmarkEnd w:id="137"/>
      <w:bookmarkEnd w:id="138"/>
    </w:p>
    <w:p w:rsidR="00FF526E" w:rsidRPr="00EB2612" w:rsidRDefault="00FF526E" w:rsidP="001132C6">
      <w:pPr>
        <w:spacing w:after="60"/>
        <w:ind w:left="284" w:hanging="284"/>
      </w:pPr>
      <w:r w:rsidRPr="00EB2612">
        <w:t xml:space="preserve">APA, 2019. Bilance roku 2018: obraty českých nezávislých producentů dosáhly historického maxima. </w:t>
      </w:r>
      <w:r w:rsidRPr="00EB2612">
        <w:rPr>
          <w:i/>
        </w:rPr>
        <w:t>Asociace producentů v audiovizi</w:t>
      </w:r>
      <w:r w:rsidRPr="00EB2612">
        <w:t xml:space="preserve">. Dostupné online: </w:t>
      </w:r>
      <w:hyperlink r:id="rId85" w:history="1">
        <w:r w:rsidRPr="00EB2612">
          <w:rPr>
            <w:rStyle w:val="Hypertextovodkaz"/>
          </w:rPr>
          <w:t>http://www.asociaceproducentu.cz/prispevek/46</w:t>
        </w:r>
      </w:hyperlink>
    </w:p>
    <w:p w:rsidR="00FF526E" w:rsidRPr="00EB2612" w:rsidRDefault="00FF526E" w:rsidP="001132C6">
      <w:pPr>
        <w:spacing w:after="60"/>
        <w:ind w:left="284" w:hanging="284"/>
      </w:pPr>
      <w:r w:rsidRPr="00EB2612">
        <w:t xml:space="preserve">ATO, 2020a. </w:t>
      </w:r>
      <w:proofErr w:type="spellStart"/>
      <w:r w:rsidRPr="00EB2612">
        <w:t>Share</w:t>
      </w:r>
      <w:proofErr w:type="spellEnd"/>
      <w:r w:rsidRPr="00EB2612">
        <w:t xml:space="preserve"> pro 15+ za 37. týden (7.9.2020-</w:t>
      </w:r>
      <w:proofErr w:type="gramStart"/>
      <w:r w:rsidRPr="00EB2612">
        <w:t>13.9.2020</w:t>
      </w:r>
      <w:proofErr w:type="gramEnd"/>
      <w:r w:rsidRPr="00EB2612">
        <w:t xml:space="preserve">). Dostupné online: </w:t>
      </w:r>
      <w:hyperlink r:id="rId86" w:history="1">
        <w:r w:rsidRPr="00EB2612">
          <w:rPr>
            <w:rStyle w:val="Hypertextovodkaz"/>
          </w:rPr>
          <w:t>http://www.ato.cz/vysledky/tydenni-data/share/15</w:t>
        </w:r>
      </w:hyperlink>
    </w:p>
    <w:p w:rsidR="00FF526E" w:rsidRPr="00EB2612" w:rsidRDefault="00FF526E" w:rsidP="00EA2A3F">
      <w:pPr>
        <w:spacing w:after="60"/>
        <w:ind w:left="284" w:hanging="284"/>
      </w:pPr>
      <w:r w:rsidRPr="00EB2612">
        <w:t xml:space="preserve">ATO, 2020b. Rekordní březen: Sledovanost televize byla vlivem pandemie </w:t>
      </w:r>
      <w:proofErr w:type="spellStart"/>
      <w:r w:rsidRPr="00EB2612">
        <w:t>koronaviru</w:t>
      </w:r>
      <w:proofErr w:type="spellEnd"/>
      <w:r w:rsidRPr="00EB2612">
        <w:t xml:space="preserve"> nejvyšší za 17 let. Dostupné online: </w:t>
      </w:r>
      <w:hyperlink r:id="rId87" w:history="1">
        <w:r w:rsidRPr="00EB2612">
          <w:rPr>
            <w:rStyle w:val="Hypertextovodkaz"/>
          </w:rPr>
          <w:t>http://www.ato.cz/aktuality/aktuality/rekordni-brezen-sledovanost-televize-byla-vlivem-pandemie-koronaviru-nejvyssi-za-17-let</w:t>
        </w:r>
      </w:hyperlink>
    </w:p>
    <w:p w:rsidR="00FF526E" w:rsidRPr="00EB2612" w:rsidRDefault="00FF526E" w:rsidP="001132C6">
      <w:pPr>
        <w:spacing w:after="60"/>
        <w:ind w:left="284" w:hanging="284"/>
      </w:pPr>
      <w:r w:rsidRPr="00EB2612">
        <w:t xml:space="preserve">CAVES, Richard, 2000. </w:t>
      </w:r>
      <w:proofErr w:type="spellStart"/>
      <w:r w:rsidRPr="00EB2612">
        <w:rPr>
          <w:i/>
        </w:rPr>
        <w:t>Creative</w:t>
      </w:r>
      <w:proofErr w:type="spellEnd"/>
      <w:r w:rsidRPr="00EB2612">
        <w:rPr>
          <w:i/>
        </w:rPr>
        <w:t xml:space="preserve"> </w:t>
      </w:r>
      <w:proofErr w:type="spellStart"/>
      <w:r w:rsidRPr="00EB2612">
        <w:rPr>
          <w:i/>
        </w:rPr>
        <w:t>industries</w:t>
      </w:r>
      <w:proofErr w:type="spellEnd"/>
      <w:r w:rsidRPr="00EB2612">
        <w:rPr>
          <w:i/>
        </w:rPr>
        <w:t xml:space="preserve">: </w:t>
      </w:r>
      <w:proofErr w:type="spellStart"/>
      <w:r w:rsidRPr="00EB2612">
        <w:rPr>
          <w:i/>
        </w:rPr>
        <w:t>contracts</w:t>
      </w:r>
      <w:proofErr w:type="spellEnd"/>
      <w:r w:rsidRPr="00EB2612">
        <w:rPr>
          <w:i/>
        </w:rPr>
        <w:t xml:space="preserve"> </w:t>
      </w:r>
      <w:proofErr w:type="spellStart"/>
      <w:r w:rsidRPr="00EB2612">
        <w:rPr>
          <w:i/>
        </w:rPr>
        <w:t>between</w:t>
      </w:r>
      <w:proofErr w:type="spellEnd"/>
      <w:r w:rsidRPr="00EB2612">
        <w:rPr>
          <w:i/>
        </w:rPr>
        <w:t xml:space="preserve"> </w:t>
      </w:r>
      <w:proofErr w:type="spellStart"/>
      <w:r w:rsidRPr="00EB2612">
        <w:rPr>
          <w:i/>
        </w:rPr>
        <w:t>art</w:t>
      </w:r>
      <w:proofErr w:type="spellEnd"/>
      <w:r w:rsidRPr="00EB2612">
        <w:rPr>
          <w:i/>
        </w:rPr>
        <w:t xml:space="preserve"> </w:t>
      </w:r>
      <w:proofErr w:type="spellStart"/>
      <w:r w:rsidRPr="00EB2612">
        <w:rPr>
          <w:i/>
        </w:rPr>
        <w:t>and</w:t>
      </w:r>
      <w:proofErr w:type="spellEnd"/>
      <w:r w:rsidRPr="00EB2612">
        <w:rPr>
          <w:i/>
        </w:rPr>
        <w:t xml:space="preserve"> </w:t>
      </w:r>
      <w:proofErr w:type="spellStart"/>
      <w:r w:rsidRPr="00EB2612">
        <w:rPr>
          <w:i/>
        </w:rPr>
        <w:t>commerce</w:t>
      </w:r>
      <w:proofErr w:type="spellEnd"/>
      <w:r w:rsidRPr="00EB2612">
        <w:t xml:space="preserve">. Harvard University </w:t>
      </w:r>
      <w:proofErr w:type="spellStart"/>
      <w:r w:rsidRPr="00EB2612">
        <w:t>Press</w:t>
      </w:r>
      <w:proofErr w:type="spellEnd"/>
      <w:r w:rsidRPr="00EB2612">
        <w:t>.</w:t>
      </w:r>
    </w:p>
    <w:p w:rsidR="00FF526E" w:rsidRPr="00EB2612" w:rsidRDefault="00FF526E" w:rsidP="001132C6">
      <w:pPr>
        <w:spacing w:after="60"/>
        <w:ind w:left="284" w:hanging="284"/>
      </w:pPr>
      <w:r w:rsidRPr="00EB2612">
        <w:t xml:space="preserve">CNBC, 2020a. </w:t>
      </w:r>
      <w:proofErr w:type="spellStart"/>
      <w:r w:rsidRPr="00EB2612">
        <w:t>Netflix</w:t>
      </w:r>
      <w:proofErr w:type="spellEnd"/>
      <w:r w:rsidRPr="00EB2612">
        <w:t xml:space="preserve"> </w:t>
      </w:r>
      <w:proofErr w:type="spellStart"/>
      <w:r w:rsidRPr="00EB2612">
        <w:t>blows</w:t>
      </w:r>
      <w:proofErr w:type="spellEnd"/>
      <w:r w:rsidRPr="00EB2612">
        <w:t xml:space="preserve"> </w:t>
      </w:r>
      <w:proofErr w:type="spellStart"/>
      <w:r w:rsidRPr="00EB2612">
        <w:t>away</w:t>
      </w:r>
      <w:proofErr w:type="spellEnd"/>
      <w:r w:rsidRPr="00EB2612">
        <w:t xml:space="preserve"> </w:t>
      </w:r>
      <w:proofErr w:type="spellStart"/>
      <w:r w:rsidRPr="00EB2612">
        <w:t>new</w:t>
      </w:r>
      <w:proofErr w:type="spellEnd"/>
      <w:r w:rsidRPr="00EB2612">
        <w:t xml:space="preserve"> </w:t>
      </w:r>
      <w:proofErr w:type="spellStart"/>
      <w:r w:rsidRPr="00EB2612">
        <w:t>subscriber</w:t>
      </w:r>
      <w:proofErr w:type="spellEnd"/>
      <w:r w:rsidRPr="00EB2612">
        <w:t xml:space="preserve"> </w:t>
      </w:r>
      <w:proofErr w:type="spellStart"/>
      <w:r w:rsidRPr="00EB2612">
        <w:t>expectations</w:t>
      </w:r>
      <w:proofErr w:type="spellEnd"/>
      <w:r w:rsidRPr="00EB2612">
        <w:t xml:space="preserve">. Dostupné online: </w:t>
      </w:r>
      <w:hyperlink r:id="rId88" w:history="1">
        <w:r w:rsidRPr="00EB2612">
          <w:rPr>
            <w:rStyle w:val="Hypertextovodkaz"/>
          </w:rPr>
          <w:t>https://www.cnbc.com/2020/04/21/netflix-nflx-earnings-q1-2020.html</w:t>
        </w:r>
      </w:hyperlink>
    </w:p>
    <w:p w:rsidR="00FF526E" w:rsidRPr="00EB2612" w:rsidRDefault="00FF526E" w:rsidP="00EA2A3F">
      <w:pPr>
        <w:spacing w:after="60"/>
        <w:ind w:left="284" w:hanging="284"/>
      </w:pPr>
      <w:r w:rsidRPr="00EB2612">
        <w:t xml:space="preserve">CNBC, 2020b. </w:t>
      </w:r>
      <w:proofErr w:type="spellStart"/>
      <w:r w:rsidRPr="00EB2612">
        <w:t>Netflix</w:t>
      </w:r>
      <w:proofErr w:type="spellEnd"/>
      <w:r w:rsidRPr="00EB2612">
        <w:t xml:space="preserve"> </w:t>
      </w:r>
      <w:proofErr w:type="spellStart"/>
      <w:r w:rsidRPr="00EB2612">
        <w:t>shares</w:t>
      </w:r>
      <w:proofErr w:type="spellEnd"/>
      <w:r w:rsidRPr="00EB2612">
        <w:t xml:space="preserve"> </w:t>
      </w:r>
      <w:proofErr w:type="spellStart"/>
      <w:r w:rsidRPr="00EB2612">
        <w:t>fall</w:t>
      </w:r>
      <w:proofErr w:type="spellEnd"/>
      <w:r w:rsidRPr="00EB2612">
        <w:t xml:space="preserve"> </w:t>
      </w:r>
      <w:proofErr w:type="spellStart"/>
      <w:r w:rsidRPr="00EB2612">
        <w:t>after</w:t>
      </w:r>
      <w:proofErr w:type="spellEnd"/>
      <w:r w:rsidRPr="00EB2612">
        <w:t xml:space="preserve"> </w:t>
      </w:r>
      <w:proofErr w:type="spellStart"/>
      <w:r w:rsidRPr="00EB2612">
        <w:t>earnings</w:t>
      </w:r>
      <w:proofErr w:type="spellEnd"/>
      <w:r w:rsidRPr="00EB2612">
        <w:t xml:space="preserve"> miss, </w:t>
      </w:r>
      <w:proofErr w:type="spellStart"/>
      <w:r w:rsidRPr="00EB2612">
        <w:t>weak</w:t>
      </w:r>
      <w:proofErr w:type="spellEnd"/>
      <w:r w:rsidRPr="00EB2612">
        <w:t xml:space="preserve"> </w:t>
      </w:r>
      <w:proofErr w:type="spellStart"/>
      <w:r w:rsidRPr="00EB2612">
        <w:t>subscriber</w:t>
      </w:r>
      <w:proofErr w:type="spellEnd"/>
      <w:r w:rsidRPr="00EB2612">
        <w:t xml:space="preserve"> </w:t>
      </w:r>
      <w:proofErr w:type="spellStart"/>
      <w:r w:rsidRPr="00EB2612">
        <w:t>guidance</w:t>
      </w:r>
      <w:proofErr w:type="spellEnd"/>
      <w:r w:rsidRPr="00EB2612">
        <w:t xml:space="preserve"> </w:t>
      </w:r>
      <w:proofErr w:type="spellStart"/>
      <w:r w:rsidRPr="00EB2612">
        <w:t>for</w:t>
      </w:r>
      <w:proofErr w:type="spellEnd"/>
      <w:r w:rsidRPr="00EB2612">
        <w:t xml:space="preserve"> </w:t>
      </w:r>
      <w:proofErr w:type="spellStart"/>
      <w:r w:rsidRPr="00EB2612">
        <w:t>third</w:t>
      </w:r>
      <w:proofErr w:type="spellEnd"/>
      <w:r w:rsidRPr="00EB2612">
        <w:t xml:space="preserve"> </w:t>
      </w:r>
      <w:proofErr w:type="spellStart"/>
      <w:r w:rsidRPr="00EB2612">
        <w:t>quarter</w:t>
      </w:r>
      <w:proofErr w:type="spellEnd"/>
      <w:r w:rsidRPr="00EB2612">
        <w:t xml:space="preserve">. Dostupné online: </w:t>
      </w:r>
      <w:hyperlink r:id="rId89" w:history="1">
        <w:r w:rsidRPr="00EB2612">
          <w:rPr>
            <w:rStyle w:val="Hypertextovodkaz"/>
          </w:rPr>
          <w:t>https://www.cnbc.com/2020/07/16/netflix-nflx-q2-2020-earnings.html</w:t>
        </w:r>
      </w:hyperlink>
    </w:p>
    <w:p w:rsidR="00FF526E" w:rsidRPr="00EB2612" w:rsidRDefault="00FF526E" w:rsidP="00EA2A3F">
      <w:pPr>
        <w:spacing w:after="60"/>
        <w:ind w:left="284" w:hanging="284"/>
      </w:pPr>
      <w:r w:rsidRPr="00EB2612">
        <w:t xml:space="preserve">CNBC, 2020c. </w:t>
      </w:r>
      <w:proofErr w:type="spellStart"/>
      <w:r w:rsidRPr="00EB2612">
        <w:t>Spotify</w:t>
      </w:r>
      <w:proofErr w:type="spellEnd"/>
      <w:r w:rsidRPr="00EB2612">
        <w:t xml:space="preserve"> </w:t>
      </w:r>
      <w:proofErr w:type="spellStart"/>
      <w:r w:rsidRPr="00EB2612">
        <w:t>revenue</w:t>
      </w:r>
      <w:proofErr w:type="spellEnd"/>
      <w:r w:rsidRPr="00EB2612">
        <w:t xml:space="preserve"> </w:t>
      </w:r>
      <w:proofErr w:type="spellStart"/>
      <w:r w:rsidRPr="00EB2612">
        <w:t>misses</w:t>
      </w:r>
      <w:proofErr w:type="spellEnd"/>
      <w:r w:rsidRPr="00EB2612">
        <w:t xml:space="preserve"> as </w:t>
      </w:r>
      <w:proofErr w:type="spellStart"/>
      <w:r w:rsidRPr="00EB2612">
        <w:t>coronavirus</w:t>
      </w:r>
      <w:proofErr w:type="spellEnd"/>
      <w:r w:rsidRPr="00EB2612">
        <w:t xml:space="preserve"> </w:t>
      </w:r>
      <w:proofErr w:type="spellStart"/>
      <w:r w:rsidRPr="00EB2612">
        <w:t>deters</w:t>
      </w:r>
      <w:proofErr w:type="spellEnd"/>
      <w:r w:rsidRPr="00EB2612">
        <w:t xml:space="preserve"> </w:t>
      </w:r>
      <w:proofErr w:type="spellStart"/>
      <w:r w:rsidRPr="00EB2612">
        <w:t>advertisers</w:t>
      </w:r>
      <w:proofErr w:type="spellEnd"/>
      <w:r w:rsidRPr="00EB2612">
        <w:t xml:space="preserve">. Dostupné online: </w:t>
      </w:r>
      <w:hyperlink r:id="rId90" w:history="1">
        <w:r w:rsidRPr="00EB2612">
          <w:rPr>
            <w:rStyle w:val="Hypertextovodkaz"/>
          </w:rPr>
          <w:t>https://www.cnbc.com/2020/07/29/spotify-spot-q2-2020-earnings.html</w:t>
        </w:r>
      </w:hyperlink>
    </w:p>
    <w:p w:rsidR="00FF526E" w:rsidRPr="00EB2612" w:rsidRDefault="00FF526E" w:rsidP="00EA2A3F">
      <w:pPr>
        <w:spacing w:after="60"/>
        <w:ind w:left="284" w:hanging="284"/>
      </w:pPr>
      <w:r w:rsidRPr="00EB2612">
        <w:t xml:space="preserve">ČNS IFPI, 2020. VÝSLEDKY TRHU 2019. </w:t>
      </w:r>
      <w:proofErr w:type="spellStart"/>
      <w:r w:rsidRPr="00EB2612">
        <w:t>Dostupne</w:t>
      </w:r>
      <w:proofErr w:type="spellEnd"/>
      <w:r w:rsidRPr="00EB2612">
        <w:t xml:space="preserve"> online: </w:t>
      </w:r>
      <w:hyperlink r:id="rId91" w:history="1">
        <w:r w:rsidRPr="00EB2612">
          <w:rPr>
            <w:rStyle w:val="Hypertextovodkaz"/>
          </w:rPr>
          <w:t>http://www.ifpicr.cz/wp-content/uploads/2020/05/TZ-ČNS-IFPI-Výsledky-trhu-2019-Česká-republika.pdf</w:t>
        </w:r>
      </w:hyperlink>
    </w:p>
    <w:p w:rsidR="00FF526E" w:rsidRPr="00EB2612" w:rsidRDefault="00FF526E" w:rsidP="001132C6">
      <w:pPr>
        <w:spacing w:after="60"/>
        <w:ind w:left="284" w:hanging="284"/>
      </w:pPr>
      <w:r w:rsidRPr="00EB2612">
        <w:t xml:space="preserve">DEBNÁR, Viktor, 2015. Knihy a tisk. In: ŽÁKOVÁ, Eva a kolektiv autorů. Mapování kulturních a kreativních průmyslů v ČR. </w:t>
      </w:r>
      <w:r w:rsidRPr="00EB2612">
        <w:rPr>
          <w:i/>
        </w:rPr>
        <w:t xml:space="preserve">Institut umění – </w:t>
      </w:r>
      <w:proofErr w:type="spellStart"/>
      <w:r w:rsidRPr="00EB2612">
        <w:rPr>
          <w:i/>
        </w:rPr>
        <w:t>Divadlení</w:t>
      </w:r>
      <w:proofErr w:type="spellEnd"/>
      <w:r w:rsidRPr="00EB2612">
        <w:rPr>
          <w:i/>
        </w:rPr>
        <w:t xml:space="preserve"> ústav</w:t>
      </w:r>
      <w:r w:rsidRPr="00EB2612">
        <w:t>.</w:t>
      </w:r>
    </w:p>
    <w:p w:rsidR="00FF526E" w:rsidRPr="00EB2612" w:rsidRDefault="00FF526E" w:rsidP="001132C6">
      <w:pPr>
        <w:spacing w:after="60"/>
        <w:ind w:left="284" w:hanging="284"/>
      </w:pPr>
      <w:r w:rsidRPr="00EB2612">
        <w:t xml:space="preserve">DEG, 2019. DEG </w:t>
      </w:r>
      <w:proofErr w:type="spellStart"/>
      <w:r w:rsidRPr="00EB2612">
        <w:t>Year</w:t>
      </w:r>
      <w:proofErr w:type="spellEnd"/>
      <w:r w:rsidRPr="00EB2612">
        <w:t>-</w:t>
      </w:r>
      <w:proofErr w:type="spellStart"/>
      <w:r w:rsidRPr="00EB2612">
        <w:t>End</w:t>
      </w:r>
      <w:proofErr w:type="spellEnd"/>
      <w:r w:rsidRPr="00EB2612">
        <w:t xml:space="preserve"> 2018 </w:t>
      </w:r>
      <w:proofErr w:type="spellStart"/>
      <w:r w:rsidRPr="00EB2612">
        <w:t>Home</w:t>
      </w:r>
      <w:proofErr w:type="spellEnd"/>
      <w:r w:rsidRPr="00EB2612">
        <w:t xml:space="preserve"> </w:t>
      </w:r>
      <w:proofErr w:type="spellStart"/>
      <w:r w:rsidRPr="00EB2612">
        <w:t>Entertainment</w:t>
      </w:r>
      <w:proofErr w:type="spellEnd"/>
      <w:r w:rsidRPr="00EB2612">
        <w:t xml:space="preserve"> Report. Dostupné online: https://www.degonline.org/wp-content/uploads/2019/01/f3_DEG2018YE_Home_Ent_Report.pdf</w:t>
      </w:r>
    </w:p>
    <w:p w:rsidR="00FF526E" w:rsidRPr="00EB2612" w:rsidRDefault="00FF526E" w:rsidP="001132C6">
      <w:pPr>
        <w:spacing w:after="60"/>
        <w:ind w:left="284" w:hanging="284"/>
      </w:pPr>
      <w:r w:rsidRPr="00EB2612">
        <w:t xml:space="preserve">EAO, 2020. </w:t>
      </w:r>
      <w:proofErr w:type="spellStart"/>
      <w:r w:rsidRPr="00EB2612">
        <w:t>Yearbook</w:t>
      </w:r>
      <w:proofErr w:type="spellEnd"/>
      <w:r w:rsidRPr="00EB2612">
        <w:t xml:space="preserve"> 2019/2020 - </w:t>
      </w:r>
      <w:proofErr w:type="spellStart"/>
      <w:r w:rsidRPr="00EB2612">
        <w:t>Key</w:t>
      </w:r>
      <w:proofErr w:type="spellEnd"/>
      <w:r w:rsidRPr="00EB2612">
        <w:t xml:space="preserve"> </w:t>
      </w:r>
      <w:proofErr w:type="spellStart"/>
      <w:r w:rsidRPr="00EB2612">
        <w:t>trends</w:t>
      </w:r>
      <w:proofErr w:type="spellEnd"/>
      <w:r w:rsidRPr="00EB2612">
        <w:t xml:space="preserve">. </w:t>
      </w:r>
      <w:proofErr w:type="spellStart"/>
      <w:r w:rsidRPr="00EB2612">
        <w:rPr>
          <w:i/>
        </w:rPr>
        <w:t>Eropean</w:t>
      </w:r>
      <w:proofErr w:type="spellEnd"/>
      <w:r w:rsidRPr="00EB2612">
        <w:rPr>
          <w:i/>
        </w:rPr>
        <w:t xml:space="preserve"> </w:t>
      </w:r>
      <w:proofErr w:type="spellStart"/>
      <w:r w:rsidRPr="00EB2612">
        <w:rPr>
          <w:i/>
        </w:rPr>
        <w:t>Audiovisual</w:t>
      </w:r>
      <w:proofErr w:type="spellEnd"/>
      <w:r w:rsidRPr="00EB2612">
        <w:rPr>
          <w:i/>
        </w:rPr>
        <w:t xml:space="preserve"> </w:t>
      </w:r>
      <w:proofErr w:type="spellStart"/>
      <w:r w:rsidRPr="00EB2612">
        <w:rPr>
          <w:i/>
        </w:rPr>
        <w:t>Observatory</w:t>
      </w:r>
      <w:proofErr w:type="spellEnd"/>
      <w:r w:rsidRPr="00EB2612">
        <w:t xml:space="preserve">. Dostupné online: </w:t>
      </w:r>
      <w:hyperlink r:id="rId92" w:history="1">
        <w:r w:rsidRPr="00EB2612">
          <w:rPr>
            <w:rStyle w:val="Hypertextovodkaz"/>
          </w:rPr>
          <w:t>https://rm.coe.int/yearbook-keytrends-2019-2020-en/16809ce58d</w:t>
        </w:r>
      </w:hyperlink>
    </w:p>
    <w:p w:rsidR="00FF526E" w:rsidRPr="00EB2612" w:rsidRDefault="00FF526E" w:rsidP="001132C6">
      <w:pPr>
        <w:spacing w:after="60"/>
        <w:ind w:left="284" w:hanging="284"/>
      </w:pPr>
      <w:r w:rsidRPr="00EB2612">
        <w:t xml:space="preserve">EUROSTAT, 2015. MINUTES OF THE CULTURE STATISTICS WORKING GROUP. </w:t>
      </w:r>
      <w:proofErr w:type="spellStart"/>
      <w:r w:rsidRPr="00EB2612">
        <w:rPr>
          <w:i/>
        </w:rPr>
        <w:t>Eurostat</w:t>
      </w:r>
      <w:proofErr w:type="spellEnd"/>
      <w:r w:rsidRPr="00EB2612">
        <w:t>.</w:t>
      </w:r>
    </w:p>
    <w:p w:rsidR="00FF526E" w:rsidRPr="00EB2612" w:rsidRDefault="00FF526E" w:rsidP="001132C6">
      <w:pPr>
        <w:spacing w:after="60"/>
        <w:ind w:left="284" w:hanging="284"/>
      </w:pPr>
      <w:r w:rsidRPr="00EB2612">
        <w:t xml:space="preserve">EUROSTAT, 2016. </w:t>
      </w:r>
      <w:proofErr w:type="spellStart"/>
      <w:r w:rsidRPr="00EB2612">
        <w:t>Culture</w:t>
      </w:r>
      <w:proofErr w:type="spellEnd"/>
      <w:r w:rsidRPr="00EB2612">
        <w:t xml:space="preserve"> </w:t>
      </w:r>
      <w:proofErr w:type="spellStart"/>
      <w:r w:rsidRPr="00EB2612">
        <w:t>statistics</w:t>
      </w:r>
      <w:proofErr w:type="spellEnd"/>
      <w:r w:rsidRPr="00EB2612">
        <w:t xml:space="preserve">. </w:t>
      </w:r>
      <w:proofErr w:type="spellStart"/>
      <w:r w:rsidRPr="00EB2612">
        <w:rPr>
          <w:i/>
        </w:rPr>
        <w:t>Eurostat</w:t>
      </w:r>
      <w:proofErr w:type="spellEnd"/>
      <w:r w:rsidRPr="00EB2612">
        <w:t>.</w:t>
      </w:r>
    </w:p>
    <w:p w:rsidR="00FF526E" w:rsidRPr="00EB2612" w:rsidRDefault="00FF526E" w:rsidP="00EA2A3F">
      <w:pPr>
        <w:spacing w:after="60"/>
        <w:ind w:left="284" w:hanging="284"/>
      </w:pPr>
      <w:r w:rsidRPr="00EB2612">
        <w:t xml:space="preserve">FEP, 2020. </w:t>
      </w:r>
      <w:proofErr w:type="spellStart"/>
      <w:r w:rsidRPr="00EB2612">
        <w:t>Consequences</w:t>
      </w:r>
      <w:proofErr w:type="spellEnd"/>
      <w:r w:rsidRPr="00EB2612">
        <w:t xml:space="preserve"> </w:t>
      </w:r>
      <w:proofErr w:type="spellStart"/>
      <w:r w:rsidRPr="00EB2612">
        <w:t>of</w:t>
      </w:r>
      <w:proofErr w:type="spellEnd"/>
      <w:r w:rsidRPr="00EB2612">
        <w:t xml:space="preserve"> </w:t>
      </w:r>
      <w:proofErr w:type="spellStart"/>
      <w:r w:rsidRPr="00EB2612">
        <w:t>the</w:t>
      </w:r>
      <w:proofErr w:type="spellEnd"/>
      <w:r w:rsidRPr="00EB2612">
        <w:t xml:space="preserve"> </w:t>
      </w:r>
      <w:proofErr w:type="spellStart"/>
      <w:r w:rsidRPr="00EB2612">
        <w:t>Covid</w:t>
      </w:r>
      <w:proofErr w:type="spellEnd"/>
      <w:r w:rsidRPr="00EB2612">
        <w:t xml:space="preserve">-19 </w:t>
      </w:r>
      <w:proofErr w:type="spellStart"/>
      <w:r w:rsidRPr="00EB2612">
        <w:t>crisis</w:t>
      </w:r>
      <w:proofErr w:type="spellEnd"/>
      <w:r w:rsidRPr="00EB2612">
        <w:t xml:space="preserve"> on </w:t>
      </w:r>
      <w:proofErr w:type="spellStart"/>
      <w:r w:rsidRPr="00EB2612">
        <w:t>the</w:t>
      </w:r>
      <w:proofErr w:type="spellEnd"/>
      <w:r w:rsidRPr="00EB2612">
        <w:t xml:space="preserve"> </w:t>
      </w:r>
      <w:proofErr w:type="spellStart"/>
      <w:r w:rsidRPr="00EB2612">
        <w:t>book</w:t>
      </w:r>
      <w:proofErr w:type="spellEnd"/>
      <w:r w:rsidRPr="00EB2612">
        <w:t xml:space="preserve"> market. Dostupné online: </w:t>
      </w:r>
      <w:hyperlink r:id="rId93" w:history="1">
        <w:r w:rsidRPr="00EB2612">
          <w:rPr>
            <w:rStyle w:val="Hypertextovodkaz"/>
          </w:rPr>
          <w:t>https://fep-fee.eu/IMG/pdf/20190707_-_brochure_covid_digital_only.pdf?1710/a2478e4b0d9ffb23c7679454bd0237c9674a9d3b</w:t>
        </w:r>
      </w:hyperlink>
    </w:p>
    <w:p w:rsidR="00FF526E" w:rsidRPr="00EB2612" w:rsidRDefault="00FF526E" w:rsidP="00EA2A3F">
      <w:pPr>
        <w:spacing w:after="60"/>
        <w:ind w:left="284" w:hanging="284"/>
      </w:pPr>
      <w:r w:rsidRPr="00EB2612">
        <w:t xml:space="preserve">FIPP, 2020. </w:t>
      </w:r>
      <w:proofErr w:type="spellStart"/>
      <w:r w:rsidRPr="00EB2612">
        <w:t>Global</w:t>
      </w:r>
      <w:proofErr w:type="spellEnd"/>
      <w:r w:rsidRPr="00EB2612">
        <w:t xml:space="preserve"> Digital </w:t>
      </w:r>
      <w:proofErr w:type="spellStart"/>
      <w:r w:rsidRPr="00EB2612">
        <w:t>Subscriptions</w:t>
      </w:r>
      <w:proofErr w:type="spellEnd"/>
      <w:r w:rsidRPr="00EB2612">
        <w:t xml:space="preserve"> </w:t>
      </w:r>
      <w:proofErr w:type="spellStart"/>
      <w:r w:rsidRPr="00EB2612">
        <w:t>Snapshot</w:t>
      </w:r>
      <w:proofErr w:type="spellEnd"/>
      <w:r w:rsidRPr="00EB2612">
        <w:t xml:space="preserve"> Q3 2020. Dostupné online: </w:t>
      </w:r>
      <w:hyperlink r:id="rId94" w:history="1">
        <w:r w:rsidRPr="00EB2612">
          <w:rPr>
            <w:rStyle w:val="Hypertextovodkaz"/>
          </w:rPr>
          <w:t>http://www.fipp.com/wp-content/uploads/2020/09/GDS_Snapshot_2020_Q3_V1.pdf</w:t>
        </w:r>
      </w:hyperlink>
    </w:p>
    <w:p w:rsidR="00FF526E" w:rsidRPr="00EB2612" w:rsidRDefault="00FF526E" w:rsidP="001132C6">
      <w:pPr>
        <w:spacing w:after="60"/>
        <w:ind w:left="284" w:hanging="284"/>
      </w:pPr>
      <w:r w:rsidRPr="00EB2612">
        <w:t xml:space="preserve">FLETCHER, Richard a kolektiv autorů, 2017. Digital </w:t>
      </w:r>
      <w:proofErr w:type="spellStart"/>
      <w:r w:rsidRPr="00EB2612">
        <w:t>News</w:t>
      </w:r>
      <w:proofErr w:type="spellEnd"/>
      <w:r w:rsidRPr="00EB2612">
        <w:t xml:space="preserve"> Report. </w:t>
      </w:r>
      <w:proofErr w:type="spellStart"/>
      <w:r w:rsidRPr="00EB2612">
        <w:t>Reuters</w:t>
      </w:r>
      <w:proofErr w:type="spellEnd"/>
      <w:r w:rsidRPr="00EB2612">
        <w:t xml:space="preserve"> Institute. Dostupné online: </w:t>
      </w:r>
      <w:hyperlink r:id="rId95" w:history="1">
        <w:r w:rsidRPr="00EB2612">
          <w:rPr>
            <w:rStyle w:val="Hypertextovodkaz"/>
          </w:rPr>
          <w:t>http://www.digitalnewsreport.org/survey/2017/overview-key-findings-2017/</w:t>
        </w:r>
      </w:hyperlink>
    </w:p>
    <w:p w:rsidR="00FF526E" w:rsidRPr="00EB2612" w:rsidRDefault="00FF526E" w:rsidP="001132C6">
      <w:pPr>
        <w:spacing w:after="60"/>
        <w:ind w:left="284" w:hanging="284"/>
      </w:pPr>
      <w:r w:rsidRPr="00EB2612">
        <w:t xml:space="preserve">FLETCHER, Richard a kolektiv autorů, 2019. Digital </w:t>
      </w:r>
      <w:proofErr w:type="spellStart"/>
      <w:r w:rsidRPr="00EB2612">
        <w:t>News</w:t>
      </w:r>
      <w:proofErr w:type="spellEnd"/>
      <w:r w:rsidRPr="00EB2612">
        <w:t xml:space="preserve"> Report. </w:t>
      </w:r>
      <w:proofErr w:type="spellStart"/>
      <w:r w:rsidRPr="00EB2612">
        <w:t>Reuters</w:t>
      </w:r>
      <w:proofErr w:type="spellEnd"/>
      <w:r w:rsidRPr="00EB2612">
        <w:t xml:space="preserve"> Institute. Dostupné online: </w:t>
      </w:r>
      <w:hyperlink r:id="rId96" w:history="1">
        <w:r w:rsidRPr="00EB2612">
          <w:rPr>
            <w:rStyle w:val="Hypertextovodkaz"/>
          </w:rPr>
          <w:t>https://reutersinstitute.politics.ox.ac.uk/sites/default/files/inline-files/DNR_2019_FINAL.pdf</w:t>
        </w:r>
      </w:hyperlink>
    </w:p>
    <w:p w:rsidR="00FF526E" w:rsidRPr="00EB2612" w:rsidRDefault="00FF526E" w:rsidP="001132C6">
      <w:pPr>
        <w:spacing w:after="60"/>
        <w:ind w:left="284" w:hanging="284"/>
      </w:pPr>
      <w:r w:rsidRPr="00EB2612">
        <w:t xml:space="preserve">GDACZ, 2019. České počítačové hry. Dostupné online: </w:t>
      </w:r>
      <w:hyperlink r:id="rId97" w:history="1">
        <w:r w:rsidRPr="00EB2612">
          <w:rPr>
            <w:rStyle w:val="Hypertextovodkaz"/>
          </w:rPr>
          <w:t>https://gda.cz/wp-content/uploads/2019/03/CeskePocitacoveHry.pdf</w:t>
        </w:r>
      </w:hyperlink>
    </w:p>
    <w:p w:rsidR="00FF526E" w:rsidRPr="00EB2612" w:rsidRDefault="00FF526E" w:rsidP="00EA2A3F">
      <w:pPr>
        <w:spacing w:after="60"/>
        <w:ind w:left="284" w:hanging="284"/>
      </w:pPr>
      <w:r w:rsidRPr="00EB2612">
        <w:lastRenderedPageBreak/>
        <w:t xml:space="preserve">GDACZ, 2020. České počítačové hry. Dostupné online: </w:t>
      </w:r>
      <w:hyperlink r:id="rId98" w:history="1">
        <w:r w:rsidRPr="00EB2612">
          <w:rPr>
            <w:rStyle w:val="Hypertextovodkaz"/>
          </w:rPr>
          <w:t>https://gda.cz/wp-content/uploads/2020/06/Studie_GDACZ_2020.pdf</w:t>
        </w:r>
      </w:hyperlink>
    </w:p>
    <w:p w:rsidR="00FF526E" w:rsidRPr="00EB2612" w:rsidRDefault="00FF526E" w:rsidP="001132C6">
      <w:pPr>
        <w:spacing w:after="60"/>
        <w:ind w:left="284" w:hanging="284"/>
      </w:pPr>
      <w:r w:rsidRPr="00EB2612">
        <w:t xml:space="preserve">HALL, Charlie, 2018. </w:t>
      </w:r>
      <w:proofErr w:type="spellStart"/>
      <w:r w:rsidRPr="00EB2612">
        <w:t>For</w:t>
      </w:r>
      <w:proofErr w:type="spellEnd"/>
      <w:r w:rsidRPr="00EB2612">
        <w:t xml:space="preserve"> a </w:t>
      </w:r>
      <w:proofErr w:type="spellStart"/>
      <w:r w:rsidRPr="00EB2612">
        <w:t>brief</w:t>
      </w:r>
      <w:proofErr w:type="spellEnd"/>
      <w:r w:rsidRPr="00EB2612">
        <w:t xml:space="preserve"> moment, </w:t>
      </w:r>
      <w:proofErr w:type="spellStart"/>
      <w:r w:rsidRPr="00EB2612">
        <w:t>we</w:t>
      </w:r>
      <w:proofErr w:type="spellEnd"/>
      <w:r w:rsidRPr="00EB2612">
        <w:t xml:space="preserve"> </w:t>
      </w:r>
      <w:proofErr w:type="spellStart"/>
      <w:r w:rsidRPr="00EB2612">
        <w:t>knew</w:t>
      </w:r>
      <w:proofErr w:type="spellEnd"/>
      <w:r w:rsidRPr="00EB2612">
        <w:t xml:space="preserve"> </w:t>
      </w:r>
      <w:proofErr w:type="spellStart"/>
      <w:r w:rsidRPr="00EB2612">
        <w:t>how</w:t>
      </w:r>
      <w:proofErr w:type="spellEnd"/>
      <w:r w:rsidRPr="00EB2612">
        <w:t xml:space="preserve"> many </w:t>
      </w:r>
      <w:proofErr w:type="spellStart"/>
      <w:r w:rsidRPr="00EB2612">
        <w:t>games</w:t>
      </w:r>
      <w:proofErr w:type="spellEnd"/>
      <w:r w:rsidRPr="00EB2612">
        <w:t xml:space="preserve"> </w:t>
      </w:r>
      <w:proofErr w:type="spellStart"/>
      <w:r w:rsidRPr="00EB2612">
        <w:t>Steam</w:t>
      </w:r>
      <w:proofErr w:type="spellEnd"/>
      <w:r w:rsidRPr="00EB2612">
        <w:t xml:space="preserve"> had sold. </w:t>
      </w:r>
      <w:r w:rsidRPr="00EB2612">
        <w:rPr>
          <w:i/>
        </w:rPr>
        <w:t>Polygon</w:t>
      </w:r>
      <w:r w:rsidRPr="00EB2612">
        <w:t xml:space="preserve">. Dostupné online: </w:t>
      </w:r>
      <w:hyperlink r:id="rId99" w:history="1">
        <w:r w:rsidRPr="00EB2612">
          <w:rPr>
            <w:rStyle w:val="Hypertextovodkaz"/>
          </w:rPr>
          <w:t>https://www.polygon.com/2018/7/6/17542506/steam-games-sales-data-leak</w:t>
        </w:r>
      </w:hyperlink>
    </w:p>
    <w:p w:rsidR="00FF526E" w:rsidRDefault="00FF526E" w:rsidP="001132C6">
      <w:pPr>
        <w:spacing w:after="60"/>
        <w:ind w:left="284" w:hanging="284"/>
      </w:pPr>
      <w:r>
        <w:t>IFPI, 2020</w:t>
      </w:r>
      <w:r w:rsidRPr="00EB2612">
        <w:t xml:space="preserve">. </w:t>
      </w:r>
      <w:proofErr w:type="spellStart"/>
      <w:r w:rsidRPr="00EB2612">
        <w:t>Global</w:t>
      </w:r>
      <w:proofErr w:type="spellEnd"/>
      <w:r w:rsidRPr="00EB2612">
        <w:t xml:space="preserve"> Music Report: </w:t>
      </w:r>
      <w:proofErr w:type="spellStart"/>
      <w:r>
        <w:t>The</w:t>
      </w:r>
      <w:proofErr w:type="spellEnd"/>
      <w:r>
        <w:t xml:space="preserve"> </w:t>
      </w:r>
      <w:proofErr w:type="spellStart"/>
      <w:r>
        <w:t>Industry</w:t>
      </w:r>
      <w:proofErr w:type="spellEnd"/>
      <w:r>
        <w:t xml:space="preserve"> In 2019</w:t>
      </w:r>
      <w:r w:rsidRPr="00EB2612">
        <w:t xml:space="preserve">. Dostupné online: </w:t>
      </w:r>
      <w:hyperlink r:id="rId100" w:history="1">
        <w:r w:rsidRPr="00370B79">
          <w:rPr>
            <w:rStyle w:val="Hypertextovodkaz"/>
          </w:rPr>
          <w:t>https://www.ifpi.org/wp-content/uploads/2020/07/Global_Music_Report-the_Industry_in_2019-en.pdf</w:t>
        </w:r>
      </w:hyperlink>
    </w:p>
    <w:p w:rsidR="00FF526E" w:rsidRPr="00EB2612" w:rsidRDefault="00FF526E" w:rsidP="00EA2A3F">
      <w:pPr>
        <w:spacing w:after="60"/>
        <w:ind w:left="284" w:hanging="284"/>
      </w:pPr>
      <w:r w:rsidRPr="00EB2612">
        <w:t xml:space="preserve">ISFE, 2020. VIDEO GAMING IN LOCKDOWN. Dostupné online: </w:t>
      </w:r>
      <w:hyperlink r:id="rId101" w:history="1">
        <w:r w:rsidRPr="00EB2612">
          <w:rPr>
            <w:rStyle w:val="Hypertextovodkaz"/>
          </w:rPr>
          <w:t>https://www.isfe.eu/wp-content/uploads/2020/09/IpsosMori-Gaming-during-Lockdown-Q1-Q2-2020-report.pdf</w:t>
        </w:r>
      </w:hyperlink>
    </w:p>
    <w:p w:rsidR="00FF526E" w:rsidRPr="00EB2612" w:rsidRDefault="00FF526E" w:rsidP="001132C6">
      <w:pPr>
        <w:spacing w:after="60"/>
        <w:ind w:left="284" w:hanging="284"/>
      </w:pPr>
      <w:r w:rsidRPr="00EB2612">
        <w:t xml:space="preserve">KEA, 2006. Ekonomika kultury v Evropě. Dostupné online: </w:t>
      </w:r>
      <w:hyperlink r:id="rId102" w:history="1">
        <w:r w:rsidRPr="00EB2612">
          <w:rPr>
            <w:rStyle w:val="Hypertextovodkaz"/>
          </w:rPr>
          <w:t>http://www.mkcr.cz/assets/profesionalni-umeni/Ekonomika-kultury-v-Evrope.doc</w:t>
        </w:r>
      </w:hyperlink>
      <w:r w:rsidRPr="00EB2612">
        <w:t>.</w:t>
      </w:r>
    </w:p>
    <w:p w:rsidR="00FF526E" w:rsidRPr="00EB2612" w:rsidRDefault="00FF526E" w:rsidP="001132C6">
      <w:pPr>
        <w:spacing w:after="60"/>
        <w:ind w:left="284" w:hanging="284"/>
      </w:pPr>
      <w:r w:rsidRPr="00EB2612">
        <w:t xml:space="preserve">KŘEČEK, Jan, 2015. TV a rozhlas. In: ŽÁKOVÁ, Eva a kolektiv autorů. Mapování kulturních a kreativních průmyslů v ČR. </w:t>
      </w:r>
      <w:r w:rsidRPr="00EB2612">
        <w:rPr>
          <w:i/>
        </w:rPr>
        <w:t xml:space="preserve">Institut umění – </w:t>
      </w:r>
      <w:proofErr w:type="spellStart"/>
      <w:r w:rsidRPr="00EB2612">
        <w:rPr>
          <w:i/>
        </w:rPr>
        <w:t>Divadlení</w:t>
      </w:r>
      <w:proofErr w:type="spellEnd"/>
      <w:r w:rsidRPr="00EB2612">
        <w:rPr>
          <w:i/>
        </w:rPr>
        <w:t xml:space="preserve"> ústav</w:t>
      </w:r>
      <w:r w:rsidRPr="00EB2612">
        <w:t>.</w:t>
      </w:r>
    </w:p>
    <w:p w:rsidR="00FF526E" w:rsidRPr="00EB2612" w:rsidRDefault="00FF526E" w:rsidP="001132C6">
      <w:pPr>
        <w:spacing w:after="60"/>
        <w:ind w:left="284" w:hanging="284"/>
      </w:pPr>
      <w:proofErr w:type="gramStart"/>
      <w:r w:rsidRPr="00EB2612">
        <w:t>LUPA.CZ</w:t>
      </w:r>
      <w:proofErr w:type="gramEnd"/>
      <w:r w:rsidRPr="00EB2612">
        <w:t xml:space="preserve">, 2018. </w:t>
      </w:r>
      <w:proofErr w:type="spellStart"/>
      <w:r w:rsidRPr="00EB2612">
        <w:t>Netflix</w:t>
      </w:r>
      <w:proofErr w:type="spellEnd"/>
      <w:r w:rsidRPr="00EB2612">
        <w:t xml:space="preserve"> zatím vlastní servery v Česku a na Slovensku neplánuje. </w:t>
      </w:r>
      <w:r w:rsidRPr="00EB2612">
        <w:rPr>
          <w:i/>
        </w:rPr>
        <w:t>Lupa.</w:t>
      </w:r>
      <w:proofErr w:type="spellStart"/>
      <w:r w:rsidRPr="00EB2612">
        <w:rPr>
          <w:i/>
        </w:rPr>
        <w:t>cz</w:t>
      </w:r>
      <w:proofErr w:type="spellEnd"/>
      <w:r w:rsidRPr="00EB2612">
        <w:rPr>
          <w:i/>
        </w:rPr>
        <w:t xml:space="preserve">. </w:t>
      </w:r>
      <w:r w:rsidRPr="00EB2612">
        <w:t xml:space="preserve">Dostupné online:  </w:t>
      </w:r>
      <w:hyperlink r:id="rId103" w:history="1">
        <w:r w:rsidRPr="00EB2612">
          <w:rPr>
            <w:rStyle w:val="Hypertextovodkaz"/>
          </w:rPr>
          <w:t>https://www.lupa.cz/aktuality/neflix-zatim-vlastni-servery-v-cesku-a-na-slovensku-neplanuje/</w:t>
        </w:r>
      </w:hyperlink>
    </w:p>
    <w:p w:rsidR="00FF526E" w:rsidRPr="00EB2612" w:rsidRDefault="00FF526E" w:rsidP="001132C6">
      <w:pPr>
        <w:spacing w:after="60"/>
        <w:ind w:left="284" w:hanging="284"/>
      </w:pPr>
      <w:r w:rsidRPr="00EB2612">
        <w:t xml:space="preserve">MEDIAGURU, 2019. </w:t>
      </w:r>
      <w:proofErr w:type="spellStart"/>
      <w:r w:rsidRPr="00EB2612">
        <w:t>Netflix</w:t>
      </w:r>
      <w:proofErr w:type="spellEnd"/>
      <w:r w:rsidRPr="00EB2612">
        <w:t xml:space="preserve"> zahájil rok rekordním přírůstkem předplatitelů. Dostupné online: </w:t>
      </w:r>
      <w:hyperlink r:id="rId104" w:history="1">
        <w:r w:rsidRPr="00EB2612">
          <w:rPr>
            <w:rStyle w:val="Hypertextovodkaz"/>
          </w:rPr>
          <w:t>https://www.mediaguru.cz/clanky/2019/04/netflix-zahajil-rok-rekordnim-prirustkem-predplatitelu/</w:t>
        </w:r>
      </w:hyperlink>
    </w:p>
    <w:p w:rsidR="00FF526E" w:rsidRPr="00EB2612" w:rsidRDefault="00FF526E" w:rsidP="00EA2A3F">
      <w:pPr>
        <w:spacing w:after="60"/>
        <w:ind w:left="284" w:hanging="284"/>
      </w:pPr>
      <w:r w:rsidRPr="00EB2612">
        <w:t xml:space="preserve">MEDIAGURU, 2020a. Skupina Prima loni skončila v zisku přes 340 mil. korun. Dostupné online: </w:t>
      </w:r>
      <w:hyperlink r:id="rId105" w:history="1">
        <w:r w:rsidRPr="00EB2612">
          <w:rPr>
            <w:rStyle w:val="Hypertextovodkaz"/>
          </w:rPr>
          <w:t>https://www.mediaguru.cz/clanky/2020/06/skupina-prima-loni-skoncila-v-zisku-pres-340-mil-korun/</w:t>
        </w:r>
      </w:hyperlink>
    </w:p>
    <w:p w:rsidR="00FF526E" w:rsidRPr="00EB2612" w:rsidRDefault="00FF526E" w:rsidP="00EA2A3F">
      <w:pPr>
        <w:spacing w:after="60"/>
        <w:ind w:left="284" w:hanging="284"/>
      </w:pPr>
      <w:r w:rsidRPr="00EB2612">
        <w:t xml:space="preserve">MEDIAGURU,2020b. Zisk skupiny TV Nova loni vystoupal na 810 mil. korun. Dostupné online: </w:t>
      </w:r>
      <w:hyperlink r:id="rId106" w:history="1">
        <w:r w:rsidRPr="00EB2612">
          <w:rPr>
            <w:rStyle w:val="Hypertextovodkaz"/>
          </w:rPr>
          <w:t>https://www.mediaguru.cz/clanky/2020/08/zisk-skupiny-tv-nova-loni-vystoupal-na-810-mil-korun/</w:t>
        </w:r>
      </w:hyperlink>
    </w:p>
    <w:p w:rsidR="00FF526E" w:rsidRPr="00EB2612" w:rsidRDefault="00FF526E" w:rsidP="00EA2A3F">
      <w:pPr>
        <w:spacing w:after="60"/>
        <w:ind w:left="284" w:hanging="284"/>
      </w:pPr>
      <w:r w:rsidRPr="00EB2612">
        <w:t xml:space="preserve">MEDIAN, 2020. </w:t>
      </w:r>
      <w:proofErr w:type="spellStart"/>
      <w:r w:rsidRPr="00EB2612">
        <w:t>adMeter</w:t>
      </w:r>
      <w:proofErr w:type="spellEnd"/>
      <w:r w:rsidRPr="00EB2612">
        <w:t xml:space="preserve"> a </w:t>
      </w:r>
      <w:proofErr w:type="spellStart"/>
      <w:r w:rsidRPr="00EB2612">
        <w:t>koronavirus</w:t>
      </w:r>
      <w:proofErr w:type="spellEnd"/>
      <w:r w:rsidRPr="00EB2612">
        <w:t xml:space="preserve"> – změny v mediální konzumaci Čechů. Dostupné online: </w:t>
      </w:r>
      <w:hyperlink r:id="rId107" w:history="1">
        <w:r w:rsidRPr="00EB2612">
          <w:rPr>
            <w:rStyle w:val="Hypertextovodkaz"/>
          </w:rPr>
          <w:t>https://www.median.eu/cs/wp-content/uploads/2020/03/MEDIAN_adMeter_koronavirus_zmeny_v_medialni_konzumaci_Cechu_20200330.pdf</w:t>
        </w:r>
      </w:hyperlink>
    </w:p>
    <w:p w:rsidR="00FF526E" w:rsidRPr="00EB2612" w:rsidRDefault="00FF526E" w:rsidP="00EA2A3F">
      <w:pPr>
        <w:spacing w:after="60"/>
        <w:ind w:left="284" w:hanging="284"/>
      </w:pPr>
      <w:r w:rsidRPr="00EB2612">
        <w:t xml:space="preserve">MEDIAN, STEM/MARK, 2020. Rádio v době nouzového stavu lidé intenzivně poslouchají, relaxují u něj a považují jej za důležité při informování. Dostupné online: </w:t>
      </w:r>
      <w:hyperlink r:id="rId108" w:history="1">
        <w:r w:rsidRPr="00EB2612">
          <w:rPr>
            <w:rStyle w:val="Hypertextovodkaz"/>
          </w:rPr>
          <w:t>https://www.median.eu/cs/wp-content/uploads/2020/05/MEDIAN_STEM_MARK_TZ_Poslechovost_radii_v_dobe_nouzoveho_stavu_20200526.pdf</w:t>
        </w:r>
      </w:hyperlink>
    </w:p>
    <w:p w:rsidR="00FF526E" w:rsidRPr="00EB2612" w:rsidRDefault="00FF526E" w:rsidP="001132C6">
      <w:pPr>
        <w:spacing w:after="60"/>
        <w:ind w:left="284" w:hanging="284"/>
      </w:pPr>
      <w:r w:rsidRPr="00EB2612">
        <w:t xml:space="preserve">MÉDIÁŘ, 2012. Český a slovenský trh s DVD loni klesl, prodej </w:t>
      </w:r>
      <w:proofErr w:type="spellStart"/>
      <w:r w:rsidRPr="00EB2612">
        <w:t>Blu</w:t>
      </w:r>
      <w:proofErr w:type="spellEnd"/>
      <w:r w:rsidRPr="00EB2612">
        <w:t>-</w:t>
      </w:r>
      <w:proofErr w:type="spellStart"/>
      <w:r w:rsidRPr="00EB2612">
        <w:t>ray</w:t>
      </w:r>
      <w:proofErr w:type="spellEnd"/>
      <w:r w:rsidRPr="00EB2612">
        <w:t xml:space="preserve"> vzrostl. </w:t>
      </w:r>
      <w:r w:rsidRPr="00EB2612">
        <w:rPr>
          <w:i/>
        </w:rPr>
        <w:t>Mediar.cz</w:t>
      </w:r>
      <w:r w:rsidRPr="00EB2612">
        <w:t xml:space="preserve">. Dostupné online: </w:t>
      </w:r>
      <w:hyperlink r:id="rId109" w:history="1">
        <w:r w:rsidRPr="00EB2612">
          <w:rPr>
            <w:rStyle w:val="Hypertextovodkaz"/>
          </w:rPr>
          <w:t>http://www.mediar.cz/cesky-a-slovensky-trh-s-dvd-loni-klesl-prodej-blu-ray-vzrostl/</w:t>
        </w:r>
      </w:hyperlink>
    </w:p>
    <w:p w:rsidR="00FF526E" w:rsidRPr="00EB2612" w:rsidRDefault="00FF526E" w:rsidP="001132C6">
      <w:pPr>
        <w:spacing w:after="60"/>
        <w:ind w:left="284" w:hanging="284"/>
      </w:pPr>
      <w:r w:rsidRPr="00EB2612">
        <w:t xml:space="preserve">MEJSTŘÍK, M., J. CHVALKOVSKÁ a K. MARKOVÁ, 2009. Vybrané pasáže z hodnocení dopadů regulace (velká RIA) k části návrhu zákona o kinematografii vztahující se k úpravě podpory filmovému průmyslu. </w:t>
      </w:r>
      <w:r w:rsidRPr="00EB2612">
        <w:rPr>
          <w:i/>
        </w:rPr>
        <w:t>EEIP</w:t>
      </w:r>
      <w:r w:rsidRPr="00EB2612">
        <w:t xml:space="preserve">. Dostupné online: </w:t>
      </w:r>
      <w:hyperlink r:id="rId110" w:history="1">
        <w:r w:rsidRPr="00EB2612">
          <w:rPr>
            <w:rStyle w:val="Hypertextovodkaz"/>
          </w:rPr>
          <w:t>http://www.mkcr.cz/assets/media-a-audiovize/kinematografie/Priloha-Strategie-konkurenceschopnosti-ceskeho-filmoveho-prumyslu-2011--2016.pdf</w:t>
        </w:r>
      </w:hyperlink>
    </w:p>
    <w:p w:rsidR="00FF526E" w:rsidRPr="00EB2612" w:rsidRDefault="00FF526E" w:rsidP="001132C6">
      <w:pPr>
        <w:spacing w:after="60"/>
        <w:ind w:left="284" w:hanging="284"/>
      </w:pPr>
      <w:r w:rsidRPr="00EB2612">
        <w:t xml:space="preserve">MOŠNA, Petr, 2010. Film. In: ŽÁKOVÁ, Eva a kolektiv autorů. Kulturní a kreativní průmysly v České republice. </w:t>
      </w:r>
      <w:r w:rsidRPr="00EB2612">
        <w:rPr>
          <w:i/>
        </w:rPr>
        <w:t xml:space="preserve">Institut umění – </w:t>
      </w:r>
      <w:proofErr w:type="spellStart"/>
      <w:r w:rsidRPr="00EB2612">
        <w:rPr>
          <w:i/>
        </w:rPr>
        <w:t>Divadlení</w:t>
      </w:r>
      <w:proofErr w:type="spellEnd"/>
      <w:r w:rsidRPr="00EB2612">
        <w:rPr>
          <w:i/>
        </w:rPr>
        <w:t xml:space="preserve"> ústav</w:t>
      </w:r>
      <w:r w:rsidRPr="00EB2612">
        <w:t>.</w:t>
      </w:r>
    </w:p>
    <w:p w:rsidR="00FF526E" w:rsidRPr="00EB2612" w:rsidRDefault="00FF526E" w:rsidP="00EA2A3F">
      <w:pPr>
        <w:spacing w:after="60"/>
        <w:ind w:left="284" w:hanging="284"/>
      </w:pPr>
      <w:proofErr w:type="spellStart"/>
      <w:r w:rsidRPr="00EB2612">
        <w:t>Newzoo</w:t>
      </w:r>
      <w:proofErr w:type="spellEnd"/>
      <w:r w:rsidRPr="00EB2612">
        <w:t xml:space="preserve">, 2020. </w:t>
      </w:r>
      <w:proofErr w:type="spellStart"/>
      <w:r w:rsidRPr="00EB2612">
        <w:t>The</w:t>
      </w:r>
      <w:proofErr w:type="spellEnd"/>
      <w:r w:rsidRPr="00EB2612">
        <w:t xml:space="preserve"> </w:t>
      </w:r>
      <w:proofErr w:type="spellStart"/>
      <w:r w:rsidRPr="00EB2612">
        <w:t>World’s</w:t>
      </w:r>
      <w:proofErr w:type="spellEnd"/>
      <w:r w:rsidRPr="00EB2612">
        <w:t xml:space="preserve"> 2.7 </w:t>
      </w:r>
      <w:proofErr w:type="spellStart"/>
      <w:r w:rsidRPr="00EB2612">
        <w:t>Billion</w:t>
      </w:r>
      <w:proofErr w:type="spellEnd"/>
      <w:r w:rsidRPr="00EB2612">
        <w:t xml:space="preserve"> </w:t>
      </w:r>
      <w:proofErr w:type="spellStart"/>
      <w:r w:rsidRPr="00EB2612">
        <w:t>Gamers</w:t>
      </w:r>
      <w:proofErr w:type="spellEnd"/>
      <w:r w:rsidRPr="00EB2612">
        <w:t xml:space="preserve"> </w:t>
      </w:r>
      <w:proofErr w:type="spellStart"/>
      <w:r w:rsidRPr="00EB2612">
        <w:t>Will</w:t>
      </w:r>
      <w:proofErr w:type="spellEnd"/>
      <w:r w:rsidRPr="00EB2612">
        <w:t xml:space="preserve"> </w:t>
      </w:r>
      <w:proofErr w:type="spellStart"/>
      <w:r w:rsidRPr="00EB2612">
        <w:t>Spend</w:t>
      </w:r>
      <w:proofErr w:type="spellEnd"/>
      <w:r w:rsidRPr="00EB2612">
        <w:t xml:space="preserve"> $159.3 </w:t>
      </w:r>
      <w:proofErr w:type="spellStart"/>
      <w:r w:rsidRPr="00EB2612">
        <w:t>Billion</w:t>
      </w:r>
      <w:proofErr w:type="spellEnd"/>
      <w:r w:rsidRPr="00EB2612">
        <w:t xml:space="preserve"> on </w:t>
      </w:r>
      <w:proofErr w:type="spellStart"/>
      <w:r w:rsidRPr="00EB2612">
        <w:t>Games</w:t>
      </w:r>
      <w:proofErr w:type="spellEnd"/>
      <w:r w:rsidRPr="00EB2612">
        <w:t xml:space="preserve"> in 2020; </w:t>
      </w:r>
      <w:proofErr w:type="spellStart"/>
      <w:r w:rsidRPr="00EB2612">
        <w:t>The</w:t>
      </w:r>
      <w:proofErr w:type="spellEnd"/>
      <w:r w:rsidRPr="00EB2612">
        <w:t xml:space="preserve"> Market </w:t>
      </w:r>
      <w:proofErr w:type="spellStart"/>
      <w:r w:rsidRPr="00EB2612">
        <w:t>Will</w:t>
      </w:r>
      <w:proofErr w:type="spellEnd"/>
      <w:r w:rsidRPr="00EB2612">
        <w:t xml:space="preserve"> </w:t>
      </w:r>
      <w:proofErr w:type="spellStart"/>
      <w:r w:rsidRPr="00EB2612">
        <w:t>Surpass</w:t>
      </w:r>
      <w:proofErr w:type="spellEnd"/>
      <w:r w:rsidRPr="00EB2612">
        <w:t xml:space="preserve"> $200 </w:t>
      </w:r>
      <w:proofErr w:type="spellStart"/>
      <w:r w:rsidRPr="00EB2612">
        <w:t>Billion</w:t>
      </w:r>
      <w:proofErr w:type="spellEnd"/>
      <w:r w:rsidRPr="00EB2612">
        <w:t xml:space="preserve"> by 2023. Dostupné online: </w:t>
      </w:r>
      <w:hyperlink r:id="rId111" w:history="1">
        <w:r w:rsidRPr="00EB2612">
          <w:rPr>
            <w:rStyle w:val="Hypertextovodkaz"/>
          </w:rPr>
          <w:t>https://newzoo.com/insights/articles/newzoo-games-market-numbers-revenues-and-audience-2020-2023/</w:t>
        </w:r>
      </w:hyperlink>
    </w:p>
    <w:p w:rsidR="00FF526E" w:rsidRPr="00EB2612" w:rsidRDefault="00FF526E" w:rsidP="001132C6">
      <w:pPr>
        <w:spacing w:after="60"/>
        <w:ind w:left="284" w:hanging="284"/>
      </w:pPr>
      <w:r w:rsidRPr="00EB2612">
        <w:lastRenderedPageBreak/>
        <w:t xml:space="preserve">POTOČKOVÁ, Martina, 2018. Co Češi tolik nekupují. CD a DVD už jsou mrtvá i pro statistiky. </w:t>
      </w:r>
      <w:proofErr w:type="spellStart"/>
      <w:r w:rsidRPr="00EB2612">
        <w:rPr>
          <w:i/>
        </w:rPr>
        <w:t>iDNES</w:t>
      </w:r>
      <w:proofErr w:type="spellEnd"/>
      <w:r w:rsidRPr="00EB2612">
        <w:rPr>
          <w:i/>
        </w:rPr>
        <w:t>.</w:t>
      </w:r>
      <w:r w:rsidRPr="00EB2612">
        <w:t xml:space="preserve"> Dostupné online:</w:t>
      </w:r>
      <w:hyperlink r:id="rId112" w:history="1">
        <w:r w:rsidRPr="00EB2612">
          <w:rPr>
            <w:rStyle w:val="Hypertextovodkaz"/>
          </w:rPr>
          <w:t>https://ekonomika.idnes.cz/statistiky-spotrebni-kos-cd-dvd-dad-/ekonomika.aspx?c=A180222_212428_ekonomika_jn</w:t>
        </w:r>
      </w:hyperlink>
    </w:p>
    <w:p w:rsidR="00FF526E" w:rsidRPr="00EB2612" w:rsidRDefault="00FF526E" w:rsidP="001132C6">
      <w:pPr>
        <w:spacing w:after="60"/>
        <w:ind w:left="284" w:hanging="284"/>
      </w:pPr>
      <w:r w:rsidRPr="00EB2612">
        <w:t xml:space="preserve">PWC, 2019. </w:t>
      </w:r>
      <w:proofErr w:type="spellStart"/>
      <w:r w:rsidRPr="00EB2612">
        <w:t>Global</w:t>
      </w:r>
      <w:proofErr w:type="spellEnd"/>
      <w:r w:rsidRPr="00EB2612">
        <w:t xml:space="preserve"> </w:t>
      </w:r>
      <w:proofErr w:type="spellStart"/>
      <w:r w:rsidRPr="00EB2612">
        <w:t>entertainment</w:t>
      </w:r>
      <w:proofErr w:type="spellEnd"/>
      <w:r w:rsidRPr="00EB2612">
        <w:t xml:space="preserve"> </w:t>
      </w:r>
      <w:proofErr w:type="spellStart"/>
      <w:r w:rsidRPr="00EB2612">
        <w:t>and</w:t>
      </w:r>
      <w:proofErr w:type="spellEnd"/>
      <w:r w:rsidRPr="00EB2612">
        <w:t xml:space="preserve"> media </w:t>
      </w:r>
      <w:proofErr w:type="spellStart"/>
      <w:r w:rsidRPr="00EB2612">
        <w:t>outlook</w:t>
      </w:r>
      <w:proofErr w:type="spellEnd"/>
      <w:r w:rsidRPr="00EB2612">
        <w:t xml:space="preserve"> 2019-2023 (</w:t>
      </w:r>
      <w:proofErr w:type="spellStart"/>
      <w:r w:rsidRPr="00EB2612">
        <w:t>overview</w:t>
      </w:r>
      <w:proofErr w:type="spellEnd"/>
      <w:r w:rsidRPr="00EB2612">
        <w:t xml:space="preserve">). </w:t>
      </w:r>
      <w:proofErr w:type="spellStart"/>
      <w:r w:rsidRPr="00EB2612">
        <w:rPr>
          <w:i/>
        </w:rPr>
        <w:t>PricewaterhouseCoopers</w:t>
      </w:r>
      <w:proofErr w:type="spellEnd"/>
      <w:r w:rsidRPr="00EB2612">
        <w:rPr>
          <w:i/>
        </w:rPr>
        <w:t xml:space="preserve">. </w:t>
      </w:r>
      <w:r w:rsidRPr="00EB2612">
        <w:t xml:space="preserve">Dostupné online z: </w:t>
      </w:r>
      <w:hyperlink r:id="rId113" w:history="1">
        <w:r w:rsidRPr="00EB2612">
          <w:rPr>
            <w:rStyle w:val="Hypertextovodkaz"/>
          </w:rPr>
          <w:t>https://www.pwc.com/gx/en/industries/tmt/media/outlook/segment-findings.html</w:t>
        </w:r>
      </w:hyperlink>
    </w:p>
    <w:p w:rsidR="00FF526E" w:rsidRPr="00EB2612" w:rsidRDefault="00FF526E" w:rsidP="00EA2A3F">
      <w:pPr>
        <w:spacing w:after="60"/>
        <w:ind w:left="284" w:hanging="284"/>
      </w:pPr>
      <w:proofErr w:type="spellStart"/>
      <w:r w:rsidRPr="00EB2612">
        <w:t>Radioprojekt</w:t>
      </w:r>
      <w:proofErr w:type="spellEnd"/>
      <w:r w:rsidRPr="00EB2612">
        <w:t xml:space="preserve">, 2019. Výzkum </w:t>
      </w:r>
      <w:proofErr w:type="spellStart"/>
      <w:r w:rsidRPr="00EB2612">
        <w:t>poslechovosti</w:t>
      </w:r>
      <w:proofErr w:type="spellEnd"/>
      <w:r w:rsidRPr="00EB2612">
        <w:t xml:space="preserve"> rozhlasových stanic III. + IV. Čtvrtletí 2019. Dostupné online: </w:t>
      </w:r>
      <w:hyperlink r:id="rId114" w:history="1">
        <w:r w:rsidRPr="00EB2612">
          <w:rPr>
            <w:rStyle w:val="Hypertextovodkaz"/>
          </w:rPr>
          <w:t>https://www.median.eu/cs/wp-content/uploads/docs/RP_2019_3_4Q_prezentace.pdf</w:t>
        </w:r>
      </w:hyperlink>
    </w:p>
    <w:p w:rsidR="00FF526E" w:rsidRPr="00EB2612" w:rsidRDefault="00FF526E" w:rsidP="00EA2A3F">
      <w:pPr>
        <w:spacing w:after="60"/>
        <w:ind w:left="284" w:hanging="284"/>
      </w:pPr>
      <w:proofErr w:type="spellStart"/>
      <w:r w:rsidRPr="00EB2612">
        <w:t>Reuters</w:t>
      </w:r>
      <w:proofErr w:type="spellEnd"/>
      <w:r w:rsidRPr="00EB2612">
        <w:t xml:space="preserve"> Institute, 2020. Digital </w:t>
      </w:r>
      <w:proofErr w:type="spellStart"/>
      <w:r w:rsidRPr="00EB2612">
        <w:t>News</w:t>
      </w:r>
      <w:proofErr w:type="spellEnd"/>
      <w:r w:rsidRPr="00EB2612">
        <w:t xml:space="preserve"> report 2020. Dostupné online: </w:t>
      </w:r>
      <w:hyperlink r:id="rId115" w:history="1">
        <w:r w:rsidRPr="00EB2612">
          <w:rPr>
            <w:rStyle w:val="Hypertextovodkaz"/>
          </w:rPr>
          <w:t>https://reutersinstitute.politics.ox.ac.uk/sites/default/files/2020-06/DNR_2020_FINAL.pdf</w:t>
        </w:r>
      </w:hyperlink>
    </w:p>
    <w:p w:rsidR="00FF526E" w:rsidRDefault="00FF526E" w:rsidP="001132C6">
      <w:pPr>
        <w:spacing w:after="60"/>
        <w:ind w:left="284" w:hanging="284"/>
      </w:pPr>
      <w:r w:rsidRPr="00EB2612">
        <w:t>SČKN, 2019. Z</w:t>
      </w:r>
      <w:r>
        <w:t>práva o českém knižním trhu 2018/2019</w:t>
      </w:r>
      <w:r w:rsidRPr="00EB2612">
        <w:t xml:space="preserve">. Svaz českých knihkupců a nakladatelů. Dostupné online: </w:t>
      </w:r>
      <w:hyperlink r:id="rId116" w:history="1">
        <w:r w:rsidRPr="00370B79">
          <w:rPr>
            <w:rStyle w:val="Hypertextovodkaz"/>
          </w:rPr>
          <w:t>https://www.sckn.cz/document/download/9d020d929c7ad187a267b2b582dcdbce/</w:t>
        </w:r>
      </w:hyperlink>
    </w:p>
    <w:p w:rsidR="00FF526E" w:rsidRPr="00EB2612" w:rsidRDefault="00FF526E" w:rsidP="001132C6">
      <w:pPr>
        <w:spacing w:after="60"/>
        <w:ind w:left="284" w:hanging="284"/>
      </w:pPr>
      <w:r w:rsidRPr="00EB2612">
        <w:t xml:space="preserve">STANÍKOVÁ, Daniela, 2015. Film. In: ŽÁKOVÁ, Eva a kolektiv autorů. Mapování kulturních a kreativních průmyslů v ČR. </w:t>
      </w:r>
      <w:r w:rsidRPr="00EB2612">
        <w:rPr>
          <w:i/>
        </w:rPr>
        <w:t>Institut umění – Divadelní ústav</w:t>
      </w:r>
      <w:r w:rsidRPr="00EB2612">
        <w:t>.</w:t>
      </w:r>
    </w:p>
    <w:p w:rsidR="0082100C" w:rsidRPr="00EB2612" w:rsidRDefault="0082100C" w:rsidP="0082100C">
      <w:pPr>
        <w:spacing w:after="60"/>
        <w:ind w:left="284" w:hanging="284"/>
      </w:pPr>
      <w:r>
        <w:t xml:space="preserve">TOWSE, </w:t>
      </w:r>
      <w:proofErr w:type="spellStart"/>
      <w:r>
        <w:t>Ruth</w:t>
      </w:r>
      <w:proofErr w:type="spellEnd"/>
      <w:r>
        <w:t>, 2010</w:t>
      </w:r>
      <w:r w:rsidRPr="00EB2612">
        <w:t xml:space="preserve">. A </w:t>
      </w:r>
      <w:proofErr w:type="spellStart"/>
      <w:r w:rsidRPr="00EB2612">
        <w:t>Textbook</w:t>
      </w:r>
      <w:proofErr w:type="spellEnd"/>
      <w:r w:rsidRPr="00EB2612">
        <w:t xml:space="preserve"> </w:t>
      </w:r>
      <w:proofErr w:type="spellStart"/>
      <w:r w:rsidRPr="00EB2612">
        <w:t>of</w:t>
      </w:r>
      <w:proofErr w:type="spellEnd"/>
      <w:r w:rsidRPr="00EB2612">
        <w:t xml:space="preserve"> </w:t>
      </w:r>
      <w:proofErr w:type="spellStart"/>
      <w:r w:rsidRPr="00EB2612">
        <w:t>Cultural</w:t>
      </w:r>
      <w:proofErr w:type="spellEnd"/>
      <w:r w:rsidRPr="00EB2612">
        <w:t xml:space="preserve"> </w:t>
      </w:r>
      <w:proofErr w:type="spellStart"/>
      <w:r w:rsidRPr="00EB2612">
        <w:t>Economics</w:t>
      </w:r>
      <w:proofErr w:type="spellEnd"/>
      <w:r w:rsidRPr="00EB2612">
        <w:t xml:space="preserve">. </w:t>
      </w:r>
      <w:r w:rsidRPr="00EB2612">
        <w:rPr>
          <w:i/>
        </w:rPr>
        <w:t xml:space="preserve">Cambridge University </w:t>
      </w:r>
      <w:proofErr w:type="spellStart"/>
      <w:r w:rsidRPr="00EB2612">
        <w:rPr>
          <w:i/>
        </w:rPr>
        <w:t>Press</w:t>
      </w:r>
      <w:proofErr w:type="spellEnd"/>
      <w:r w:rsidRPr="00EB2612">
        <w:t>.</w:t>
      </w:r>
    </w:p>
    <w:p w:rsidR="00FF526E" w:rsidRPr="00EB2612" w:rsidRDefault="00F06DC6" w:rsidP="00F06DC6">
      <w:pPr>
        <w:spacing w:after="60"/>
        <w:ind w:left="284" w:hanging="284"/>
      </w:pPr>
      <w:r>
        <w:t xml:space="preserve">TOWSE, </w:t>
      </w:r>
      <w:proofErr w:type="spellStart"/>
      <w:r>
        <w:t>Ruth</w:t>
      </w:r>
      <w:proofErr w:type="spellEnd"/>
      <w:r>
        <w:t>, 2019</w:t>
      </w:r>
      <w:r w:rsidR="00FF526E" w:rsidRPr="00EB2612">
        <w:t xml:space="preserve">. A </w:t>
      </w:r>
      <w:proofErr w:type="spellStart"/>
      <w:r w:rsidR="00FF526E" w:rsidRPr="00EB2612">
        <w:t>Textbook</w:t>
      </w:r>
      <w:proofErr w:type="spellEnd"/>
      <w:r w:rsidR="00FF526E" w:rsidRPr="00EB2612">
        <w:t xml:space="preserve"> </w:t>
      </w:r>
      <w:proofErr w:type="spellStart"/>
      <w:r w:rsidR="00FF526E" w:rsidRPr="00EB2612">
        <w:t>of</w:t>
      </w:r>
      <w:proofErr w:type="spellEnd"/>
      <w:r w:rsidR="00FF526E" w:rsidRPr="00EB2612">
        <w:t xml:space="preserve"> </w:t>
      </w:r>
      <w:proofErr w:type="spellStart"/>
      <w:r w:rsidR="00FF526E" w:rsidRPr="00EB2612">
        <w:t>Cultural</w:t>
      </w:r>
      <w:proofErr w:type="spellEnd"/>
      <w:r w:rsidR="00FF526E" w:rsidRPr="00EB2612">
        <w:t xml:space="preserve"> </w:t>
      </w:r>
      <w:proofErr w:type="spellStart"/>
      <w:r w:rsidR="00FF526E" w:rsidRPr="00EB2612">
        <w:t>Economics</w:t>
      </w:r>
      <w:proofErr w:type="spellEnd"/>
      <w:r>
        <w:t xml:space="preserve"> </w:t>
      </w:r>
      <w:r w:rsidRPr="00F06DC6">
        <w:t xml:space="preserve">(2nd </w:t>
      </w:r>
      <w:proofErr w:type="spellStart"/>
      <w:r w:rsidRPr="00F06DC6">
        <w:t>ed</w:t>
      </w:r>
      <w:proofErr w:type="spellEnd"/>
      <w:r w:rsidRPr="00F06DC6">
        <w:t>.)</w:t>
      </w:r>
      <w:r w:rsidR="00FF526E" w:rsidRPr="00EB2612">
        <w:t xml:space="preserve">. </w:t>
      </w:r>
      <w:r w:rsidR="00FF526E" w:rsidRPr="00EB2612">
        <w:rPr>
          <w:i/>
        </w:rPr>
        <w:t xml:space="preserve">Cambridge University </w:t>
      </w:r>
      <w:proofErr w:type="spellStart"/>
      <w:r w:rsidR="00FF526E" w:rsidRPr="00EB2612">
        <w:rPr>
          <w:i/>
        </w:rPr>
        <w:t>Press</w:t>
      </w:r>
      <w:proofErr w:type="spellEnd"/>
      <w:r w:rsidR="00FF526E" w:rsidRPr="00EB2612">
        <w:t>.</w:t>
      </w:r>
    </w:p>
    <w:p w:rsidR="00FF526E" w:rsidRPr="00EB2612" w:rsidRDefault="00FF526E" w:rsidP="001132C6">
      <w:pPr>
        <w:spacing w:after="60"/>
        <w:ind w:left="284" w:hanging="284"/>
      </w:pPr>
      <w:r w:rsidRPr="00EB2612">
        <w:t xml:space="preserve">TSCHMUCK, Peter, 2006. </w:t>
      </w:r>
      <w:proofErr w:type="spellStart"/>
      <w:r w:rsidRPr="00EB2612">
        <w:rPr>
          <w:i/>
          <w:iCs/>
        </w:rPr>
        <w:t>Creativity</w:t>
      </w:r>
      <w:proofErr w:type="spellEnd"/>
      <w:r w:rsidRPr="00EB2612">
        <w:rPr>
          <w:i/>
          <w:iCs/>
        </w:rPr>
        <w:t xml:space="preserve"> </w:t>
      </w:r>
      <w:proofErr w:type="spellStart"/>
      <w:r w:rsidRPr="00EB2612">
        <w:rPr>
          <w:i/>
          <w:iCs/>
        </w:rPr>
        <w:t>and</w:t>
      </w:r>
      <w:proofErr w:type="spellEnd"/>
      <w:r w:rsidRPr="00EB2612">
        <w:rPr>
          <w:i/>
          <w:iCs/>
        </w:rPr>
        <w:t xml:space="preserve"> </w:t>
      </w:r>
      <w:proofErr w:type="spellStart"/>
      <w:r w:rsidRPr="00EB2612">
        <w:rPr>
          <w:i/>
          <w:iCs/>
        </w:rPr>
        <w:t>Innovation</w:t>
      </w:r>
      <w:proofErr w:type="spellEnd"/>
      <w:r w:rsidRPr="00EB2612">
        <w:rPr>
          <w:i/>
          <w:iCs/>
        </w:rPr>
        <w:t xml:space="preserve"> in </w:t>
      </w:r>
      <w:proofErr w:type="spellStart"/>
      <w:r w:rsidRPr="00EB2612">
        <w:rPr>
          <w:i/>
          <w:iCs/>
        </w:rPr>
        <w:t>the</w:t>
      </w:r>
      <w:proofErr w:type="spellEnd"/>
      <w:r w:rsidRPr="00EB2612">
        <w:rPr>
          <w:i/>
          <w:iCs/>
        </w:rPr>
        <w:t xml:space="preserve"> Music </w:t>
      </w:r>
      <w:proofErr w:type="spellStart"/>
      <w:r w:rsidRPr="00EB2612">
        <w:rPr>
          <w:i/>
          <w:iCs/>
        </w:rPr>
        <w:t>Industry</w:t>
      </w:r>
      <w:proofErr w:type="spellEnd"/>
      <w:r w:rsidRPr="00EB2612">
        <w:t xml:space="preserve">. </w:t>
      </w:r>
      <w:proofErr w:type="spellStart"/>
      <w:r w:rsidRPr="00EB2612">
        <w:t>Dordrecht</w:t>
      </w:r>
      <w:proofErr w:type="spellEnd"/>
      <w:r w:rsidRPr="00EB2612">
        <w:t xml:space="preserve">: </w:t>
      </w:r>
      <w:proofErr w:type="spellStart"/>
      <w:r w:rsidRPr="00EB2612">
        <w:t>Springer</w:t>
      </w:r>
      <w:proofErr w:type="spellEnd"/>
      <w:r w:rsidRPr="00EB2612">
        <w:t>.</w:t>
      </w:r>
    </w:p>
    <w:p w:rsidR="00FF526E" w:rsidRPr="00EB2612" w:rsidRDefault="00FF526E" w:rsidP="001132C6">
      <w:pPr>
        <w:spacing w:after="60"/>
        <w:ind w:left="284" w:hanging="284"/>
      </w:pPr>
      <w:r w:rsidRPr="00EB2612">
        <w:t xml:space="preserve">UK, 2014. Internet v České republice 2014. </w:t>
      </w:r>
      <w:r w:rsidRPr="00EB2612">
        <w:rPr>
          <w:i/>
        </w:rPr>
        <w:t>Univerzita Karlova v Praze</w:t>
      </w:r>
      <w:r w:rsidRPr="00EB2612">
        <w:t>.</w:t>
      </w:r>
    </w:p>
    <w:p w:rsidR="00FF526E" w:rsidRPr="00EB2612" w:rsidRDefault="00FF526E" w:rsidP="00EA2A3F">
      <w:pPr>
        <w:spacing w:after="60"/>
        <w:ind w:left="284" w:hanging="284"/>
      </w:pPr>
      <w:r w:rsidRPr="00EB2612">
        <w:t xml:space="preserve">WIPO, 2020. </w:t>
      </w:r>
      <w:proofErr w:type="spellStart"/>
      <w:r w:rsidRPr="00EB2612">
        <w:t>The</w:t>
      </w:r>
      <w:proofErr w:type="spellEnd"/>
      <w:r w:rsidRPr="00EB2612">
        <w:t xml:space="preserve"> </w:t>
      </w:r>
      <w:proofErr w:type="spellStart"/>
      <w:r w:rsidRPr="00EB2612">
        <w:t>Global</w:t>
      </w:r>
      <w:proofErr w:type="spellEnd"/>
      <w:r w:rsidRPr="00EB2612">
        <w:t xml:space="preserve"> </w:t>
      </w:r>
      <w:proofErr w:type="spellStart"/>
      <w:r w:rsidRPr="00EB2612">
        <w:t>Publishing</w:t>
      </w:r>
      <w:proofErr w:type="spellEnd"/>
      <w:r w:rsidRPr="00EB2612">
        <w:t xml:space="preserve"> </w:t>
      </w:r>
      <w:proofErr w:type="spellStart"/>
      <w:r w:rsidRPr="00EB2612">
        <w:t>Industry</w:t>
      </w:r>
      <w:proofErr w:type="spellEnd"/>
      <w:r w:rsidRPr="00EB2612">
        <w:t xml:space="preserve"> in 2018. Dostupné online: </w:t>
      </w:r>
      <w:hyperlink r:id="rId117" w:history="1">
        <w:r w:rsidRPr="00EB2612">
          <w:rPr>
            <w:rStyle w:val="Hypertextovodkaz"/>
          </w:rPr>
          <w:t>https://www.wipo.int/edocs/pubdocs/en/wipo_pub_1064_2019.pdf</w:t>
        </w:r>
      </w:hyperlink>
    </w:p>
    <w:p w:rsidR="007E4B4F" w:rsidRPr="00EB2612" w:rsidRDefault="007E4B4F" w:rsidP="00EA2A3F">
      <w:pPr>
        <w:spacing w:after="60"/>
        <w:ind w:left="284" w:hanging="284"/>
      </w:pPr>
    </w:p>
    <w:p w:rsidR="002358E7" w:rsidRPr="00EB2612" w:rsidRDefault="002358E7" w:rsidP="00EA2A3F">
      <w:pPr>
        <w:spacing w:after="60"/>
        <w:ind w:left="284" w:hanging="284"/>
      </w:pPr>
    </w:p>
    <w:p w:rsidR="00277B29" w:rsidRPr="00EB2612" w:rsidRDefault="00277B29" w:rsidP="00EA2A3F">
      <w:pPr>
        <w:spacing w:after="60"/>
        <w:ind w:left="284" w:hanging="284"/>
      </w:pPr>
    </w:p>
    <w:p w:rsidR="00F112D6" w:rsidRPr="00EB2612" w:rsidRDefault="00F112D6" w:rsidP="00EA2A3F">
      <w:pPr>
        <w:spacing w:after="60"/>
        <w:ind w:left="284" w:hanging="284"/>
      </w:pPr>
    </w:p>
    <w:p w:rsidR="00067FD5" w:rsidRPr="00EB2612" w:rsidRDefault="00067FD5" w:rsidP="00EA2A3F">
      <w:pPr>
        <w:spacing w:after="60"/>
        <w:ind w:left="284" w:hanging="284"/>
      </w:pPr>
    </w:p>
    <w:p w:rsidR="00E5532E" w:rsidRPr="00EB2612" w:rsidRDefault="00E5532E" w:rsidP="00EA2A3F">
      <w:pPr>
        <w:spacing w:after="60"/>
        <w:ind w:left="284" w:hanging="284"/>
      </w:pPr>
    </w:p>
    <w:p w:rsidR="00FE09B6" w:rsidRPr="00EB2612" w:rsidRDefault="00FE09B6" w:rsidP="00EA2A3F">
      <w:pPr>
        <w:spacing w:after="60"/>
        <w:ind w:left="284" w:hanging="284"/>
      </w:pPr>
    </w:p>
    <w:p w:rsidR="00FE09B6" w:rsidRPr="00EB2612" w:rsidRDefault="00FE09B6" w:rsidP="00EA2A3F">
      <w:pPr>
        <w:spacing w:after="60"/>
        <w:ind w:left="284" w:hanging="284"/>
      </w:pPr>
    </w:p>
    <w:p w:rsidR="00AC4219" w:rsidRPr="00EB2612" w:rsidRDefault="00AC4219" w:rsidP="00EA2A3F">
      <w:pPr>
        <w:spacing w:after="60"/>
        <w:ind w:left="284" w:hanging="284"/>
      </w:pPr>
    </w:p>
    <w:p w:rsidR="00E32F67" w:rsidRPr="00EB2612" w:rsidRDefault="00E32F67" w:rsidP="00EA2A3F">
      <w:pPr>
        <w:spacing w:after="60"/>
        <w:ind w:left="284" w:hanging="284"/>
      </w:pPr>
    </w:p>
    <w:p w:rsidR="00D64DAC" w:rsidRPr="00EB2612" w:rsidRDefault="00D64DAC" w:rsidP="00EA2A3F">
      <w:pPr>
        <w:spacing w:after="60"/>
        <w:ind w:left="284" w:hanging="284"/>
      </w:pPr>
    </w:p>
    <w:p w:rsidR="00EA2A3F" w:rsidRPr="00EB2612" w:rsidRDefault="00EA2A3F" w:rsidP="00EA2A3F">
      <w:pPr>
        <w:spacing w:after="60"/>
        <w:ind w:left="284" w:hanging="284"/>
      </w:pPr>
    </w:p>
    <w:p w:rsidR="00EA2A3F" w:rsidRPr="00EB2612" w:rsidRDefault="00EA2A3F" w:rsidP="001132C6">
      <w:pPr>
        <w:spacing w:after="60"/>
        <w:ind w:left="284" w:hanging="284"/>
      </w:pPr>
    </w:p>
    <w:p w:rsidR="00E97CEB" w:rsidRPr="00EB2612" w:rsidRDefault="00E97CEB" w:rsidP="001132C6">
      <w:pPr>
        <w:spacing w:after="60"/>
        <w:ind w:left="284" w:hanging="284"/>
      </w:pPr>
    </w:p>
    <w:p w:rsidR="00A956B9" w:rsidRPr="00EB2612" w:rsidRDefault="00A956B9" w:rsidP="00FA6A70">
      <w:pPr>
        <w:ind w:left="284" w:hanging="284"/>
      </w:pPr>
    </w:p>
    <w:p w:rsidR="00143AB2" w:rsidRPr="00EB2612" w:rsidRDefault="003365DE" w:rsidP="00313494">
      <w:pPr>
        <w:pStyle w:val="Nadpis1"/>
        <w:spacing w:after="120" w:line="240" w:lineRule="auto"/>
      </w:pPr>
      <w:bookmarkStart w:id="139" w:name="_Toc55384450"/>
      <w:r w:rsidRPr="00EB2612">
        <w:lastRenderedPageBreak/>
        <w:t>PŘÍLOHY</w:t>
      </w:r>
      <w:bookmarkEnd w:id="139"/>
    </w:p>
    <w:p w:rsidR="005F7971" w:rsidRPr="00EB2612" w:rsidRDefault="005F7971" w:rsidP="005F7971">
      <w:pPr>
        <w:pStyle w:val="Titulek"/>
        <w:keepNext/>
        <w:rPr>
          <w:b w:val="0"/>
          <w:color w:val="auto"/>
          <w:sz w:val="22"/>
          <w:szCs w:val="22"/>
        </w:rPr>
      </w:pPr>
      <w:r w:rsidRPr="00EB2612">
        <w:rPr>
          <w:color w:val="auto"/>
          <w:sz w:val="22"/>
          <w:szCs w:val="22"/>
        </w:rPr>
        <w:t xml:space="preserve">Příloha 1 </w:t>
      </w:r>
      <w:r w:rsidRPr="00EB2612">
        <w:rPr>
          <w:b w:val="0"/>
          <w:color w:val="auto"/>
          <w:sz w:val="22"/>
          <w:szCs w:val="22"/>
        </w:rPr>
        <w:t>Seznam a definice ekonomických činností</w:t>
      </w:r>
      <w:r w:rsidR="00484A8E" w:rsidRPr="00EB2612">
        <w:rPr>
          <w:b w:val="0"/>
          <w:color w:val="auto"/>
          <w:sz w:val="22"/>
          <w:szCs w:val="22"/>
        </w:rPr>
        <w:t xml:space="preserve"> v oblasti kultury podle klasifikace</w:t>
      </w:r>
      <w:r w:rsidRPr="00EB2612">
        <w:rPr>
          <w:b w:val="0"/>
          <w:color w:val="auto"/>
          <w:sz w:val="22"/>
          <w:szCs w:val="22"/>
        </w:rPr>
        <w:t xml:space="preserve"> </w:t>
      </w:r>
      <w:r w:rsidR="006E3528" w:rsidRPr="00EB2612">
        <w:rPr>
          <w:b w:val="0"/>
          <w:color w:val="auto"/>
          <w:sz w:val="22"/>
          <w:szCs w:val="22"/>
        </w:rPr>
        <w:t>CZ-</w:t>
      </w:r>
      <w:r w:rsidRPr="00EB2612">
        <w:rPr>
          <w:b w:val="0"/>
          <w:color w:val="auto"/>
          <w:sz w:val="22"/>
          <w:szCs w:val="22"/>
        </w:rPr>
        <w:t>NACE</w:t>
      </w:r>
      <w:r w:rsidR="00B26D79">
        <w:rPr>
          <w:b w:val="0"/>
          <w:color w:val="auto"/>
          <w:sz w:val="22"/>
          <w:szCs w:val="22"/>
        </w:rPr>
        <w:t xml:space="preserve"> </w:t>
      </w:r>
      <w:proofErr w:type="spellStart"/>
      <w:r w:rsidR="00B26D79">
        <w:rPr>
          <w:b w:val="0"/>
          <w:color w:val="auto"/>
          <w:sz w:val="22"/>
          <w:szCs w:val="22"/>
        </w:rPr>
        <w:t>Rev</w:t>
      </w:r>
      <w:proofErr w:type="spellEnd"/>
      <w:r w:rsidR="00B26D79">
        <w:rPr>
          <w:b w:val="0"/>
          <w:color w:val="auto"/>
          <w:sz w:val="22"/>
          <w:szCs w:val="22"/>
        </w:rPr>
        <w:t>. 2</w:t>
      </w:r>
    </w:p>
    <w:tbl>
      <w:tblPr>
        <w:tblW w:w="9520" w:type="dxa"/>
        <w:tblInd w:w="55" w:type="dxa"/>
        <w:tblCellMar>
          <w:left w:w="70" w:type="dxa"/>
          <w:right w:w="70" w:type="dxa"/>
        </w:tblCellMar>
        <w:tblLook w:val="04A0"/>
      </w:tblPr>
      <w:tblGrid>
        <w:gridCol w:w="2240"/>
        <w:gridCol w:w="2720"/>
        <w:gridCol w:w="4560"/>
      </w:tblGrid>
      <w:tr w:rsidR="003365DE" w:rsidRPr="00EB2612"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EB2612" w:rsidRDefault="003365DE" w:rsidP="005F7971">
            <w:pPr>
              <w:spacing w:after="0" w:line="240" w:lineRule="auto"/>
              <w:jc w:val="center"/>
              <w:rPr>
                <w:rFonts w:ascii="Calibri" w:hAnsi="Calibri"/>
                <w:b/>
                <w:bCs/>
                <w:color w:val="000000"/>
                <w:szCs w:val="20"/>
              </w:rPr>
            </w:pPr>
            <w:r w:rsidRPr="00EB2612">
              <w:rPr>
                <w:rFonts w:ascii="Calibri" w:hAnsi="Calibri"/>
                <w:b/>
                <w:bCs/>
                <w:color w:val="000000"/>
                <w:szCs w:val="20"/>
              </w:rPr>
              <w:t>Kulturní sektor (tradiční odvětví)</w:t>
            </w:r>
          </w:p>
        </w:tc>
      </w:tr>
      <w:tr w:rsidR="003365DE" w:rsidRPr="00EB2612"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 xml:space="preserve">Kategorie </w:t>
            </w:r>
            <w:r w:rsidR="00A70B41" w:rsidRPr="00EB2612">
              <w:rPr>
                <w:rFonts w:ascii="Calibri" w:hAnsi="Calibri"/>
                <w:b/>
                <w:color w:val="000000"/>
                <w:szCs w:val="20"/>
              </w:rPr>
              <w:t>CZ-</w:t>
            </w:r>
            <w:r w:rsidRPr="00EB2612">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Ekonomická činnost</w:t>
            </w:r>
          </w:p>
        </w:tc>
      </w:tr>
      <w:tr w:rsidR="003365DE" w:rsidRPr="00EB2612" w:rsidTr="00484A8E">
        <w:trPr>
          <w:trHeight w:val="284"/>
        </w:trPr>
        <w:tc>
          <w:tcPr>
            <w:tcW w:w="2240" w:type="dxa"/>
            <w:vMerge w:val="restart"/>
            <w:tcBorders>
              <w:top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Kulturní dědictví</w:t>
            </w:r>
          </w:p>
        </w:tc>
        <w:tc>
          <w:tcPr>
            <w:tcW w:w="2720" w:type="dxa"/>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91.01</w:t>
            </w:r>
          </w:p>
        </w:tc>
        <w:tc>
          <w:tcPr>
            <w:tcW w:w="4560" w:type="dxa"/>
            <w:tcBorders>
              <w:top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Činnosti knihoven a archivů</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91.02</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Činnosti muzeí</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91.03</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Provozování kulturních památek, historických staveb a obdobných turistických zajímavostí</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47.78 (část)</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Ostatní maloobchod s novým zbožím ve specializovaných prodejnách</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47.79 (část)</w:t>
            </w:r>
          </w:p>
        </w:tc>
        <w:tc>
          <w:tcPr>
            <w:tcW w:w="4560" w:type="dxa"/>
            <w:tcBorders>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Maloobchod s použitým zbožím v prodejnách</w:t>
            </w:r>
          </w:p>
        </w:tc>
      </w:tr>
      <w:tr w:rsidR="003365DE" w:rsidRPr="00EB2612" w:rsidTr="00484A8E">
        <w:trPr>
          <w:trHeight w:val="284"/>
        </w:trPr>
        <w:tc>
          <w:tcPr>
            <w:tcW w:w="2240" w:type="dxa"/>
            <w:vMerge w:val="restart"/>
            <w:shd w:val="clear" w:color="auto" w:fill="auto"/>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Scénická umění</w:t>
            </w: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90.01</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Scénická umění</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90.02</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Podpůrné činnosti pro scénická umění</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color w:val="000000"/>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90.04</w:t>
            </w:r>
          </w:p>
        </w:tc>
        <w:tc>
          <w:tcPr>
            <w:tcW w:w="4560" w:type="dxa"/>
            <w:tcBorders>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Provozování kulturních zařízení</w:t>
            </w:r>
          </w:p>
        </w:tc>
      </w:tr>
      <w:tr w:rsidR="003365DE" w:rsidRPr="00EB2612" w:rsidTr="00484A8E">
        <w:trPr>
          <w:trHeight w:val="284"/>
        </w:trPr>
        <w:tc>
          <w:tcPr>
            <w:tcW w:w="2240" w:type="dxa"/>
            <w:vMerge w:val="restart"/>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Výtvarná umění</w:t>
            </w:r>
          </w:p>
        </w:tc>
        <w:tc>
          <w:tcPr>
            <w:tcW w:w="2720" w:type="dxa"/>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90.03</w:t>
            </w:r>
          </w:p>
        </w:tc>
        <w:tc>
          <w:tcPr>
            <w:tcW w:w="4560" w:type="dxa"/>
            <w:tcBorders>
              <w:top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Umělecká tvorba</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74.20</w:t>
            </w:r>
          </w:p>
        </w:tc>
        <w:tc>
          <w:tcPr>
            <w:tcW w:w="4560" w:type="dxa"/>
            <w:tcBorders>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Fotografické činnosti</w:t>
            </w:r>
          </w:p>
        </w:tc>
      </w:tr>
      <w:tr w:rsidR="003365DE" w:rsidRPr="00EB2612" w:rsidTr="00484A8E">
        <w:trPr>
          <w:trHeight w:val="284"/>
        </w:trPr>
        <w:tc>
          <w:tcPr>
            <w:tcW w:w="224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Kulturní a umělecké vzdělávání</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85.52</w:t>
            </w:r>
          </w:p>
        </w:tc>
        <w:tc>
          <w:tcPr>
            <w:tcW w:w="456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Umělecké vzdělávání</w:t>
            </w:r>
          </w:p>
        </w:tc>
      </w:tr>
      <w:tr w:rsidR="003365DE" w:rsidRPr="00EB2612" w:rsidTr="00484A8E">
        <w:trPr>
          <w:trHeight w:val="284"/>
        </w:trPr>
        <w:tc>
          <w:tcPr>
            <w:tcW w:w="2240" w:type="dxa"/>
            <w:tcBorders>
              <w:top w:val="single" w:sz="4" w:space="0" w:color="auto"/>
              <w:bottom w:val="single" w:sz="12"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Umělecká řemesla</w:t>
            </w:r>
          </w:p>
        </w:tc>
        <w:tc>
          <w:tcPr>
            <w:tcW w:w="2720" w:type="dxa"/>
            <w:tcBorders>
              <w:top w:val="single" w:sz="4" w:space="0" w:color="auto"/>
              <w:bottom w:val="single" w:sz="12" w:space="0" w:color="auto"/>
            </w:tcBorders>
            <w:shd w:val="clear" w:color="auto" w:fill="auto"/>
            <w:vAlign w:val="center"/>
            <w:hideMark/>
          </w:tcPr>
          <w:p w:rsidR="003365DE" w:rsidRPr="00EB2612" w:rsidRDefault="003365DE" w:rsidP="003365DE">
            <w:pPr>
              <w:spacing w:after="0" w:line="240" w:lineRule="auto"/>
              <w:jc w:val="left"/>
              <w:rPr>
                <w:rFonts w:ascii="Calibri" w:hAnsi="Calibri"/>
                <w:color w:val="000000"/>
                <w:szCs w:val="20"/>
              </w:rPr>
            </w:pPr>
            <w:proofErr w:type="gramStart"/>
            <w:r w:rsidRPr="00EB2612">
              <w:rPr>
                <w:rFonts w:ascii="Calibri" w:hAnsi="Calibri"/>
                <w:color w:val="000000"/>
                <w:szCs w:val="20"/>
              </w:rPr>
              <w:t>odd.14,15,16,23,25,31,32,43</w:t>
            </w:r>
            <w:proofErr w:type="gramEnd"/>
            <w:r w:rsidRPr="00EB2612">
              <w:rPr>
                <w:rFonts w:ascii="Calibri" w:hAnsi="Calibri"/>
                <w:color w:val="000000"/>
                <w:szCs w:val="20"/>
              </w:rPr>
              <w:t xml:space="preserve"> (část)</w:t>
            </w:r>
          </w:p>
        </w:tc>
        <w:tc>
          <w:tcPr>
            <w:tcW w:w="4560" w:type="dxa"/>
            <w:tcBorders>
              <w:top w:val="single" w:sz="4" w:space="0" w:color="auto"/>
              <w:bottom w:val="single" w:sz="12"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(vybraná umělecká řemesla)</w:t>
            </w:r>
          </w:p>
        </w:tc>
      </w:tr>
      <w:tr w:rsidR="003365DE" w:rsidRPr="00EB2612"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EB2612" w:rsidRDefault="00484A8E" w:rsidP="003365DE">
            <w:pPr>
              <w:spacing w:after="0" w:line="240" w:lineRule="auto"/>
              <w:jc w:val="center"/>
              <w:rPr>
                <w:rFonts w:ascii="Calibri" w:hAnsi="Calibri"/>
                <w:b/>
                <w:bCs/>
                <w:szCs w:val="20"/>
              </w:rPr>
            </w:pPr>
            <w:r w:rsidRPr="00EB2612">
              <w:rPr>
                <w:rFonts w:ascii="Calibri" w:hAnsi="Calibri"/>
                <w:b/>
                <w:bCs/>
                <w:szCs w:val="20"/>
              </w:rPr>
              <w:t>Kult</w:t>
            </w:r>
            <w:r w:rsidR="003365DE" w:rsidRPr="00EB2612">
              <w:rPr>
                <w:rFonts w:ascii="Calibri" w:hAnsi="Calibri"/>
                <w:b/>
                <w:bCs/>
                <w:szCs w:val="20"/>
              </w:rPr>
              <w:t>u</w:t>
            </w:r>
            <w:r w:rsidRPr="00EB2612">
              <w:rPr>
                <w:rFonts w:ascii="Calibri" w:hAnsi="Calibri"/>
                <w:b/>
                <w:bCs/>
                <w:szCs w:val="20"/>
              </w:rPr>
              <w:t>r</w:t>
            </w:r>
            <w:r w:rsidR="003365DE" w:rsidRPr="00EB2612">
              <w:rPr>
                <w:rFonts w:ascii="Calibri" w:hAnsi="Calibri"/>
                <w:b/>
                <w:bCs/>
                <w:szCs w:val="20"/>
              </w:rPr>
              <w:t>ní průmysly (audiovizuální a mediální sektor)</w:t>
            </w:r>
          </w:p>
        </w:tc>
      </w:tr>
      <w:tr w:rsidR="003365DE" w:rsidRPr="00EB2612"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 xml:space="preserve">Kategorie </w:t>
            </w:r>
            <w:r w:rsidR="00A70B41" w:rsidRPr="00EB2612">
              <w:rPr>
                <w:rFonts w:ascii="Calibri" w:hAnsi="Calibri"/>
                <w:b/>
                <w:color w:val="000000"/>
                <w:szCs w:val="20"/>
              </w:rPr>
              <w:t>CZ-</w:t>
            </w:r>
            <w:r w:rsidRPr="00EB2612">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Ekonomická činnost</w:t>
            </w:r>
          </w:p>
        </w:tc>
      </w:tr>
      <w:tr w:rsidR="003365DE" w:rsidRPr="00EB2612" w:rsidTr="00484A8E">
        <w:trPr>
          <w:trHeight w:val="284"/>
        </w:trPr>
        <w:tc>
          <w:tcPr>
            <w:tcW w:w="2240" w:type="dxa"/>
            <w:vMerge w:val="restart"/>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Knihy a tisk</w:t>
            </w:r>
          </w:p>
        </w:tc>
        <w:tc>
          <w:tcPr>
            <w:tcW w:w="2720" w:type="dxa"/>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58.11</w:t>
            </w:r>
          </w:p>
        </w:tc>
        <w:tc>
          <w:tcPr>
            <w:tcW w:w="4560" w:type="dxa"/>
            <w:tcBorders>
              <w:top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Vydávání knih</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58.13</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Vydávání novin</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58.14</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Vydávání časopisů a ostatních periodických publikací</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74.30</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Překladatelské a tlumočnické činnosti</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47.61</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 xml:space="preserve">Maloobchod s knihami </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47.62</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 xml:space="preserve">Maloobchod s novinami, časopisy a papírnickým zbožím </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63.91</w:t>
            </w:r>
          </w:p>
        </w:tc>
        <w:tc>
          <w:tcPr>
            <w:tcW w:w="4560" w:type="dxa"/>
            <w:tcBorders>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Činnosti zpravodajských tiskových kanceláří a agentur</w:t>
            </w:r>
          </w:p>
        </w:tc>
      </w:tr>
      <w:tr w:rsidR="003365DE" w:rsidRPr="00EB2612" w:rsidTr="00484A8E">
        <w:trPr>
          <w:trHeight w:val="284"/>
        </w:trPr>
        <w:tc>
          <w:tcPr>
            <w:tcW w:w="2240" w:type="dxa"/>
            <w:vMerge w:val="restart"/>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Hudba</w:t>
            </w:r>
          </w:p>
        </w:tc>
        <w:tc>
          <w:tcPr>
            <w:tcW w:w="2720" w:type="dxa"/>
            <w:tcBorders>
              <w:top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59.20</w:t>
            </w:r>
          </w:p>
        </w:tc>
        <w:tc>
          <w:tcPr>
            <w:tcW w:w="4560" w:type="dxa"/>
            <w:tcBorders>
              <w:top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Pořizování zvukových nahrávek a hudební vydavatelské činnosti</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47.63 (50%)</w:t>
            </w:r>
          </w:p>
        </w:tc>
        <w:tc>
          <w:tcPr>
            <w:tcW w:w="456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 xml:space="preserve">Maloobchod s audio- a videozáznamy </w:t>
            </w:r>
          </w:p>
        </w:tc>
      </w:tr>
      <w:tr w:rsidR="003365DE" w:rsidRPr="00EB2612" w:rsidTr="00484A8E">
        <w:trPr>
          <w:trHeight w:val="284"/>
        </w:trPr>
        <w:tc>
          <w:tcPr>
            <w:tcW w:w="2240" w:type="dxa"/>
            <w:vMerge w:val="restart"/>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Film a video</w:t>
            </w: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59.11</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Produkce filmů, videozáznamů a televizních programů</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59.12</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Postprodukce filmů, videozáznamů a televizních programů</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59.13</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Distribuce filmů, videozáznamů a televizních programů</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59.14</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 xml:space="preserve">Promítání filmů </w:t>
            </w:r>
          </w:p>
        </w:tc>
      </w:tr>
      <w:tr w:rsidR="003365DE" w:rsidRPr="00EB2612" w:rsidTr="00484A8E">
        <w:trPr>
          <w:trHeight w:val="284"/>
        </w:trPr>
        <w:tc>
          <w:tcPr>
            <w:tcW w:w="2240" w:type="dxa"/>
            <w:vMerge/>
            <w:vAlign w:val="center"/>
            <w:hideMark/>
          </w:tcPr>
          <w:p w:rsidR="003365DE" w:rsidRPr="00EB2612" w:rsidRDefault="003365DE" w:rsidP="003365DE">
            <w:pPr>
              <w:spacing w:after="0" w:line="240" w:lineRule="auto"/>
              <w:jc w:val="left"/>
              <w:rPr>
                <w:rFonts w:ascii="Calibri" w:hAnsi="Calibri"/>
                <w:szCs w:val="20"/>
              </w:rPr>
            </w:pPr>
          </w:p>
        </w:tc>
        <w:tc>
          <w:tcPr>
            <w:tcW w:w="2720" w:type="dxa"/>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77.22</w:t>
            </w:r>
          </w:p>
        </w:tc>
        <w:tc>
          <w:tcPr>
            <w:tcW w:w="4560" w:type="dxa"/>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Pronájem videokazet a disků</w:t>
            </w:r>
          </w:p>
        </w:tc>
      </w:tr>
      <w:tr w:rsidR="003365DE" w:rsidRPr="00EB2612" w:rsidTr="00484A8E">
        <w:trPr>
          <w:trHeight w:val="284"/>
        </w:trPr>
        <w:tc>
          <w:tcPr>
            <w:tcW w:w="2240" w:type="dxa"/>
            <w:vMerge/>
            <w:tcBorders>
              <w:bottom w:val="single" w:sz="4" w:space="0" w:color="auto"/>
            </w:tcBorders>
            <w:vAlign w:val="center"/>
            <w:hideMark/>
          </w:tcPr>
          <w:p w:rsidR="003365DE" w:rsidRPr="00EB2612" w:rsidRDefault="003365DE" w:rsidP="003365DE">
            <w:pPr>
              <w:spacing w:after="0" w:line="240" w:lineRule="auto"/>
              <w:jc w:val="left"/>
              <w:rPr>
                <w:rFonts w:ascii="Calibri" w:hAnsi="Calibri"/>
                <w:szCs w:val="20"/>
              </w:rPr>
            </w:pPr>
          </w:p>
        </w:tc>
        <w:tc>
          <w:tcPr>
            <w:tcW w:w="272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47.63 (50%)</w:t>
            </w:r>
          </w:p>
        </w:tc>
        <w:tc>
          <w:tcPr>
            <w:tcW w:w="4560" w:type="dxa"/>
            <w:tcBorders>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 xml:space="preserve">Maloobchod s audio- a videozáznamy </w:t>
            </w:r>
          </w:p>
        </w:tc>
      </w:tr>
      <w:tr w:rsidR="003365DE" w:rsidRPr="00EB2612"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Rozhlas</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60.10</w:t>
            </w:r>
          </w:p>
        </w:tc>
        <w:tc>
          <w:tcPr>
            <w:tcW w:w="456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Rozhlasové vysílání</w:t>
            </w:r>
          </w:p>
        </w:tc>
      </w:tr>
      <w:tr w:rsidR="003365DE" w:rsidRPr="00EB2612"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Televize</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60.20</w:t>
            </w:r>
          </w:p>
        </w:tc>
        <w:tc>
          <w:tcPr>
            <w:tcW w:w="456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Tvorba televizních programů a televizní vysílání</w:t>
            </w:r>
          </w:p>
        </w:tc>
      </w:tr>
      <w:tr w:rsidR="003365DE" w:rsidRPr="00EB2612" w:rsidTr="00484A8E">
        <w:trPr>
          <w:trHeight w:val="284"/>
        </w:trPr>
        <w:tc>
          <w:tcPr>
            <w:tcW w:w="2240" w:type="dxa"/>
            <w:tcBorders>
              <w:top w:val="single" w:sz="4" w:space="0" w:color="auto"/>
              <w:bottom w:val="single" w:sz="12"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Videohry</w:t>
            </w:r>
          </w:p>
        </w:tc>
        <w:tc>
          <w:tcPr>
            <w:tcW w:w="2720" w:type="dxa"/>
            <w:tcBorders>
              <w:top w:val="single" w:sz="4" w:space="0" w:color="auto"/>
              <w:bottom w:val="single" w:sz="12"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58.21</w:t>
            </w:r>
          </w:p>
        </w:tc>
        <w:tc>
          <w:tcPr>
            <w:tcW w:w="4560" w:type="dxa"/>
            <w:tcBorders>
              <w:top w:val="single" w:sz="4" w:space="0" w:color="auto"/>
              <w:bottom w:val="single" w:sz="12"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Vydávání počítačových her</w:t>
            </w:r>
          </w:p>
        </w:tc>
      </w:tr>
      <w:tr w:rsidR="003365DE" w:rsidRPr="00EB2612" w:rsidTr="00484A8E">
        <w:trPr>
          <w:trHeight w:val="284"/>
        </w:trPr>
        <w:tc>
          <w:tcPr>
            <w:tcW w:w="9520" w:type="dxa"/>
            <w:gridSpan w:val="3"/>
            <w:tcBorders>
              <w:top w:val="single" w:sz="12" w:space="0" w:color="auto"/>
              <w:bottom w:val="single" w:sz="12" w:space="0" w:color="auto"/>
            </w:tcBorders>
            <w:shd w:val="clear" w:color="auto" w:fill="E5B8B7" w:themeFill="accent2" w:themeFillTint="66"/>
            <w:noWrap/>
            <w:vAlign w:val="center"/>
            <w:hideMark/>
          </w:tcPr>
          <w:p w:rsidR="003365DE" w:rsidRPr="00EB2612" w:rsidRDefault="00F02FF2" w:rsidP="003365DE">
            <w:pPr>
              <w:spacing w:after="0" w:line="240" w:lineRule="auto"/>
              <w:jc w:val="center"/>
              <w:rPr>
                <w:rFonts w:ascii="Calibri" w:hAnsi="Calibri"/>
                <w:b/>
                <w:bCs/>
                <w:szCs w:val="20"/>
              </w:rPr>
            </w:pPr>
            <w:r w:rsidRPr="00EB2612">
              <w:rPr>
                <w:rFonts w:ascii="Calibri" w:hAnsi="Calibri"/>
                <w:b/>
                <w:bCs/>
                <w:szCs w:val="20"/>
              </w:rPr>
              <w:t>Kreativní</w:t>
            </w:r>
            <w:r w:rsidR="003365DE" w:rsidRPr="00EB2612">
              <w:rPr>
                <w:rFonts w:ascii="Calibri" w:hAnsi="Calibri"/>
                <w:b/>
                <w:bCs/>
                <w:szCs w:val="20"/>
              </w:rPr>
              <w:t xml:space="preserve"> průmysly</w:t>
            </w:r>
            <w:r w:rsidR="005F7971" w:rsidRPr="00EB2612">
              <w:rPr>
                <w:rFonts w:ascii="Calibri" w:hAnsi="Calibri"/>
                <w:b/>
                <w:bCs/>
                <w:szCs w:val="20"/>
              </w:rPr>
              <w:t xml:space="preserve"> (tvůrčí sektor)</w:t>
            </w:r>
          </w:p>
        </w:tc>
      </w:tr>
      <w:tr w:rsidR="003365DE" w:rsidRPr="00EB2612" w:rsidTr="00484A8E">
        <w:trPr>
          <w:trHeight w:val="284"/>
        </w:trPr>
        <w:tc>
          <w:tcPr>
            <w:tcW w:w="224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Oblast</w:t>
            </w:r>
          </w:p>
        </w:tc>
        <w:tc>
          <w:tcPr>
            <w:tcW w:w="272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 xml:space="preserve">Kategorie </w:t>
            </w:r>
            <w:r w:rsidR="00A70B41" w:rsidRPr="00EB2612">
              <w:rPr>
                <w:rFonts w:ascii="Calibri" w:hAnsi="Calibri"/>
                <w:b/>
                <w:color w:val="000000"/>
                <w:szCs w:val="20"/>
              </w:rPr>
              <w:t>CZ-</w:t>
            </w:r>
            <w:r w:rsidRPr="00EB2612">
              <w:rPr>
                <w:rFonts w:ascii="Calibri" w:hAnsi="Calibri"/>
                <w:b/>
                <w:color w:val="000000"/>
                <w:szCs w:val="20"/>
              </w:rPr>
              <w:t>NACE</w:t>
            </w:r>
          </w:p>
        </w:tc>
        <w:tc>
          <w:tcPr>
            <w:tcW w:w="4560" w:type="dxa"/>
            <w:tcBorders>
              <w:top w:val="single" w:sz="12"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b/>
                <w:color w:val="000000"/>
                <w:szCs w:val="20"/>
              </w:rPr>
            </w:pPr>
            <w:r w:rsidRPr="00EB2612">
              <w:rPr>
                <w:rFonts w:ascii="Calibri" w:hAnsi="Calibri"/>
                <w:b/>
                <w:color w:val="000000"/>
                <w:szCs w:val="20"/>
              </w:rPr>
              <w:t>Ekonomická činnost</w:t>
            </w:r>
          </w:p>
        </w:tc>
      </w:tr>
      <w:tr w:rsidR="003365DE" w:rsidRPr="00EB2612"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Architektura</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71.11</w:t>
            </w:r>
          </w:p>
        </w:tc>
        <w:tc>
          <w:tcPr>
            <w:tcW w:w="456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Architektonické činnosti</w:t>
            </w:r>
          </w:p>
        </w:tc>
      </w:tr>
      <w:tr w:rsidR="003365DE" w:rsidRPr="00EB2612"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Reklama</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73.11</w:t>
            </w:r>
          </w:p>
        </w:tc>
        <w:tc>
          <w:tcPr>
            <w:tcW w:w="456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Činnosti reklamních agentur</w:t>
            </w:r>
          </w:p>
        </w:tc>
      </w:tr>
      <w:tr w:rsidR="003365DE" w:rsidRPr="00EB2612" w:rsidTr="00484A8E">
        <w:trPr>
          <w:trHeight w:val="284"/>
        </w:trPr>
        <w:tc>
          <w:tcPr>
            <w:tcW w:w="2240" w:type="dxa"/>
            <w:tcBorders>
              <w:top w:val="single" w:sz="4" w:space="0" w:color="auto"/>
              <w:bottom w:val="single" w:sz="4" w:space="0" w:color="auto"/>
            </w:tcBorders>
            <w:shd w:val="clear" w:color="auto" w:fill="auto"/>
            <w:noWrap/>
            <w:vAlign w:val="center"/>
            <w:hideMark/>
          </w:tcPr>
          <w:p w:rsidR="003365DE" w:rsidRPr="00EB2612" w:rsidRDefault="005F7971" w:rsidP="003365DE">
            <w:pPr>
              <w:spacing w:after="0" w:line="240" w:lineRule="auto"/>
              <w:jc w:val="left"/>
              <w:rPr>
                <w:rFonts w:ascii="Calibri" w:hAnsi="Calibri"/>
                <w:szCs w:val="20"/>
              </w:rPr>
            </w:pPr>
            <w:r w:rsidRPr="00EB2612">
              <w:rPr>
                <w:rFonts w:ascii="Calibri" w:hAnsi="Calibri"/>
                <w:szCs w:val="20"/>
              </w:rPr>
              <w:t>D</w:t>
            </w:r>
            <w:r w:rsidR="003365DE" w:rsidRPr="00EB2612">
              <w:rPr>
                <w:rFonts w:ascii="Calibri" w:hAnsi="Calibri"/>
                <w:szCs w:val="20"/>
              </w:rPr>
              <w:t>esign</w:t>
            </w:r>
          </w:p>
        </w:tc>
        <w:tc>
          <w:tcPr>
            <w:tcW w:w="2720" w:type="dxa"/>
            <w:tcBorders>
              <w:top w:val="single" w:sz="4" w:space="0" w:color="auto"/>
              <w:bottom w:val="single" w:sz="4" w:space="0" w:color="auto"/>
            </w:tcBorders>
            <w:shd w:val="clear" w:color="auto" w:fill="auto"/>
            <w:noWrap/>
            <w:vAlign w:val="center"/>
            <w:hideMark/>
          </w:tcPr>
          <w:p w:rsidR="003365DE" w:rsidRPr="00EB2612" w:rsidRDefault="003365DE" w:rsidP="003365DE">
            <w:pPr>
              <w:spacing w:after="0" w:line="240" w:lineRule="auto"/>
              <w:jc w:val="left"/>
              <w:rPr>
                <w:rFonts w:ascii="Calibri" w:hAnsi="Calibri"/>
                <w:color w:val="000000"/>
                <w:szCs w:val="20"/>
              </w:rPr>
            </w:pPr>
            <w:r w:rsidRPr="00EB2612">
              <w:rPr>
                <w:rFonts w:ascii="Calibri" w:hAnsi="Calibri"/>
                <w:color w:val="000000"/>
                <w:szCs w:val="20"/>
              </w:rPr>
              <w:t>74.10</w:t>
            </w:r>
          </w:p>
        </w:tc>
        <w:tc>
          <w:tcPr>
            <w:tcW w:w="4560" w:type="dxa"/>
            <w:tcBorders>
              <w:top w:val="single" w:sz="4" w:space="0" w:color="auto"/>
              <w:bottom w:val="single" w:sz="4" w:space="0" w:color="auto"/>
            </w:tcBorders>
            <w:shd w:val="clear" w:color="auto" w:fill="auto"/>
            <w:vAlign w:val="center"/>
            <w:hideMark/>
          </w:tcPr>
          <w:p w:rsidR="003365DE" w:rsidRPr="00EB2612" w:rsidRDefault="003365DE" w:rsidP="003365DE">
            <w:pPr>
              <w:spacing w:after="0" w:line="240" w:lineRule="auto"/>
              <w:jc w:val="left"/>
              <w:rPr>
                <w:rFonts w:ascii="Calibri" w:hAnsi="Calibri"/>
                <w:szCs w:val="20"/>
              </w:rPr>
            </w:pPr>
            <w:r w:rsidRPr="00EB2612">
              <w:rPr>
                <w:rFonts w:ascii="Calibri" w:hAnsi="Calibri"/>
                <w:szCs w:val="20"/>
              </w:rPr>
              <w:t>Specializované návrhářské činnosti</w:t>
            </w:r>
          </w:p>
        </w:tc>
      </w:tr>
    </w:tbl>
    <w:p w:rsidR="003365DE" w:rsidRPr="00EB2612" w:rsidRDefault="003365DE" w:rsidP="003365DE"/>
    <w:p w:rsidR="00484A8E" w:rsidRPr="00EB2612" w:rsidRDefault="00484A8E" w:rsidP="00484A8E">
      <w:pPr>
        <w:pStyle w:val="Titulek"/>
        <w:keepNext/>
        <w:rPr>
          <w:b w:val="0"/>
          <w:color w:val="auto"/>
          <w:sz w:val="22"/>
          <w:szCs w:val="22"/>
        </w:rPr>
      </w:pPr>
      <w:r w:rsidRPr="00EB2612">
        <w:rPr>
          <w:color w:val="auto"/>
          <w:sz w:val="22"/>
          <w:szCs w:val="22"/>
        </w:rPr>
        <w:lastRenderedPageBreak/>
        <w:t>Příloha 2</w:t>
      </w:r>
      <w:r w:rsidRPr="00EB2612">
        <w:t xml:space="preserve"> </w:t>
      </w:r>
      <w:r w:rsidRPr="00EB2612">
        <w:rPr>
          <w:b w:val="0"/>
          <w:color w:val="auto"/>
          <w:sz w:val="22"/>
          <w:szCs w:val="22"/>
        </w:rPr>
        <w:t xml:space="preserve">Seznam a definice zaměstnání v oblasti kultury podle klasifikace </w:t>
      </w:r>
      <w:r w:rsidR="006E3528" w:rsidRPr="00EB2612">
        <w:rPr>
          <w:b w:val="0"/>
          <w:color w:val="auto"/>
          <w:sz w:val="22"/>
          <w:szCs w:val="22"/>
        </w:rPr>
        <w:t>CZ-</w:t>
      </w:r>
      <w:r w:rsidRPr="00EB2612">
        <w:rPr>
          <w:b w:val="0"/>
          <w:color w:val="auto"/>
          <w:sz w:val="22"/>
          <w:szCs w:val="22"/>
        </w:rPr>
        <w:t>ISCO</w:t>
      </w:r>
    </w:p>
    <w:tbl>
      <w:tblPr>
        <w:tblW w:w="9229" w:type="dxa"/>
        <w:tblInd w:w="55" w:type="dxa"/>
        <w:tblCellMar>
          <w:left w:w="70" w:type="dxa"/>
          <w:right w:w="70" w:type="dxa"/>
        </w:tblCellMar>
        <w:tblLook w:val="04A0"/>
      </w:tblPr>
      <w:tblGrid>
        <w:gridCol w:w="2142"/>
        <w:gridCol w:w="7087"/>
      </w:tblGrid>
      <w:tr w:rsidR="00A70B41" w:rsidRPr="00EB2612" w:rsidTr="00A70B41">
        <w:trPr>
          <w:trHeight w:val="312"/>
        </w:trPr>
        <w:tc>
          <w:tcPr>
            <w:tcW w:w="2142" w:type="dxa"/>
            <w:tcBorders>
              <w:top w:val="single" w:sz="12" w:space="0" w:color="auto"/>
              <w:bottom w:val="single" w:sz="12" w:space="0" w:color="auto"/>
            </w:tcBorders>
            <w:shd w:val="clear" w:color="auto" w:fill="E5B8B7" w:themeFill="accent2" w:themeFillTint="66"/>
            <w:noWrap/>
            <w:vAlign w:val="center"/>
            <w:hideMark/>
          </w:tcPr>
          <w:p w:rsidR="00A70B41" w:rsidRPr="00EB2612" w:rsidRDefault="00A70B41" w:rsidP="00A70B41">
            <w:pPr>
              <w:spacing w:after="0" w:line="240" w:lineRule="auto"/>
              <w:jc w:val="left"/>
              <w:rPr>
                <w:rFonts w:ascii="Calibri" w:hAnsi="Calibri"/>
                <w:b/>
                <w:color w:val="000000"/>
                <w:szCs w:val="20"/>
              </w:rPr>
            </w:pPr>
            <w:r w:rsidRPr="00EB2612">
              <w:rPr>
                <w:rFonts w:ascii="Calibri" w:hAnsi="Calibri"/>
                <w:b/>
                <w:color w:val="000000"/>
                <w:szCs w:val="20"/>
              </w:rPr>
              <w:t>Kategorie CZ-ISCO</w:t>
            </w:r>
          </w:p>
        </w:tc>
        <w:tc>
          <w:tcPr>
            <w:tcW w:w="7087" w:type="dxa"/>
            <w:tcBorders>
              <w:top w:val="single" w:sz="12" w:space="0" w:color="auto"/>
              <w:bottom w:val="single" w:sz="12" w:space="0" w:color="auto"/>
            </w:tcBorders>
            <w:shd w:val="clear" w:color="auto" w:fill="E5B8B7" w:themeFill="accent2" w:themeFillTint="66"/>
            <w:noWrap/>
            <w:vAlign w:val="center"/>
            <w:hideMark/>
          </w:tcPr>
          <w:p w:rsidR="00A70B41" w:rsidRPr="00EB2612" w:rsidRDefault="00A70B41" w:rsidP="00A70B41">
            <w:pPr>
              <w:spacing w:after="0" w:line="240" w:lineRule="auto"/>
              <w:jc w:val="left"/>
              <w:rPr>
                <w:rFonts w:ascii="Calibri" w:hAnsi="Calibri"/>
                <w:b/>
                <w:color w:val="000000"/>
                <w:szCs w:val="20"/>
              </w:rPr>
            </w:pPr>
            <w:r w:rsidRPr="00EB2612">
              <w:rPr>
                <w:rFonts w:ascii="Calibri" w:hAnsi="Calibri"/>
                <w:b/>
                <w:color w:val="000000"/>
                <w:szCs w:val="20"/>
              </w:rPr>
              <w:t>Zaměstnání</w:t>
            </w:r>
          </w:p>
        </w:tc>
      </w:tr>
      <w:tr w:rsidR="00A70B41" w:rsidRPr="00EB2612" w:rsidTr="00A70B41">
        <w:trPr>
          <w:trHeight w:val="312"/>
        </w:trPr>
        <w:tc>
          <w:tcPr>
            <w:tcW w:w="2142" w:type="dxa"/>
            <w:tcBorders>
              <w:top w:val="single" w:sz="12" w:space="0" w:color="auto"/>
            </w:tcBorders>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2161</w:t>
            </w:r>
          </w:p>
        </w:tc>
        <w:tc>
          <w:tcPr>
            <w:tcW w:w="7087" w:type="dxa"/>
            <w:tcBorders>
              <w:top w:val="single" w:sz="12" w:space="0" w:color="auto"/>
            </w:tcBorders>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Stavební architekti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2162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Zahradní a krajinní architekti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2163</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Průmysloví a produktoví designéři, módní návrháři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2166</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Grafici a výtvarníci v multimédiích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2354</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Lektoři a učitelé hudby na ostatních školách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2355</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Lektoři a učitelé umění na ostatních školách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2621</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Specialisté archiváři, kurátoři a správci památkových objektů</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2622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Specialisté v knihovnách a v příbuzných oblastech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2641</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Spisovatelé a příbuzní pracovníci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2642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Redaktoři, novináři a příbuzní pracovníci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2643</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Překladatelé, tlumočníci a jazykovědci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2651</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Výtvarní umělci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Hudebníci, zpěváci a skladatelé</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2653</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Tanečníci a choreografové</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2654</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Režiséři, dramaturgové, produkční a příbuzní specialisté</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2655</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Herci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2656</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Moderátoři v rozhlasu, televizi a ostatní moderátoři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2659</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 xml:space="preserve">Výkonní umělci a příbuzní specialisté jinde neuvedení </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3431</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Fotografové</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3432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Aranžéři a příbuzní pracovníci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3433</w:t>
            </w:r>
          </w:p>
        </w:tc>
        <w:tc>
          <w:tcPr>
            <w:tcW w:w="7087" w:type="dxa"/>
            <w:shd w:val="clear" w:color="auto" w:fill="auto"/>
            <w:vAlign w:val="center"/>
            <w:hideMark/>
          </w:tcPr>
          <w:p w:rsidR="00A70B41" w:rsidRPr="00EB2612" w:rsidRDefault="00A70B41" w:rsidP="00220644">
            <w:pPr>
              <w:spacing w:after="0" w:line="240" w:lineRule="auto"/>
              <w:jc w:val="left"/>
              <w:rPr>
                <w:rFonts w:ascii="Calibri" w:hAnsi="Calibri"/>
                <w:color w:val="000000"/>
                <w:szCs w:val="20"/>
              </w:rPr>
            </w:pPr>
            <w:r w:rsidRPr="00EB2612">
              <w:rPr>
                <w:rFonts w:ascii="Calibri" w:hAnsi="Calibri"/>
                <w:color w:val="000000"/>
                <w:szCs w:val="20"/>
              </w:rPr>
              <w:t>Konzervátoři, restaurátoři a preparátoři a příbuzní pracovníci v galeriích, muzeích a</w:t>
            </w:r>
            <w:r w:rsidR="00220644" w:rsidRPr="00EB2612">
              <w:rPr>
                <w:rFonts w:ascii="Calibri" w:hAnsi="Calibri"/>
                <w:color w:val="000000"/>
                <w:szCs w:val="20"/>
              </w:rPr>
              <w:t> </w:t>
            </w:r>
            <w:r w:rsidRPr="00EB2612">
              <w:rPr>
                <w:rFonts w:ascii="Calibri" w:hAnsi="Calibri"/>
                <w:color w:val="000000"/>
                <w:szCs w:val="20"/>
              </w:rPr>
              <w:t>knihovnách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3435</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Ostatní odborní pracovníci v oblasti umění a kultury</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3521</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Technici v oblasti vysílání a audiovizuálních záznamů</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4411</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szCs w:val="20"/>
              </w:rPr>
            </w:pPr>
            <w:r w:rsidRPr="00EB2612">
              <w:rPr>
                <w:rFonts w:ascii="Calibri" w:hAnsi="Calibri"/>
                <w:szCs w:val="20"/>
              </w:rPr>
              <w:t>Knihovníci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7312</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Výrobci a opraváři hudebních nástrojů, ladiči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7313</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Klenotníci, zlatníci a šperkaři</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7314</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Keramici a pracovníci v příbuzných oborech</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7315</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Skláři, brusiči skla, výrobci bižuterie a skleněných ozdob</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7316</w:t>
            </w:r>
          </w:p>
        </w:tc>
        <w:tc>
          <w:tcPr>
            <w:tcW w:w="7087" w:type="dxa"/>
            <w:shd w:val="clear" w:color="auto" w:fill="auto"/>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Malíři, rytci a příbuzní pracovníci pro zdobení skla, keramiky, kovu, dřeva a jiných materiálů</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7317</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Tradiční zpracovatelé dřeva, proutí a příbuzných materiálů</w:t>
            </w:r>
          </w:p>
        </w:tc>
      </w:tr>
      <w:tr w:rsidR="00A70B41" w:rsidRPr="00EB2612" w:rsidTr="00A70B41">
        <w:trPr>
          <w:trHeight w:val="312"/>
        </w:trPr>
        <w:tc>
          <w:tcPr>
            <w:tcW w:w="2142"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7318</w:t>
            </w:r>
          </w:p>
        </w:tc>
        <w:tc>
          <w:tcPr>
            <w:tcW w:w="7087" w:type="dxa"/>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 xml:space="preserve">Tradiční zpracovatelé textilu, kůží a příbuzných materiálů </w:t>
            </w:r>
          </w:p>
        </w:tc>
      </w:tr>
      <w:tr w:rsidR="00A70B41" w:rsidRPr="00EB2612" w:rsidTr="00A70B41">
        <w:trPr>
          <w:trHeight w:val="312"/>
        </w:trPr>
        <w:tc>
          <w:tcPr>
            <w:tcW w:w="2142" w:type="dxa"/>
            <w:tcBorders>
              <w:bottom w:val="single" w:sz="12" w:space="0" w:color="auto"/>
            </w:tcBorders>
            <w:shd w:val="clear" w:color="auto" w:fill="auto"/>
            <w:noWrap/>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7319</w:t>
            </w:r>
          </w:p>
        </w:tc>
        <w:tc>
          <w:tcPr>
            <w:tcW w:w="7087" w:type="dxa"/>
            <w:tcBorders>
              <w:bottom w:val="single" w:sz="12" w:space="0" w:color="auto"/>
            </w:tcBorders>
            <w:shd w:val="clear" w:color="auto" w:fill="auto"/>
            <w:vAlign w:val="center"/>
            <w:hideMark/>
          </w:tcPr>
          <w:p w:rsidR="00A70B41" w:rsidRPr="00EB2612" w:rsidRDefault="00A70B41" w:rsidP="00A70B41">
            <w:pPr>
              <w:spacing w:after="0" w:line="240" w:lineRule="auto"/>
              <w:jc w:val="left"/>
              <w:rPr>
                <w:rFonts w:ascii="Calibri" w:hAnsi="Calibri"/>
                <w:color w:val="000000"/>
                <w:szCs w:val="20"/>
              </w:rPr>
            </w:pPr>
            <w:r w:rsidRPr="00EB2612">
              <w:rPr>
                <w:rFonts w:ascii="Calibri" w:hAnsi="Calibri"/>
                <w:color w:val="000000"/>
                <w:szCs w:val="20"/>
              </w:rPr>
              <w:t>Pracovníci v oblasti uměleckých a tradičních řemesel jinde neuvedení</w:t>
            </w:r>
          </w:p>
        </w:tc>
      </w:tr>
    </w:tbl>
    <w:p w:rsidR="00750D87" w:rsidRPr="00EB2612" w:rsidRDefault="00750D87" w:rsidP="00FA6A70">
      <w:pPr>
        <w:ind w:left="284" w:hanging="284"/>
      </w:pPr>
    </w:p>
    <w:sectPr w:rsidR="00750D87" w:rsidRPr="00EB2612" w:rsidSect="007B47EE">
      <w:headerReference w:type="even" r:id="rId118"/>
      <w:headerReference w:type="default" r:id="rId119"/>
      <w:footerReference w:type="even" r:id="rId120"/>
      <w:footerReference w:type="default" r:id="rId121"/>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11D" w:rsidRDefault="0083511D" w:rsidP="00E71A58">
      <w:r>
        <w:separator/>
      </w:r>
    </w:p>
  </w:endnote>
  <w:endnote w:type="continuationSeparator" w:id="0">
    <w:p w:rsidR="0083511D" w:rsidRDefault="0083511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771" w:rsidRPr="0094032D" w:rsidRDefault="00705045"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781DF4" w:rsidRPr="005A21E0">
      <w:rPr>
        <w:rFonts w:ascii="Arial" w:hAnsi="Arial" w:cs="Arial"/>
        <w:sz w:val="16"/>
        <w:szCs w:val="16"/>
      </w:rPr>
      <w:fldChar w:fldCharType="begin"/>
    </w:r>
    <w:r w:rsidRPr="005A21E0">
      <w:rPr>
        <w:rFonts w:ascii="Arial" w:hAnsi="Arial" w:cs="Arial"/>
        <w:sz w:val="16"/>
        <w:szCs w:val="16"/>
      </w:rPr>
      <w:instrText>PAGE   \* MERGEFORMAT</w:instrText>
    </w:r>
    <w:r w:rsidR="00781DF4" w:rsidRPr="005A21E0">
      <w:rPr>
        <w:rFonts w:ascii="Arial" w:hAnsi="Arial" w:cs="Arial"/>
        <w:sz w:val="16"/>
        <w:szCs w:val="16"/>
      </w:rPr>
      <w:fldChar w:fldCharType="separate"/>
    </w:r>
    <w:r w:rsidR="001B057A">
      <w:rPr>
        <w:rFonts w:ascii="Arial" w:hAnsi="Arial" w:cs="Arial"/>
        <w:noProof/>
        <w:sz w:val="16"/>
        <w:szCs w:val="16"/>
      </w:rPr>
      <w:t>14</w:t>
    </w:r>
    <w:r w:rsidR="00781DF4" w:rsidRPr="005A21E0">
      <w:rPr>
        <w:rFonts w:ascii="Arial" w:hAnsi="Arial" w:cs="Arial"/>
        <w:sz w:val="16"/>
        <w:szCs w:val="16"/>
      </w:rPr>
      <w:fldChar w:fldCharType="end"/>
    </w:r>
    <w:r>
      <w:rPr>
        <w:rFonts w:ascii="Arial" w:hAnsi="Arial" w:cs="Arial"/>
        <w:sz w:val="16"/>
        <w:szCs w:val="16"/>
      </w:rPr>
      <w:tab/>
      <w:t>2019</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Default="00705045" w:rsidP="00B56E4B">
    <w:pPr>
      <w:pStyle w:val="Zpat"/>
      <w:tabs>
        <w:tab w:val="clear" w:pos="4536"/>
        <w:tab w:val="clear" w:pos="9072"/>
        <w:tab w:val="left" w:pos="1134"/>
        <w:tab w:val="left" w:pos="1843"/>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2019</w:t>
    </w:r>
    <w:r w:rsidR="00B56E4B">
      <w:tab/>
    </w:r>
    <w:r w:rsidR="00781DF4" w:rsidRPr="00B6608F">
      <w:rPr>
        <w:rFonts w:ascii="Arial" w:hAnsi="Arial" w:cs="Arial"/>
        <w:sz w:val="16"/>
        <w:szCs w:val="16"/>
      </w:rPr>
      <w:fldChar w:fldCharType="begin"/>
    </w:r>
    <w:r w:rsidRPr="00B6608F">
      <w:rPr>
        <w:rFonts w:ascii="Arial" w:hAnsi="Arial" w:cs="Arial"/>
        <w:sz w:val="16"/>
        <w:szCs w:val="16"/>
      </w:rPr>
      <w:instrText>PAGE   \* MERGEFORMAT</w:instrText>
    </w:r>
    <w:r w:rsidR="00781DF4" w:rsidRPr="00B6608F">
      <w:rPr>
        <w:rFonts w:ascii="Arial" w:hAnsi="Arial" w:cs="Arial"/>
        <w:sz w:val="16"/>
        <w:szCs w:val="16"/>
      </w:rPr>
      <w:fldChar w:fldCharType="separate"/>
    </w:r>
    <w:r w:rsidR="001B057A">
      <w:rPr>
        <w:rFonts w:ascii="Arial" w:hAnsi="Arial" w:cs="Arial"/>
        <w:noProof/>
        <w:sz w:val="16"/>
        <w:szCs w:val="16"/>
      </w:rPr>
      <w:t>13</w:t>
    </w:r>
    <w:r w:rsidR="00781DF4"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11D" w:rsidRDefault="0083511D" w:rsidP="00E71A58">
      <w:r>
        <w:separator/>
      </w:r>
    </w:p>
  </w:footnote>
  <w:footnote w:type="continuationSeparator" w:id="0">
    <w:p w:rsidR="0083511D" w:rsidRDefault="0083511D" w:rsidP="00E71A58">
      <w:r>
        <w:continuationSeparator/>
      </w:r>
    </w:p>
  </w:footnote>
  <w:footnote w:id="1">
    <w:p w:rsidR="00705045" w:rsidRDefault="00705045" w:rsidP="00BB64DB">
      <w:pPr>
        <w:pStyle w:val="Textpoznpodarou"/>
      </w:pPr>
      <w:r>
        <w:rPr>
          <w:rStyle w:val="Znakapoznpodarou"/>
        </w:rPr>
        <w:footnoteRef/>
      </w:r>
      <w:r>
        <w:t xml:space="preserve"> </w:t>
      </w:r>
      <w:proofErr w:type="spellStart"/>
      <w:r w:rsidRPr="00C47C7E">
        <w:t>European</w:t>
      </w:r>
      <w:proofErr w:type="spellEnd"/>
      <w:r w:rsidRPr="00C47C7E">
        <w:t xml:space="preserve"> </w:t>
      </w:r>
      <w:proofErr w:type="spellStart"/>
      <w:r w:rsidRPr="00C47C7E">
        <w:t>Statistical</w:t>
      </w:r>
      <w:proofErr w:type="spellEnd"/>
      <w:r w:rsidRPr="00C47C7E">
        <w:t xml:space="preserve"> </w:t>
      </w:r>
      <w:proofErr w:type="spellStart"/>
      <w:r w:rsidRPr="00C47C7E">
        <w:t>System</w:t>
      </w:r>
      <w:proofErr w:type="spellEnd"/>
      <w:r w:rsidRPr="00C47C7E">
        <w:t xml:space="preserve"> Network on </w:t>
      </w:r>
      <w:proofErr w:type="spellStart"/>
      <w:r w:rsidRPr="00C47C7E">
        <w:t>Culture</w:t>
      </w:r>
      <w:proofErr w:type="spellEnd"/>
    </w:p>
  </w:footnote>
  <w:footnote w:id="2">
    <w:p w:rsidR="00705045" w:rsidRDefault="00705045" w:rsidP="00BB64DB">
      <w:pPr>
        <w:pStyle w:val="Textpoznpodarou"/>
      </w:pPr>
      <w:r>
        <w:rPr>
          <w:rStyle w:val="Znakapoznpodarou"/>
        </w:rPr>
        <w:footnoteRef/>
      </w:r>
      <w:r>
        <w:t xml:space="preserve"> bez designu a uměleckých</w:t>
      </w:r>
      <w:r w:rsidRPr="006153C5">
        <w:t xml:space="preserve"> řemesel</w:t>
      </w:r>
    </w:p>
  </w:footnote>
  <w:footnote w:id="3">
    <w:p w:rsidR="00705045" w:rsidRDefault="00705045">
      <w:pPr>
        <w:pStyle w:val="Textpoznpodarou"/>
      </w:pPr>
      <w:r>
        <w:rPr>
          <w:rStyle w:val="Znakapoznpodarou"/>
        </w:rPr>
        <w:footnoteRef/>
      </w:r>
      <w:r>
        <w:t xml:space="preserve"> Kategorie CZ-NACE 47.63 zahrnuje maloobchod s audio i video záznamy. Bohužel nelze přesně posoudit, jaká část náleží hudebním a jaká naopak filmovým záznamům. Proto je polovina této kategorie zařazena do oblasti filmu a polovina do oblasti hudby.   </w:t>
      </w:r>
    </w:p>
  </w:footnote>
  <w:footnote w:id="4">
    <w:p w:rsidR="00705045" w:rsidRDefault="00705045" w:rsidP="00477774">
      <w:pPr>
        <w:pStyle w:val="Textpoznpodarou"/>
        <w:jc w:val="left"/>
      </w:pPr>
      <w:r>
        <w:rPr>
          <w:rStyle w:val="Znakapoznpodarou"/>
        </w:rPr>
        <w:footnoteRef/>
      </w:r>
      <w:r>
        <w:t xml:space="preserve"> Podrobnější definice zmíněných ukazatelů je k nalezení zde: </w:t>
      </w:r>
      <w:hyperlink r:id="rId1" w:history="1">
        <w:r w:rsidRPr="00206ADC">
          <w:rPr>
            <w:rStyle w:val="Hypertextovodkaz"/>
          </w:rPr>
          <w:t>https://www.czso.cz/csu/czso/rocni-strukturalni-statistika-prumyslu-metodika</w:t>
        </w:r>
      </w:hyperlink>
    </w:p>
    <w:p w:rsidR="00705045" w:rsidRDefault="00705045">
      <w:pPr>
        <w:pStyle w:val="Textpoznpodarou"/>
      </w:pPr>
    </w:p>
  </w:footnote>
  <w:footnote w:id="5">
    <w:p w:rsidR="00705045" w:rsidRDefault="00705045" w:rsidP="00BB64DB">
      <w:pPr>
        <w:pStyle w:val="Textpoznpodarou"/>
      </w:pPr>
      <w:r>
        <w:rPr>
          <w:rStyle w:val="Znakapoznpodarou"/>
        </w:rPr>
        <w:footnoteRef/>
      </w:r>
      <w:r>
        <w:t xml:space="preserve"> Podle vymezení v rámci zákona č. </w:t>
      </w:r>
      <w:r w:rsidRPr="0023548B">
        <w:t>46/2000 Sb.</w:t>
      </w:r>
      <w:r>
        <w:t xml:space="preserve"> se periodickým tiskem rozumí </w:t>
      </w:r>
      <w:r w:rsidRPr="0023548B">
        <w:rPr>
          <w:i/>
        </w:rPr>
        <w:t>noviny, časopisy a jiné tiskoviny vydávané pod stejným názvem, se stejným obsahovým zaměřením a v jednotné grafické úpravě nejméně dvakrát v</w:t>
      </w:r>
      <w:r>
        <w:rPr>
          <w:i/>
        </w:rPr>
        <w:t> </w:t>
      </w:r>
      <w:r w:rsidRPr="0023548B">
        <w:rPr>
          <w:i/>
        </w:rPr>
        <w:t>kalendářním roce</w:t>
      </w:r>
      <w:r>
        <w:t>.</w:t>
      </w:r>
    </w:p>
  </w:footnote>
  <w:footnote w:id="6">
    <w:p w:rsidR="00705045" w:rsidRDefault="00705045">
      <w:pPr>
        <w:pStyle w:val="Textpoznpodarou"/>
      </w:pPr>
      <w:r>
        <w:rPr>
          <w:rStyle w:val="Znakapoznpodarou"/>
        </w:rPr>
        <w:footnoteRef/>
      </w:r>
      <w:r>
        <w:t xml:space="preserve"> V posledních čtrnácti dnech či podle periodicity titulu.</w:t>
      </w:r>
    </w:p>
  </w:footnote>
  <w:footnote w:id="7">
    <w:p w:rsidR="00705045" w:rsidRDefault="00705045">
      <w:pPr>
        <w:pStyle w:val="Textpoznpodarou"/>
      </w:pPr>
      <w:r>
        <w:rPr>
          <w:rStyle w:val="Znakapoznpodarou"/>
        </w:rPr>
        <w:footnoteRef/>
      </w:r>
      <w:r>
        <w:t xml:space="preserve"> Počet diváků, kteří navštívili ve sledovaném roce kinosál.</w:t>
      </w:r>
    </w:p>
  </w:footnote>
  <w:footnote w:id="8">
    <w:p w:rsidR="00705045" w:rsidRDefault="00705045" w:rsidP="00BB64DB">
      <w:pPr>
        <w:pStyle w:val="Textpoznpodarou"/>
      </w:pPr>
      <w:r>
        <w:rPr>
          <w:rStyle w:val="Znakapoznpodarou"/>
        </w:rPr>
        <w:footnoteRef/>
      </w:r>
      <w:r>
        <w:t xml:space="preserve"> V platném znění zákona o České televizi č. 483/1991 Sb., zákona o Českém rozhlase č. 484/1991 Sb. a zákona o provozování rozhlasového a televizního vysílání č.231/2001 Sb.</w:t>
      </w:r>
    </w:p>
  </w:footnote>
  <w:footnote w:id="9">
    <w:p w:rsidR="00705045" w:rsidRDefault="00705045" w:rsidP="006807FF">
      <w:pPr>
        <w:pStyle w:val="Textpoznpodarou"/>
      </w:pPr>
      <w:r>
        <w:rPr>
          <w:rStyle w:val="Znakapoznpodarou"/>
        </w:rPr>
        <w:footnoteRef/>
      </w:r>
      <w:r>
        <w:t xml:space="preserve"> V rámci výzkumu </w:t>
      </w:r>
      <w:proofErr w:type="spellStart"/>
      <w:r>
        <w:t>Radioprojekt</w:t>
      </w:r>
      <w:proofErr w:type="spellEnd"/>
      <w:r>
        <w:t xml:space="preserve"> je ročně osloveno okolo 30 tis. respondentů s otázkami ohledně poslechu rozhlasových stanic v minulém dni (popřípadě minulém týdnu). </w:t>
      </w:r>
      <w:proofErr w:type="spellStart"/>
      <w:r>
        <w:t>Poslechovost</w:t>
      </w:r>
      <w:proofErr w:type="spellEnd"/>
      <w:r>
        <w:t xml:space="preserve"> tedy měří, jaká část populace v minulém dni (popřípadě týdnu) poslouchala určitou stanici.</w:t>
      </w:r>
    </w:p>
  </w:footnote>
  <w:footnote w:id="10">
    <w:p w:rsidR="00705045" w:rsidRDefault="00705045">
      <w:pPr>
        <w:pStyle w:val="Textpoznpodarou"/>
      </w:pPr>
      <w:r>
        <w:rPr>
          <w:rStyle w:val="Znakapoznpodarou"/>
        </w:rPr>
        <w:footnoteRef/>
      </w:r>
      <w:r>
        <w:t xml:space="preserve"> </w:t>
      </w:r>
      <w:r w:rsidRPr="00C60EA0">
        <w:t xml:space="preserve">Čas vyhrazený reklamě a teleshoppingu provozovatele rozhlasového vysílání ze zákona nesmí přesáhnout </w:t>
      </w:r>
      <w:proofErr w:type="spellStart"/>
      <w:r w:rsidRPr="00C60EA0">
        <w:t>naceloplošném</w:t>
      </w:r>
      <w:proofErr w:type="spellEnd"/>
      <w:r w:rsidRPr="00C60EA0">
        <w:t xml:space="preserve">  </w:t>
      </w:r>
      <w:proofErr w:type="gramStart"/>
      <w:r w:rsidRPr="00C60EA0">
        <w:t>vysílacím  okruhu</w:t>
      </w:r>
      <w:proofErr w:type="gramEnd"/>
      <w:r w:rsidRPr="00C60EA0">
        <w:t xml:space="preserve">  3  minuty  denního  vysílacího  času  a  5  minut  denního  vysílacího  času  na  místním  okruhu.</w:t>
      </w:r>
    </w:p>
  </w:footnote>
  <w:footnote w:id="11">
    <w:p w:rsidR="00705045" w:rsidRDefault="00705045">
      <w:pPr>
        <w:pStyle w:val="Textpoznpodarou"/>
      </w:pPr>
      <w:r>
        <w:rPr>
          <w:rStyle w:val="Znakapoznpodarou"/>
        </w:rPr>
        <w:footnoteRef/>
      </w:r>
      <w:r>
        <w:t xml:space="preserve"> Neexistuje jednotná definice tohoto pojmu, například </w:t>
      </w:r>
      <w:proofErr w:type="spellStart"/>
      <w:r>
        <w:t>Oldies</w:t>
      </w:r>
      <w:proofErr w:type="spellEnd"/>
      <w:r>
        <w:t xml:space="preserve"> </w:t>
      </w:r>
      <w:proofErr w:type="spellStart"/>
      <w:r>
        <w:t>Radio</w:t>
      </w:r>
      <w:proofErr w:type="spellEnd"/>
      <w:r>
        <w:t xml:space="preserve"> se specializuje na hudbu 60. – 80. let, na druhou stranu v rámci pořadu Českého rozhlasu s názvem </w:t>
      </w:r>
      <w:proofErr w:type="spellStart"/>
      <w:r>
        <w:t>Oldies</w:t>
      </w:r>
      <w:proofErr w:type="spellEnd"/>
      <w:r>
        <w:t xml:space="preserve"> jako na dlani jsou </w:t>
      </w:r>
      <w:proofErr w:type="spellStart"/>
      <w:r>
        <w:t>vysílany</w:t>
      </w:r>
      <w:proofErr w:type="spellEnd"/>
      <w:r>
        <w:t xml:space="preserve"> skladby vydané v 50. až 70. letech.</w:t>
      </w:r>
    </w:p>
  </w:footnote>
  <w:footnote w:id="12">
    <w:p w:rsidR="00705045" w:rsidRDefault="00705045">
      <w:pPr>
        <w:pStyle w:val="Textpoznpodarou"/>
      </w:pPr>
      <w:r>
        <w:rPr>
          <w:rStyle w:val="Znakapoznpodarou"/>
        </w:rPr>
        <w:footnoteRef/>
      </w:r>
      <w:r>
        <w:t xml:space="preserve"> Podle ATO je sledovanost definovaná jako podíl osob, které sledovaly úsek televizního vysílání na daném kanálu v rámci daného období (živě nebo </w:t>
      </w:r>
      <w:proofErr w:type="spellStart"/>
      <w:r>
        <w:t>odloženě</w:t>
      </w:r>
      <w:proofErr w:type="spellEnd"/>
      <w:r>
        <w:t xml:space="preserve"> v následujících třech dnech). Sledovanost je měřena denně pomocí zařízení umístěných do cca 2000 domácností.</w:t>
      </w:r>
    </w:p>
  </w:footnote>
  <w:footnote w:id="13">
    <w:p w:rsidR="00705045" w:rsidRDefault="00705045" w:rsidP="00BB64DB">
      <w:pPr>
        <w:pStyle w:val="Textpoznpodarou"/>
      </w:pPr>
      <w:r>
        <w:rPr>
          <w:rStyle w:val="Znakapoznpodarou"/>
        </w:rPr>
        <w:footnoteRef/>
      </w:r>
      <w:r>
        <w:t xml:space="preserve"> Zákon č. 231/2001 Sb. vymezuje podíl reklamy na celkovém vysílání pro ČT 2 a ČT 24 na 0,5 procenta vysílacího času. </w:t>
      </w:r>
      <w:proofErr w:type="gramStart"/>
      <w:r w:rsidRPr="00AF36B3">
        <w:t>na</w:t>
      </w:r>
      <w:proofErr w:type="gramEnd"/>
      <w:r w:rsidRPr="00AF36B3">
        <w:t xml:space="preserve"> ostatních programech zařazovat reklamu s výjimkou reklamy zařazované do vysílání programu v přímém spojení s vysíláním kulturní či sportovní události, je-li vysílání takové reklamy nezbytnou podmínkou k získání práv k televiznímu vysílání sportovní či kulturní události.</w:t>
      </w:r>
    </w:p>
  </w:footnote>
  <w:footnote w:id="14">
    <w:p w:rsidR="00705045" w:rsidRDefault="00705045">
      <w:pPr>
        <w:pStyle w:val="Textpoznpodarou"/>
      </w:pPr>
      <w:r>
        <w:rPr>
          <w:rStyle w:val="Znakapoznpodarou"/>
        </w:rPr>
        <w:footnoteRef/>
      </w:r>
      <w:r>
        <w:t xml:space="preserve"> sledovali alespoň první sekundu tohoto videa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Pr="00AD306C" w:rsidRDefault="00705045"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045" w:rsidRPr="00DC5B3B" w:rsidRDefault="00705045"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4A6449C"/>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0"/>
  </w:num>
  <w:num w:numId="5">
    <w:abstractNumId w:val="17"/>
  </w:num>
  <w:num w:numId="6">
    <w:abstractNumId w:val="2"/>
  </w:num>
  <w:num w:numId="7">
    <w:abstractNumId w:val="1"/>
  </w:num>
  <w:num w:numId="8">
    <w:abstractNumId w:val="15"/>
  </w:num>
  <w:num w:numId="9">
    <w:abstractNumId w:val="16"/>
  </w:num>
  <w:num w:numId="10">
    <w:abstractNumId w:val="6"/>
  </w:num>
  <w:num w:numId="11">
    <w:abstractNumId w:val="4"/>
  </w:num>
  <w:num w:numId="12">
    <w:abstractNumId w:val="10"/>
  </w:num>
  <w:num w:numId="13">
    <w:abstractNumId w:val="13"/>
  </w:num>
  <w:num w:numId="14">
    <w:abstractNumId w:val="11"/>
  </w:num>
  <w:num w:numId="15">
    <w:abstractNumId w:val="9"/>
  </w:num>
  <w:num w:numId="16">
    <w:abstractNumId w:val="3"/>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115714">
      <o:colormru v:ext="edit" colors="#ecf4dd,#eaecee,#fcec0a,#fcecdb,#f1daf5"/>
    </o:shapedefaults>
  </w:hdrShapeDefaults>
  <w:footnotePr>
    <w:footnote w:id="-1"/>
    <w:footnote w:id="0"/>
  </w:footnotePr>
  <w:endnotePr>
    <w:endnote w:id="-1"/>
    <w:endnote w:id="0"/>
  </w:endnotePr>
  <w:compat/>
  <w:rsids>
    <w:rsidRoot w:val="00F2719E"/>
    <w:rsid w:val="00001CBC"/>
    <w:rsid w:val="0000213E"/>
    <w:rsid w:val="00003EB5"/>
    <w:rsid w:val="000055B7"/>
    <w:rsid w:val="000057AA"/>
    <w:rsid w:val="00005C1A"/>
    <w:rsid w:val="00006E97"/>
    <w:rsid w:val="000073B4"/>
    <w:rsid w:val="0000746B"/>
    <w:rsid w:val="0000767A"/>
    <w:rsid w:val="00010702"/>
    <w:rsid w:val="0001137B"/>
    <w:rsid w:val="000114A4"/>
    <w:rsid w:val="00011DA8"/>
    <w:rsid w:val="00011F3D"/>
    <w:rsid w:val="00012C46"/>
    <w:rsid w:val="0001315B"/>
    <w:rsid w:val="00013DBA"/>
    <w:rsid w:val="00014F4C"/>
    <w:rsid w:val="00015D27"/>
    <w:rsid w:val="00015DE3"/>
    <w:rsid w:val="00016534"/>
    <w:rsid w:val="00020722"/>
    <w:rsid w:val="00020FF8"/>
    <w:rsid w:val="00023EDD"/>
    <w:rsid w:val="000251B8"/>
    <w:rsid w:val="00026804"/>
    <w:rsid w:val="00027455"/>
    <w:rsid w:val="00030619"/>
    <w:rsid w:val="00033CE1"/>
    <w:rsid w:val="000343E1"/>
    <w:rsid w:val="00035134"/>
    <w:rsid w:val="000360F3"/>
    <w:rsid w:val="00037107"/>
    <w:rsid w:val="00037854"/>
    <w:rsid w:val="00040658"/>
    <w:rsid w:val="000414D9"/>
    <w:rsid w:val="00041902"/>
    <w:rsid w:val="00042038"/>
    <w:rsid w:val="00042B50"/>
    <w:rsid w:val="00042E63"/>
    <w:rsid w:val="00043B12"/>
    <w:rsid w:val="000443B0"/>
    <w:rsid w:val="00045846"/>
    <w:rsid w:val="00045A03"/>
    <w:rsid w:val="0004694F"/>
    <w:rsid w:val="00046FD2"/>
    <w:rsid w:val="000472B0"/>
    <w:rsid w:val="00050886"/>
    <w:rsid w:val="00051988"/>
    <w:rsid w:val="00052F4D"/>
    <w:rsid w:val="00054903"/>
    <w:rsid w:val="00054D69"/>
    <w:rsid w:val="00056176"/>
    <w:rsid w:val="000624C6"/>
    <w:rsid w:val="0006271F"/>
    <w:rsid w:val="00062EC5"/>
    <w:rsid w:val="000630A6"/>
    <w:rsid w:val="000636B3"/>
    <w:rsid w:val="00063FC1"/>
    <w:rsid w:val="00065A43"/>
    <w:rsid w:val="000665F4"/>
    <w:rsid w:val="00067B3F"/>
    <w:rsid w:val="00067FD5"/>
    <w:rsid w:val="00070E6A"/>
    <w:rsid w:val="000728C1"/>
    <w:rsid w:val="00072ED0"/>
    <w:rsid w:val="0007483B"/>
    <w:rsid w:val="00075BB9"/>
    <w:rsid w:val="00075EB5"/>
    <w:rsid w:val="00076B2C"/>
    <w:rsid w:val="00077ECA"/>
    <w:rsid w:val="00082977"/>
    <w:rsid w:val="00084A0D"/>
    <w:rsid w:val="00086610"/>
    <w:rsid w:val="00086DBB"/>
    <w:rsid w:val="00087634"/>
    <w:rsid w:val="00092D20"/>
    <w:rsid w:val="00093340"/>
    <w:rsid w:val="00096D5E"/>
    <w:rsid w:val="000A0B24"/>
    <w:rsid w:val="000A0F0E"/>
    <w:rsid w:val="000A0FF8"/>
    <w:rsid w:val="000A1183"/>
    <w:rsid w:val="000A1A9F"/>
    <w:rsid w:val="000A1C9C"/>
    <w:rsid w:val="000A3293"/>
    <w:rsid w:val="000A344D"/>
    <w:rsid w:val="000A36DA"/>
    <w:rsid w:val="000A5D59"/>
    <w:rsid w:val="000A72DF"/>
    <w:rsid w:val="000B2D38"/>
    <w:rsid w:val="000B3393"/>
    <w:rsid w:val="000B3817"/>
    <w:rsid w:val="000B3E9E"/>
    <w:rsid w:val="000B3FA5"/>
    <w:rsid w:val="000B6EF8"/>
    <w:rsid w:val="000C0391"/>
    <w:rsid w:val="000C27A2"/>
    <w:rsid w:val="000C3408"/>
    <w:rsid w:val="000C3D1A"/>
    <w:rsid w:val="000C43C6"/>
    <w:rsid w:val="000C53B3"/>
    <w:rsid w:val="000C5653"/>
    <w:rsid w:val="000C7B44"/>
    <w:rsid w:val="000D0A66"/>
    <w:rsid w:val="000D21E1"/>
    <w:rsid w:val="000D3256"/>
    <w:rsid w:val="000D3FD9"/>
    <w:rsid w:val="000D3FEF"/>
    <w:rsid w:val="000D41C4"/>
    <w:rsid w:val="000D50FF"/>
    <w:rsid w:val="000E077B"/>
    <w:rsid w:val="000E0D24"/>
    <w:rsid w:val="000E178F"/>
    <w:rsid w:val="000E334B"/>
    <w:rsid w:val="000E3B13"/>
    <w:rsid w:val="000E3F07"/>
    <w:rsid w:val="000E3F11"/>
    <w:rsid w:val="000E44A0"/>
    <w:rsid w:val="000E4FAD"/>
    <w:rsid w:val="000E5EEF"/>
    <w:rsid w:val="000E5F9D"/>
    <w:rsid w:val="000E7074"/>
    <w:rsid w:val="000F0B50"/>
    <w:rsid w:val="000F1F8C"/>
    <w:rsid w:val="000F4B0F"/>
    <w:rsid w:val="000F6B80"/>
    <w:rsid w:val="000F6FFD"/>
    <w:rsid w:val="0010042A"/>
    <w:rsid w:val="001009D1"/>
    <w:rsid w:val="00103D6C"/>
    <w:rsid w:val="00104257"/>
    <w:rsid w:val="001042A6"/>
    <w:rsid w:val="0010446E"/>
    <w:rsid w:val="00105D5C"/>
    <w:rsid w:val="00107B33"/>
    <w:rsid w:val="001132C6"/>
    <w:rsid w:val="0011354C"/>
    <w:rsid w:val="00113B8D"/>
    <w:rsid w:val="00114747"/>
    <w:rsid w:val="001149CE"/>
    <w:rsid w:val="00114A3F"/>
    <w:rsid w:val="00114BE5"/>
    <w:rsid w:val="00115522"/>
    <w:rsid w:val="00115B4A"/>
    <w:rsid w:val="00120628"/>
    <w:rsid w:val="0012173C"/>
    <w:rsid w:val="00121FC2"/>
    <w:rsid w:val="00121FC7"/>
    <w:rsid w:val="00122CFA"/>
    <w:rsid w:val="001252B4"/>
    <w:rsid w:val="00126988"/>
    <w:rsid w:val="00126EBA"/>
    <w:rsid w:val="00126F11"/>
    <w:rsid w:val="00127405"/>
    <w:rsid w:val="001275BC"/>
    <w:rsid w:val="00130F4A"/>
    <w:rsid w:val="00132090"/>
    <w:rsid w:val="00134285"/>
    <w:rsid w:val="001342F6"/>
    <w:rsid w:val="00134579"/>
    <w:rsid w:val="00135B17"/>
    <w:rsid w:val="0013662C"/>
    <w:rsid w:val="00136A04"/>
    <w:rsid w:val="0014040A"/>
    <w:rsid w:val="001405FA"/>
    <w:rsid w:val="00141131"/>
    <w:rsid w:val="00141268"/>
    <w:rsid w:val="00141308"/>
    <w:rsid w:val="00141FE5"/>
    <w:rsid w:val="001425C3"/>
    <w:rsid w:val="00143AB2"/>
    <w:rsid w:val="00145A10"/>
    <w:rsid w:val="00145EE4"/>
    <w:rsid w:val="001467F1"/>
    <w:rsid w:val="001471DB"/>
    <w:rsid w:val="00147436"/>
    <w:rsid w:val="00147DC4"/>
    <w:rsid w:val="00150997"/>
    <w:rsid w:val="00150D41"/>
    <w:rsid w:val="001531C9"/>
    <w:rsid w:val="00154174"/>
    <w:rsid w:val="00154890"/>
    <w:rsid w:val="001548F9"/>
    <w:rsid w:val="00154C09"/>
    <w:rsid w:val="00154C75"/>
    <w:rsid w:val="00155FA2"/>
    <w:rsid w:val="001577FA"/>
    <w:rsid w:val="00157EB6"/>
    <w:rsid w:val="0016269D"/>
    <w:rsid w:val="00162937"/>
    <w:rsid w:val="00162FCB"/>
    <w:rsid w:val="00163793"/>
    <w:rsid w:val="001661C5"/>
    <w:rsid w:val="001665E5"/>
    <w:rsid w:val="00166697"/>
    <w:rsid w:val="001670A1"/>
    <w:rsid w:val="00167452"/>
    <w:rsid w:val="00167C65"/>
    <w:rsid w:val="0017016E"/>
    <w:rsid w:val="00170E8B"/>
    <w:rsid w:val="001714F2"/>
    <w:rsid w:val="00171A03"/>
    <w:rsid w:val="00171D41"/>
    <w:rsid w:val="00172569"/>
    <w:rsid w:val="00173531"/>
    <w:rsid w:val="00173703"/>
    <w:rsid w:val="001760CA"/>
    <w:rsid w:val="001801FE"/>
    <w:rsid w:val="00180F64"/>
    <w:rsid w:val="00182456"/>
    <w:rsid w:val="00182CF3"/>
    <w:rsid w:val="0018356F"/>
    <w:rsid w:val="00183E00"/>
    <w:rsid w:val="00184AD2"/>
    <w:rsid w:val="00184B71"/>
    <w:rsid w:val="00184C98"/>
    <w:rsid w:val="00185010"/>
    <w:rsid w:val="001857FC"/>
    <w:rsid w:val="001858F2"/>
    <w:rsid w:val="00185C4B"/>
    <w:rsid w:val="001918B2"/>
    <w:rsid w:val="001919CC"/>
    <w:rsid w:val="00191AF3"/>
    <w:rsid w:val="00192EBA"/>
    <w:rsid w:val="0019310E"/>
    <w:rsid w:val="00193560"/>
    <w:rsid w:val="00194011"/>
    <w:rsid w:val="00195E7C"/>
    <w:rsid w:val="0019602F"/>
    <w:rsid w:val="00196AEC"/>
    <w:rsid w:val="00196B4C"/>
    <w:rsid w:val="0019720B"/>
    <w:rsid w:val="001975AC"/>
    <w:rsid w:val="001A12AC"/>
    <w:rsid w:val="001A37DE"/>
    <w:rsid w:val="001A3DC1"/>
    <w:rsid w:val="001A4BAA"/>
    <w:rsid w:val="001A552F"/>
    <w:rsid w:val="001A58FD"/>
    <w:rsid w:val="001A6358"/>
    <w:rsid w:val="001A67A3"/>
    <w:rsid w:val="001A67EB"/>
    <w:rsid w:val="001A7DF6"/>
    <w:rsid w:val="001B057A"/>
    <w:rsid w:val="001B0E1D"/>
    <w:rsid w:val="001B13C4"/>
    <w:rsid w:val="001B1812"/>
    <w:rsid w:val="001B23C7"/>
    <w:rsid w:val="001B3110"/>
    <w:rsid w:val="001B368B"/>
    <w:rsid w:val="001B55B6"/>
    <w:rsid w:val="001B5EAE"/>
    <w:rsid w:val="001B6DBF"/>
    <w:rsid w:val="001B721C"/>
    <w:rsid w:val="001B7827"/>
    <w:rsid w:val="001C01F3"/>
    <w:rsid w:val="001C089F"/>
    <w:rsid w:val="001C11CA"/>
    <w:rsid w:val="001C36A4"/>
    <w:rsid w:val="001C378C"/>
    <w:rsid w:val="001C3E02"/>
    <w:rsid w:val="001C4A1B"/>
    <w:rsid w:val="001C4AB2"/>
    <w:rsid w:val="001C5D40"/>
    <w:rsid w:val="001C6DBA"/>
    <w:rsid w:val="001C709C"/>
    <w:rsid w:val="001C7E8B"/>
    <w:rsid w:val="001D07D2"/>
    <w:rsid w:val="001D41F6"/>
    <w:rsid w:val="001D4ECA"/>
    <w:rsid w:val="001D5C28"/>
    <w:rsid w:val="001E020A"/>
    <w:rsid w:val="001E0AA5"/>
    <w:rsid w:val="001E0B54"/>
    <w:rsid w:val="001E12BB"/>
    <w:rsid w:val="001E342E"/>
    <w:rsid w:val="001E3995"/>
    <w:rsid w:val="001E4F12"/>
    <w:rsid w:val="001E554C"/>
    <w:rsid w:val="001F1BF3"/>
    <w:rsid w:val="001F4597"/>
    <w:rsid w:val="001F4B32"/>
    <w:rsid w:val="001F78F9"/>
    <w:rsid w:val="00200D8C"/>
    <w:rsid w:val="00204DB6"/>
    <w:rsid w:val="00210AA5"/>
    <w:rsid w:val="00211A50"/>
    <w:rsid w:val="002130C8"/>
    <w:rsid w:val="0021339F"/>
    <w:rsid w:val="00215600"/>
    <w:rsid w:val="002159A9"/>
    <w:rsid w:val="002168C9"/>
    <w:rsid w:val="002169D5"/>
    <w:rsid w:val="0021730B"/>
    <w:rsid w:val="00220642"/>
    <w:rsid w:val="00220644"/>
    <w:rsid w:val="0022139E"/>
    <w:rsid w:val="0022192F"/>
    <w:rsid w:val="00222132"/>
    <w:rsid w:val="00222204"/>
    <w:rsid w:val="00223E31"/>
    <w:rsid w:val="002240EE"/>
    <w:rsid w:val="00224F9D"/>
    <w:rsid w:val="002252E0"/>
    <w:rsid w:val="002255F6"/>
    <w:rsid w:val="00226D50"/>
    <w:rsid w:val="00227799"/>
    <w:rsid w:val="00230E00"/>
    <w:rsid w:val="00231003"/>
    <w:rsid w:val="00231FC7"/>
    <w:rsid w:val="002328DA"/>
    <w:rsid w:val="00232B25"/>
    <w:rsid w:val="002342F1"/>
    <w:rsid w:val="00234BB2"/>
    <w:rsid w:val="00234F33"/>
    <w:rsid w:val="00235533"/>
    <w:rsid w:val="002358E7"/>
    <w:rsid w:val="00236443"/>
    <w:rsid w:val="00237048"/>
    <w:rsid w:val="00240E77"/>
    <w:rsid w:val="00243670"/>
    <w:rsid w:val="002436BA"/>
    <w:rsid w:val="00244A15"/>
    <w:rsid w:val="00245506"/>
    <w:rsid w:val="00245697"/>
    <w:rsid w:val="002459CE"/>
    <w:rsid w:val="0024640B"/>
    <w:rsid w:val="00246A65"/>
    <w:rsid w:val="00246B49"/>
    <w:rsid w:val="00247371"/>
    <w:rsid w:val="002473D9"/>
    <w:rsid w:val="0024799E"/>
    <w:rsid w:val="002479CE"/>
    <w:rsid w:val="00250807"/>
    <w:rsid w:val="0025314C"/>
    <w:rsid w:val="00253EF2"/>
    <w:rsid w:val="0025430C"/>
    <w:rsid w:val="00254E3D"/>
    <w:rsid w:val="00255DDE"/>
    <w:rsid w:val="0025640A"/>
    <w:rsid w:val="002603B5"/>
    <w:rsid w:val="00260C15"/>
    <w:rsid w:val="0026222F"/>
    <w:rsid w:val="0026297E"/>
    <w:rsid w:val="00262FF7"/>
    <w:rsid w:val="00264C1E"/>
    <w:rsid w:val="002675E5"/>
    <w:rsid w:val="00270304"/>
    <w:rsid w:val="00270851"/>
    <w:rsid w:val="0027106E"/>
    <w:rsid w:val="002726A6"/>
    <w:rsid w:val="00272FDF"/>
    <w:rsid w:val="00273D6F"/>
    <w:rsid w:val="00276FD9"/>
    <w:rsid w:val="002771F3"/>
    <w:rsid w:val="00277254"/>
    <w:rsid w:val="0027768A"/>
    <w:rsid w:val="00277B29"/>
    <w:rsid w:val="00281805"/>
    <w:rsid w:val="00282789"/>
    <w:rsid w:val="00282CCA"/>
    <w:rsid w:val="002842E6"/>
    <w:rsid w:val="0029010F"/>
    <w:rsid w:val="00291420"/>
    <w:rsid w:val="00291DE1"/>
    <w:rsid w:val="002920AC"/>
    <w:rsid w:val="0029216C"/>
    <w:rsid w:val="00292413"/>
    <w:rsid w:val="002931E4"/>
    <w:rsid w:val="00294458"/>
    <w:rsid w:val="002951F3"/>
    <w:rsid w:val="00296083"/>
    <w:rsid w:val="0029679D"/>
    <w:rsid w:val="002978CD"/>
    <w:rsid w:val="00297CA7"/>
    <w:rsid w:val="002A0381"/>
    <w:rsid w:val="002A1980"/>
    <w:rsid w:val="002A20E0"/>
    <w:rsid w:val="002A32D6"/>
    <w:rsid w:val="002A45B7"/>
    <w:rsid w:val="002A5595"/>
    <w:rsid w:val="002B05A8"/>
    <w:rsid w:val="002B09CD"/>
    <w:rsid w:val="002B1997"/>
    <w:rsid w:val="002B1A98"/>
    <w:rsid w:val="002B21CF"/>
    <w:rsid w:val="002B2C99"/>
    <w:rsid w:val="002B32C9"/>
    <w:rsid w:val="002B37BD"/>
    <w:rsid w:val="002B38C6"/>
    <w:rsid w:val="002B6FCF"/>
    <w:rsid w:val="002B71DD"/>
    <w:rsid w:val="002B7E46"/>
    <w:rsid w:val="002C1C2C"/>
    <w:rsid w:val="002C3743"/>
    <w:rsid w:val="002C3AEA"/>
    <w:rsid w:val="002C43BD"/>
    <w:rsid w:val="002C542C"/>
    <w:rsid w:val="002C6AF9"/>
    <w:rsid w:val="002D06A3"/>
    <w:rsid w:val="002D0CCB"/>
    <w:rsid w:val="002D12FB"/>
    <w:rsid w:val="002D1652"/>
    <w:rsid w:val="002D20D9"/>
    <w:rsid w:val="002D22C5"/>
    <w:rsid w:val="002D3685"/>
    <w:rsid w:val="002D4AB1"/>
    <w:rsid w:val="002D79EC"/>
    <w:rsid w:val="002E02A1"/>
    <w:rsid w:val="002E2B47"/>
    <w:rsid w:val="002E4A91"/>
    <w:rsid w:val="002E7553"/>
    <w:rsid w:val="002F0571"/>
    <w:rsid w:val="002F073D"/>
    <w:rsid w:val="002F0CEC"/>
    <w:rsid w:val="002F1CBF"/>
    <w:rsid w:val="002F2DCA"/>
    <w:rsid w:val="002F3F60"/>
    <w:rsid w:val="002F5BC4"/>
    <w:rsid w:val="002F7B33"/>
    <w:rsid w:val="00302448"/>
    <w:rsid w:val="003031D5"/>
    <w:rsid w:val="00304771"/>
    <w:rsid w:val="00305060"/>
    <w:rsid w:val="00306C5B"/>
    <w:rsid w:val="00310821"/>
    <w:rsid w:val="00310E42"/>
    <w:rsid w:val="00311332"/>
    <w:rsid w:val="00312F56"/>
    <w:rsid w:val="00313494"/>
    <w:rsid w:val="003150BE"/>
    <w:rsid w:val="00315D7E"/>
    <w:rsid w:val="00316A8D"/>
    <w:rsid w:val="00317581"/>
    <w:rsid w:val="003204A0"/>
    <w:rsid w:val="003209D6"/>
    <w:rsid w:val="00323843"/>
    <w:rsid w:val="00324A6A"/>
    <w:rsid w:val="00324E8E"/>
    <w:rsid w:val="003254A1"/>
    <w:rsid w:val="00325918"/>
    <w:rsid w:val="00326993"/>
    <w:rsid w:val="00326B2F"/>
    <w:rsid w:val="0032737D"/>
    <w:rsid w:val="003302D5"/>
    <w:rsid w:val="003316CE"/>
    <w:rsid w:val="003320C2"/>
    <w:rsid w:val="00332E5D"/>
    <w:rsid w:val="0033411B"/>
    <w:rsid w:val="003365DE"/>
    <w:rsid w:val="00336E6B"/>
    <w:rsid w:val="00337A53"/>
    <w:rsid w:val="00340562"/>
    <w:rsid w:val="00342299"/>
    <w:rsid w:val="00342D37"/>
    <w:rsid w:val="003430AF"/>
    <w:rsid w:val="0034338F"/>
    <w:rsid w:val="00343FD9"/>
    <w:rsid w:val="003440AB"/>
    <w:rsid w:val="00346445"/>
    <w:rsid w:val="003464C3"/>
    <w:rsid w:val="00347005"/>
    <w:rsid w:val="003502AC"/>
    <w:rsid w:val="00351229"/>
    <w:rsid w:val="00352B9A"/>
    <w:rsid w:val="00354201"/>
    <w:rsid w:val="00356257"/>
    <w:rsid w:val="00356C82"/>
    <w:rsid w:val="00357841"/>
    <w:rsid w:val="00362010"/>
    <w:rsid w:val="00363800"/>
    <w:rsid w:val="00363B2D"/>
    <w:rsid w:val="003657F3"/>
    <w:rsid w:val="00367BCF"/>
    <w:rsid w:val="0037140D"/>
    <w:rsid w:val="003725A8"/>
    <w:rsid w:val="003731DD"/>
    <w:rsid w:val="003759E9"/>
    <w:rsid w:val="00376C04"/>
    <w:rsid w:val="00376CCE"/>
    <w:rsid w:val="00377195"/>
    <w:rsid w:val="00382400"/>
    <w:rsid w:val="00384F4B"/>
    <w:rsid w:val="00385D98"/>
    <w:rsid w:val="0039067F"/>
    <w:rsid w:val="003920A5"/>
    <w:rsid w:val="00393CDB"/>
    <w:rsid w:val="0039428D"/>
    <w:rsid w:val="00394A56"/>
    <w:rsid w:val="0039617D"/>
    <w:rsid w:val="0039690A"/>
    <w:rsid w:val="0039720C"/>
    <w:rsid w:val="003A004A"/>
    <w:rsid w:val="003A0347"/>
    <w:rsid w:val="003A2B4D"/>
    <w:rsid w:val="003A3495"/>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39C4"/>
    <w:rsid w:val="003B43D1"/>
    <w:rsid w:val="003B588B"/>
    <w:rsid w:val="003B5A32"/>
    <w:rsid w:val="003B5BF6"/>
    <w:rsid w:val="003B6B56"/>
    <w:rsid w:val="003B6FE3"/>
    <w:rsid w:val="003C03EB"/>
    <w:rsid w:val="003C04BB"/>
    <w:rsid w:val="003C0D7E"/>
    <w:rsid w:val="003C105C"/>
    <w:rsid w:val="003C27FD"/>
    <w:rsid w:val="003C28F7"/>
    <w:rsid w:val="003C29BE"/>
    <w:rsid w:val="003C30A0"/>
    <w:rsid w:val="003C37A5"/>
    <w:rsid w:val="003C3996"/>
    <w:rsid w:val="003C5703"/>
    <w:rsid w:val="003C678D"/>
    <w:rsid w:val="003C6CC2"/>
    <w:rsid w:val="003C7122"/>
    <w:rsid w:val="003C736E"/>
    <w:rsid w:val="003C7985"/>
    <w:rsid w:val="003D02CE"/>
    <w:rsid w:val="003D10BF"/>
    <w:rsid w:val="003D241B"/>
    <w:rsid w:val="003D2970"/>
    <w:rsid w:val="003D2D18"/>
    <w:rsid w:val="003D5037"/>
    <w:rsid w:val="003D58AA"/>
    <w:rsid w:val="003D5D57"/>
    <w:rsid w:val="003E1BC7"/>
    <w:rsid w:val="003E247A"/>
    <w:rsid w:val="003E28A4"/>
    <w:rsid w:val="003E444C"/>
    <w:rsid w:val="003E47B8"/>
    <w:rsid w:val="003E6436"/>
    <w:rsid w:val="003E6610"/>
    <w:rsid w:val="003E6F0D"/>
    <w:rsid w:val="003E74F1"/>
    <w:rsid w:val="003F1562"/>
    <w:rsid w:val="003F29B7"/>
    <w:rsid w:val="003F2BD8"/>
    <w:rsid w:val="003F2F1D"/>
    <w:rsid w:val="003F313C"/>
    <w:rsid w:val="003F3756"/>
    <w:rsid w:val="003F3BE1"/>
    <w:rsid w:val="003F44B8"/>
    <w:rsid w:val="003F4B35"/>
    <w:rsid w:val="003F593B"/>
    <w:rsid w:val="003F5DA8"/>
    <w:rsid w:val="003F71DC"/>
    <w:rsid w:val="004004F4"/>
    <w:rsid w:val="00400DAB"/>
    <w:rsid w:val="00402BF3"/>
    <w:rsid w:val="0040387F"/>
    <w:rsid w:val="004048BF"/>
    <w:rsid w:val="00405FEB"/>
    <w:rsid w:val="0040639D"/>
    <w:rsid w:val="00406BC3"/>
    <w:rsid w:val="00407728"/>
    <w:rsid w:val="00410BEE"/>
    <w:rsid w:val="00410E63"/>
    <w:rsid w:val="0041187E"/>
    <w:rsid w:val="00411EBC"/>
    <w:rsid w:val="0041244D"/>
    <w:rsid w:val="00416EF5"/>
    <w:rsid w:val="00421D77"/>
    <w:rsid w:val="0042216F"/>
    <w:rsid w:val="00423511"/>
    <w:rsid w:val="004243D2"/>
    <w:rsid w:val="00424B58"/>
    <w:rsid w:val="00425125"/>
    <w:rsid w:val="004259B5"/>
    <w:rsid w:val="004271DC"/>
    <w:rsid w:val="00427534"/>
    <w:rsid w:val="00427A75"/>
    <w:rsid w:val="004301D5"/>
    <w:rsid w:val="00430658"/>
    <w:rsid w:val="00430E4E"/>
    <w:rsid w:val="00432D49"/>
    <w:rsid w:val="004333B9"/>
    <w:rsid w:val="00435122"/>
    <w:rsid w:val="0043575F"/>
    <w:rsid w:val="00436C81"/>
    <w:rsid w:val="004409F9"/>
    <w:rsid w:val="00441419"/>
    <w:rsid w:val="00442C72"/>
    <w:rsid w:val="0044303F"/>
    <w:rsid w:val="004443D7"/>
    <w:rsid w:val="004451D7"/>
    <w:rsid w:val="004512B7"/>
    <w:rsid w:val="00453AD7"/>
    <w:rsid w:val="00456315"/>
    <w:rsid w:val="004571B5"/>
    <w:rsid w:val="00461546"/>
    <w:rsid w:val="00461B09"/>
    <w:rsid w:val="00461F62"/>
    <w:rsid w:val="004637FC"/>
    <w:rsid w:val="00465DDB"/>
    <w:rsid w:val="004702DC"/>
    <w:rsid w:val="00470AC3"/>
    <w:rsid w:val="00471102"/>
    <w:rsid w:val="0047223A"/>
    <w:rsid w:val="00472C6B"/>
    <w:rsid w:val="00472CC3"/>
    <w:rsid w:val="0047552D"/>
    <w:rsid w:val="00476265"/>
    <w:rsid w:val="00477774"/>
    <w:rsid w:val="00477AEF"/>
    <w:rsid w:val="0048086F"/>
    <w:rsid w:val="0048139F"/>
    <w:rsid w:val="00484A8E"/>
    <w:rsid w:val="00486E03"/>
    <w:rsid w:val="00487513"/>
    <w:rsid w:val="00493CD1"/>
    <w:rsid w:val="00494EAC"/>
    <w:rsid w:val="004970D1"/>
    <w:rsid w:val="004A156B"/>
    <w:rsid w:val="004A2B92"/>
    <w:rsid w:val="004A30B2"/>
    <w:rsid w:val="004A65EE"/>
    <w:rsid w:val="004A6936"/>
    <w:rsid w:val="004A6D3A"/>
    <w:rsid w:val="004A77DF"/>
    <w:rsid w:val="004B13C0"/>
    <w:rsid w:val="004B16DF"/>
    <w:rsid w:val="004B288C"/>
    <w:rsid w:val="004B3227"/>
    <w:rsid w:val="004B38ED"/>
    <w:rsid w:val="004B4315"/>
    <w:rsid w:val="004B55B7"/>
    <w:rsid w:val="004B5F06"/>
    <w:rsid w:val="004B6546"/>
    <w:rsid w:val="004B68A9"/>
    <w:rsid w:val="004B6D72"/>
    <w:rsid w:val="004B6F2F"/>
    <w:rsid w:val="004B7DDE"/>
    <w:rsid w:val="004C05A9"/>
    <w:rsid w:val="004C2CC6"/>
    <w:rsid w:val="004C3867"/>
    <w:rsid w:val="004C41AE"/>
    <w:rsid w:val="004C4901"/>
    <w:rsid w:val="004C4951"/>
    <w:rsid w:val="004C4CD0"/>
    <w:rsid w:val="004C70DC"/>
    <w:rsid w:val="004C7C28"/>
    <w:rsid w:val="004D0211"/>
    <w:rsid w:val="004D200D"/>
    <w:rsid w:val="004D2283"/>
    <w:rsid w:val="004D28F3"/>
    <w:rsid w:val="004D3A66"/>
    <w:rsid w:val="004D3CB9"/>
    <w:rsid w:val="004D3F3A"/>
    <w:rsid w:val="004D52A5"/>
    <w:rsid w:val="004D5A93"/>
    <w:rsid w:val="004D7235"/>
    <w:rsid w:val="004D7B88"/>
    <w:rsid w:val="004D7C1D"/>
    <w:rsid w:val="004E00E1"/>
    <w:rsid w:val="004E1817"/>
    <w:rsid w:val="004E33D5"/>
    <w:rsid w:val="004E3C8D"/>
    <w:rsid w:val="004E419B"/>
    <w:rsid w:val="004E4988"/>
    <w:rsid w:val="004E52BA"/>
    <w:rsid w:val="004E55F0"/>
    <w:rsid w:val="004E668C"/>
    <w:rsid w:val="004E7FF4"/>
    <w:rsid w:val="004F06F5"/>
    <w:rsid w:val="004F0B29"/>
    <w:rsid w:val="004F111C"/>
    <w:rsid w:val="004F2329"/>
    <w:rsid w:val="004F29BD"/>
    <w:rsid w:val="004F2B2D"/>
    <w:rsid w:val="004F4DFA"/>
    <w:rsid w:val="004F5E3A"/>
    <w:rsid w:val="004F690F"/>
    <w:rsid w:val="004F78AD"/>
    <w:rsid w:val="004F7E67"/>
    <w:rsid w:val="0050025B"/>
    <w:rsid w:val="00501567"/>
    <w:rsid w:val="005101BF"/>
    <w:rsid w:val="005108B9"/>
    <w:rsid w:val="005108C0"/>
    <w:rsid w:val="00510991"/>
    <w:rsid w:val="0051113D"/>
    <w:rsid w:val="005116CC"/>
    <w:rsid w:val="00511873"/>
    <w:rsid w:val="00511E36"/>
    <w:rsid w:val="0051292C"/>
    <w:rsid w:val="00512EEF"/>
    <w:rsid w:val="00513B7E"/>
    <w:rsid w:val="00513E5E"/>
    <w:rsid w:val="00515293"/>
    <w:rsid w:val="00515498"/>
    <w:rsid w:val="00516215"/>
    <w:rsid w:val="00517594"/>
    <w:rsid w:val="005178A9"/>
    <w:rsid w:val="005179BB"/>
    <w:rsid w:val="005203C7"/>
    <w:rsid w:val="00521047"/>
    <w:rsid w:val="00522C16"/>
    <w:rsid w:val="00522F08"/>
    <w:rsid w:val="00525137"/>
    <w:rsid w:val="005251DD"/>
    <w:rsid w:val="00526D24"/>
    <w:rsid w:val="00527DB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3DE"/>
    <w:rsid w:val="00540DAE"/>
    <w:rsid w:val="00540F78"/>
    <w:rsid w:val="00542285"/>
    <w:rsid w:val="005428B5"/>
    <w:rsid w:val="00542B56"/>
    <w:rsid w:val="00542DAE"/>
    <w:rsid w:val="00543340"/>
    <w:rsid w:val="0054686F"/>
    <w:rsid w:val="00546EF1"/>
    <w:rsid w:val="00546FDC"/>
    <w:rsid w:val="0056006C"/>
    <w:rsid w:val="00560108"/>
    <w:rsid w:val="0056037F"/>
    <w:rsid w:val="00560B0A"/>
    <w:rsid w:val="00562394"/>
    <w:rsid w:val="005626ED"/>
    <w:rsid w:val="005636E4"/>
    <w:rsid w:val="005639DB"/>
    <w:rsid w:val="00564762"/>
    <w:rsid w:val="005670CC"/>
    <w:rsid w:val="005717CE"/>
    <w:rsid w:val="005719E1"/>
    <w:rsid w:val="00571CFA"/>
    <w:rsid w:val="00575C2E"/>
    <w:rsid w:val="0057615C"/>
    <w:rsid w:val="00581347"/>
    <w:rsid w:val="00583523"/>
    <w:rsid w:val="005837A2"/>
    <w:rsid w:val="00583872"/>
    <w:rsid w:val="00583FFD"/>
    <w:rsid w:val="005843E4"/>
    <w:rsid w:val="005902CB"/>
    <w:rsid w:val="005915B4"/>
    <w:rsid w:val="00593152"/>
    <w:rsid w:val="005941E7"/>
    <w:rsid w:val="005950FA"/>
    <w:rsid w:val="0059779F"/>
    <w:rsid w:val="005A149D"/>
    <w:rsid w:val="005A19D9"/>
    <w:rsid w:val="005A21E0"/>
    <w:rsid w:val="005A282E"/>
    <w:rsid w:val="005A3AAF"/>
    <w:rsid w:val="005A5927"/>
    <w:rsid w:val="005A737D"/>
    <w:rsid w:val="005B0F98"/>
    <w:rsid w:val="005B1EDC"/>
    <w:rsid w:val="005B3EF6"/>
    <w:rsid w:val="005B63CE"/>
    <w:rsid w:val="005B749B"/>
    <w:rsid w:val="005C19FC"/>
    <w:rsid w:val="005C2BBE"/>
    <w:rsid w:val="005C441C"/>
    <w:rsid w:val="005C480B"/>
    <w:rsid w:val="005C628E"/>
    <w:rsid w:val="005C6BD9"/>
    <w:rsid w:val="005C6D38"/>
    <w:rsid w:val="005C6D3C"/>
    <w:rsid w:val="005C761C"/>
    <w:rsid w:val="005C78E0"/>
    <w:rsid w:val="005C7ABD"/>
    <w:rsid w:val="005C7B93"/>
    <w:rsid w:val="005D0C11"/>
    <w:rsid w:val="005D1937"/>
    <w:rsid w:val="005D1AC2"/>
    <w:rsid w:val="005D1B6C"/>
    <w:rsid w:val="005D3B74"/>
    <w:rsid w:val="005D3BE6"/>
    <w:rsid w:val="005D4464"/>
    <w:rsid w:val="005D5802"/>
    <w:rsid w:val="005D6DE0"/>
    <w:rsid w:val="005E0178"/>
    <w:rsid w:val="005E01C4"/>
    <w:rsid w:val="005E03ED"/>
    <w:rsid w:val="005E1FD9"/>
    <w:rsid w:val="005E2679"/>
    <w:rsid w:val="005E330D"/>
    <w:rsid w:val="005E339C"/>
    <w:rsid w:val="005E3C8A"/>
    <w:rsid w:val="005E47BF"/>
    <w:rsid w:val="005E50D7"/>
    <w:rsid w:val="005E6744"/>
    <w:rsid w:val="005E6AEE"/>
    <w:rsid w:val="005E7F4D"/>
    <w:rsid w:val="005F0301"/>
    <w:rsid w:val="005F2E69"/>
    <w:rsid w:val="005F4950"/>
    <w:rsid w:val="005F4FDA"/>
    <w:rsid w:val="005F646F"/>
    <w:rsid w:val="005F71A6"/>
    <w:rsid w:val="005F721F"/>
    <w:rsid w:val="005F7971"/>
    <w:rsid w:val="00600CDB"/>
    <w:rsid w:val="00602F8C"/>
    <w:rsid w:val="00604307"/>
    <w:rsid w:val="006046AE"/>
    <w:rsid w:val="0060487F"/>
    <w:rsid w:val="00604C8E"/>
    <w:rsid w:val="00605693"/>
    <w:rsid w:val="00606322"/>
    <w:rsid w:val="00606EDA"/>
    <w:rsid w:val="006078F0"/>
    <w:rsid w:val="006103FD"/>
    <w:rsid w:val="00610461"/>
    <w:rsid w:val="006106B6"/>
    <w:rsid w:val="00610A24"/>
    <w:rsid w:val="00610F13"/>
    <w:rsid w:val="00611AC9"/>
    <w:rsid w:val="00612473"/>
    <w:rsid w:val="006155F2"/>
    <w:rsid w:val="006170FF"/>
    <w:rsid w:val="006178DD"/>
    <w:rsid w:val="00620906"/>
    <w:rsid w:val="00620F58"/>
    <w:rsid w:val="0062339D"/>
    <w:rsid w:val="00623611"/>
    <w:rsid w:val="00623821"/>
    <w:rsid w:val="00624093"/>
    <w:rsid w:val="00624D4E"/>
    <w:rsid w:val="00625534"/>
    <w:rsid w:val="0063066A"/>
    <w:rsid w:val="00631D5B"/>
    <w:rsid w:val="00634729"/>
    <w:rsid w:val="006350A5"/>
    <w:rsid w:val="006360F1"/>
    <w:rsid w:val="006367EA"/>
    <w:rsid w:val="006404A7"/>
    <w:rsid w:val="006405DE"/>
    <w:rsid w:val="00641938"/>
    <w:rsid w:val="00641AB6"/>
    <w:rsid w:val="00642106"/>
    <w:rsid w:val="0064229D"/>
    <w:rsid w:val="00643AF5"/>
    <w:rsid w:val="00643B19"/>
    <w:rsid w:val="006451E4"/>
    <w:rsid w:val="00645CFB"/>
    <w:rsid w:val="00646186"/>
    <w:rsid w:val="00646B40"/>
    <w:rsid w:val="0065040F"/>
    <w:rsid w:val="006511BA"/>
    <w:rsid w:val="006511DD"/>
    <w:rsid w:val="006517EA"/>
    <w:rsid w:val="00652144"/>
    <w:rsid w:val="00653037"/>
    <w:rsid w:val="00654CC7"/>
    <w:rsid w:val="006568DB"/>
    <w:rsid w:val="00656938"/>
    <w:rsid w:val="00656C7D"/>
    <w:rsid w:val="00656F53"/>
    <w:rsid w:val="006571EA"/>
    <w:rsid w:val="00657E87"/>
    <w:rsid w:val="00660B8E"/>
    <w:rsid w:val="0066141D"/>
    <w:rsid w:val="00661E03"/>
    <w:rsid w:val="00661E15"/>
    <w:rsid w:val="006640AC"/>
    <w:rsid w:val="00664C16"/>
    <w:rsid w:val="0066739F"/>
    <w:rsid w:val="00667C2E"/>
    <w:rsid w:val="006710C9"/>
    <w:rsid w:val="00671757"/>
    <w:rsid w:val="0067262C"/>
    <w:rsid w:val="00672C44"/>
    <w:rsid w:val="00673941"/>
    <w:rsid w:val="00673A17"/>
    <w:rsid w:val="00673B33"/>
    <w:rsid w:val="006755E7"/>
    <w:rsid w:val="00675E37"/>
    <w:rsid w:val="006761D5"/>
    <w:rsid w:val="0067675D"/>
    <w:rsid w:val="00676E68"/>
    <w:rsid w:val="00676E88"/>
    <w:rsid w:val="006807FF"/>
    <w:rsid w:val="00681439"/>
    <w:rsid w:val="00681BA0"/>
    <w:rsid w:val="00681EDB"/>
    <w:rsid w:val="0068260E"/>
    <w:rsid w:val="00683423"/>
    <w:rsid w:val="00683DBB"/>
    <w:rsid w:val="006854C9"/>
    <w:rsid w:val="00686EB1"/>
    <w:rsid w:val="00690DCF"/>
    <w:rsid w:val="00694914"/>
    <w:rsid w:val="006950C3"/>
    <w:rsid w:val="00695BEF"/>
    <w:rsid w:val="00696750"/>
    <w:rsid w:val="00696E42"/>
    <w:rsid w:val="006977F6"/>
    <w:rsid w:val="00697A13"/>
    <w:rsid w:val="00697C18"/>
    <w:rsid w:val="006A0EA1"/>
    <w:rsid w:val="006A109C"/>
    <w:rsid w:val="006A2E44"/>
    <w:rsid w:val="006A3DF0"/>
    <w:rsid w:val="006A40BF"/>
    <w:rsid w:val="006A56B5"/>
    <w:rsid w:val="006A5E80"/>
    <w:rsid w:val="006A63F6"/>
    <w:rsid w:val="006A7884"/>
    <w:rsid w:val="006B0478"/>
    <w:rsid w:val="006B0ACA"/>
    <w:rsid w:val="006B1349"/>
    <w:rsid w:val="006B2037"/>
    <w:rsid w:val="006B2F7A"/>
    <w:rsid w:val="006B4F63"/>
    <w:rsid w:val="006B565D"/>
    <w:rsid w:val="006B5932"/>
    <w:rsid w:val="006B59D8"/>
    <w:rsid w:val="006B6D35"/>
    <w:rsid w:val="006B6E7B"/>
    <w:rsid w:val="006B73D0"/>
    <w:rsid w:val="006B78D8"/>
    <w:rsid w:val="006C113F"/>
    <w:rsid w:val="006C19DE"/>
    <w:rsid w:val="006C1C47"/>
    <w:rsid w:val="006C2078"/>
    <w:rsid w:val="006C2716"/>
    <w:rsid w:val="006C3ECB"/>
    <w:rsid w:val="006C4500"/>
    <w:rsid w:val="006C4BAC"/>
    <w:rsid w:val="006D0684"/>
    <w:rsid w:val="006D2601"/>
    <w:rsid w:val="006D4797"/>
    <w:rsid w:val="006D61F6"/>
    <w:rsid w:val="006E096A"/>
    <w:rsid w:val="006E1600"/>
    <w:rsid w:val="006E1790"/>
    <w:rsid w:val="006E1D91"/>
    <w:rsid w:val="006E279A"/>
    <w:rsid w:val="006E313B"/>
    <w:rsid w:val="006E3528"/>
    <w:rsid w:val="006F2AE7"/>
    <w:rsid w:val="006F31E4"/>
    <w:rsid w:val="006F78BB"/>
    <w:rsid w:val="00700384"/>
    <w:rsid w:val="00701523"/>
    <w:rsid w:val="00701EC5"/>
    <w:rsid w:val="00701EFF"/>
    <w:rsid w:val="00702C7D"/>
    <w:rsid w:val="00702F00"/>
    <w:rsid w:val="00704803"/>
    <w:rsid w:val="00705045"/>
    <w:rsid w:val="00706055"/>
    <w:rsid w:val="007078C1"/>
    <w:rsid w:val="00710610"/>
    <w:rsid w:val="00711D9A"/>
    <w:rsid w:val="00712073"/>
    <w:rsid w:val="00712185"/>
    <w:rsid w:val="007121B5"/>
    <w:rsid w:val="00712234"/>
    <w:rsid w:val="007127CE"/>
    <w:rsid w:val="00714826"/>
    <w:rsid w:val="007148A5"/>
    <w:rsid w:val="007211F5"/>
    <w:rsid w:val="00722350"/>
    <w:rsid w:val="007233A2"/>
    <w:rsid w:val="00726115"/>
    <w:rsid w:val="00726F43"/>
    <w:rsid w:val="00730718"/>
    <w:rsid w:val="00730AE8"/>
    <w:rsid w:val="00730CCD"/>
    <w:rsid w:val="00731CAB"/>
    <w:rsid w:val="00731D02"/>
    <w:rsid w:val="0073250D"/>
    <w:rsid w:val="00733C7A"/>
    <w:rsid w:val="0073527D"/>
    <w:rsid w:val="007358EB"/>
    <w:rsid w:val="00735F55"/>
    <w:rsid w:val="00736F19"/>
    <w:rsid w:val="007372EA"/>
    <w:rsid w:val="00740F4A"/>
    <w:rsid w:val="00741493"/>
    <w:rsid w:val="007420CD"/>
    <w:rsid w:val="007459B4"/>
    <w:rsid w:val="00745E24"/>
    <w:rsid w:val="0074634F"/>
    <w:rsid w:val="007464BC"/>
    <w:rsid w:val="007476C4"/>
    <w:rsid w:val="00750D87"/>
    <w:rsid w:val="00751DC5"/>
    <w:rsid w:val="00752180"/>
    <w:rsid w:val="00752E59"/>
    <w:rsid w:val="007538BC"/>
    <w:rsid w:val="0075473C"/>
    <w:rsid w:val="00754990"/>
    <w:rsid w:val="00755D3A"/>
    <w:rsid w:val="00755F49"/>
    <w:rsid w:val="007562FD"/>
    <w:rsid w:val="00756776"/>
    <w:rsid w:val="00756868"/>
    <w:rsid w:val="00756AF1"/>
    <w:rsid w:val="007609C6"/>
    <w:rsid w:val="00761B68"/>
    <w:rsid w:val="00763FF2"/>
    <w:rsid w:val="00770610"/>
    <w:rsid w:val="00772B59"/>
    <w:rsid w:val="00772D56"/>
    <w:rsid w:val="00772DA1"/>
    <w:rsid w:val="007738C7"/>
    <w:rsid w:val="007764CA"/>
    <w:rsid w:val="00776527"/>
    <w:rsid w:val="00781D20"/>
    <w:rsid w:val="00781DF4"/>
    <w:rsid w:val="00783501"/>
    <w:rsid w:val="0078588D"/>
    <w:rsid w:val="00786C17"/>
    <w:rsid w:val="00792A45"/>
    <w:rsid w:val="00793BA5"/>
    <w:rsid w:val="007941FE"/>
    <w:rsid w:val="00794608"/>
    <w:rsid w:val="00795A8D"/>
    <w:rsid w:val="007A1A44"/>
    <w:rsid w:val="007A250A"/>
    <w:rsid w:val="007A33CC"/>
    <w:rsid w:val="007A39D9"/>
    <w:rsid w:val="007A4926"/>
    <w:rsid w:val="007A677D"/>
    <w:rsid w:val="007A7E86"/>
    <w:rsid w:val="007B0332"/>
    <w:rsid w:val="007B04C3"/>
    <w:rsid w:val="007B0B56"/>
    <w:rsid w:val="007B0F0E"/>
    <w:rsid w:val="007B3AB7"/>
    <w:rsid w:val="007B41A0"/>
    <w:rsid w:val="007B45A4"/>
    <w:rsid w:val="007B47EE"/>
    <w:rsid w:val="007B4BE9"/>
    <w:rsid w:val="007B4F04"/>
    <w:rsid w:val="007B60D9"/>
    <w:rsid w:val="007B7D35"/>
    <w:rsid w:val="007C0993"/>
    <w:rsid w:val="007C2C8E"/>
    <w:rsid w:val="007C419E"/>
    <w:rsid w:val="007C4B02"/>
    <w:rsid w:val="007C5DBE"/>
    <w:rsid w:val="007C6308"/>
    <w:rsid w:val="007D05E9"/>
    <w:rsid w:val="007D12C6"/>
    <w:rsid w:val="007D2468"/>
    <w:rsid w:val="007D286D"/>
    <w:rsid w:val="007D2DCB"/>
    <w:rsid w:val="007D3651"/>
    <w:rsid w:val="007D386E"/>
    <w:rsid w:val="007D3AAB"/>
    <w:rsid w:val="007D5538"/>
    <w:rsid w:val="007D7921"/>
    <w:rsid w:val="007E12CE"/>
    <w:rsid w:val="007E1B9D"/>
    <w:rsid w:val="007E3184"/>
    <w:rsid w:val="007E4B4F"/>
    <w:rsid w:val="007E6865"/>
    <w:rsid w:val="007E68C1"/>
    <w:rsid w:val="007E6F04"/>
    <w:rsid w:val="007E769B"/>
    <w:rsid w:val="007E7E61"/>
    <w:rsid w:val="007F0C99"/>
    <w:rsid w:val="007F0F88"/>
    <w:rsid w:val="007F1A17"/>
    <w:rsid w:val="007F214A"/>
    <w:rsid w:val="007F25FB"/>
    <w:rsid w:val="007F3674"/>
    <w:rsid w:val="007F46D3"/>
    <w:rsid w:val="007F6D8D"/>
    <w:rsid w:val="007F717B"/>
    <w:rsid w:val="0080031A"/>
    <w:rsid w:val="008004E0"/>
    <w:rsid w:val="008018B7"/>
    <w:rsid w:val="008025EE"/>
    <w:rsid w:val="00803B23"/>
    <w:rsid w:val="00805A76"/>
    <w:rsid w:val="00807FC7"/>
    <w:rsid w:val="00810B18"/>
    <w:rsid w:val="008112B6"/>
    <w:rsid w:val="00812056"/>
    <w:rsid w:val="008134C4"/>
    <w:rsid w:val="00816723"/>
    <w:rsid w:val="008177C2"/>
    <w:rsid w:val="0082100C"/>
    <w:rsid w:val="00821FF6"/>
    <w:rsid w:val="0082352E"/>
    <w:rsid w:val="0082365D"/>
    <w:rsid w:val="00823F9B"/>
    <w:rsid w:val="0082466D"/>
    <w:rsid w:val="0082590A"/>
    <w:rsid w:val="00827397"/>
    <w:rsid w:val="00830E90"/>
    <w:rsid w:val="0083143E"/>
    <w:rsid w:val="00831A80"/>
    <w:rsid w:val="0083398A"/>
    <w:rsid w:val="00834FAA"/>
    <w:rsid w:val="0083501D"/>
    <w:rsid w:val="0083511D"/>
    <w:rsid w:val="00836086"/>
    <w:rsid w:val="00840B9E"/>
    <w:rsid w:val="008417AB"/>
    <w:rsid w:val="00841A5E"/>
    <w:rsid w:val="00842647"/>
    <w:rsid w:val="008432B1"/>
    <w:rsid w:val="00844C07"/>
    <w:rsid w:val="0084557C"/>
    <w:rsid w:val="00846194"/>
    <w:rsid w:val="00847143"/>
    <w:rsid w:val="00847347"/>
    <w:rsid w:val="00850BFC"/>
    <w:rsid w:val="008512E7"/>
    <w:rsid w:val="00851419"/>
    <w:rsid w:val="00852103"/>
    <w:rsid w:val="008545E7"/>
    <w:rsid w:val="00854DAE"/>
    <w:rsid w:val="00855495"/>
    <w:rsid w:val="0085594C"/>
    <w:rsid w:val="00856B6A"/>
    <w:rsid w:val="00857BB4"/>
    <w:rsid w:val="00857D9C"/>
    <w:rsid w:val="00861EA1"/>
    <w:rsid w:val="00862FE6"/>
    <w:rsid w:val="00864085"/>
    <w:rsid w:val="0086745D"/>
    <w:rsid w:val="00870D69"/>
    <w:rsid w:val="00871A6E"/>
    <w:rsid w:val="008725B4"/>
    <w:rsid w:val="00875C9E"/>
    <w:rsid w:val="00876086"/>
    <w:rsid w:val="00876A3A"/>
    <w:rsid w:val="00877C01"/>
    <w:rsid w:val="008820A6"/>
    <w:rsid w:val="0088284D"/>
    <w:rsid w:val="00882967"/>
    <w:rsid w:val="0088482B"/>
    <w:rsid w:val="0088598B"/>
    <w:rsid w:val="008862D3"/>
    <w:rsid w:val="00890155"/>
    <w:rsid w:val="008905EC"/>
    <w:rsid w:val="0089266D"/>
    <w:rsid w:val="008927E1"/>
    <w:rsid w:val="00894302"/>
    <w:rsid w:val="00894E77"/>
    <w:rsid w:val="00895548"/>
    <w:rsid w:val="008964FF"/>
    <w:rsid w:val="008979C4"/>
    <w:rsid w:val="008A07D3"/>
    <w:rsid w:val="008A09ED"/>
    <w:rsid w:val="008A0AD4"/>
    <w:rsid w:val="008A31C1"/>
    <w:rsid w:val="008A3E33"/>
    <w:rsid w:val="008A5146"/>
    <w:rsid w:val="008A53CB"/>
    <w:rsid w:val="008B0299"/>
    <w:rsid w:val="008B0CC3"/>
    <w:rsid w:val="008B32B7"/>
    <w:rsid w:val="008B64EB"/>
    <w:rsid w:val="008B6CDE"/>
    <w:rsid w:val="008B6E1E"/>
    <w:rsid w:val="008B76B8"/>
    <w:rsid w:val="008B7C02"/>
    <w:rsid w:val="008C0E88"/>
    <w:rsid w:val="008C1C7A"/>
    <w:rsid w:val="008C1EEB"/>
    <w:rsid w:val="008C2DDF"/>
    <w:rsid w:val="008C4861"/>
    <w:rsid w:val="008C5593"/>
    <w:rsid w:val="008D10CC"/>
    <w:rsid w:val="008D2A16"/>
    <w:rsid w:val="008D2F5A"/>
    <w:rsid w:val="008D35DE"/>
    <w:rsid w:val="008D3EE8"/>
    <w:rsid w:val="008D4396"/>
    <w:rsid w:val="008D4831"/>
    <w:rsid w:val="008D48C3"/>
    <w:rsid w:val="008D5856"/>
    <w:rsid w:val="008D5C9E"/>
    <w:rsid w:val="008D6513"/>
    <w:rsid w:val="008D6B5F"/>
    <w:rsid w:val="008E0B46"/>
    <w:rsid w:val="008E1B68"/>
    <w:rsid w:val="008E2F03"/>
    <w:rsid w:val="008E31FF"/>
    <w:rsid w:val="008E3759"/>
    <w:rsid w:val="008E3C01"/>
    <w:rsid w:val="008E3CF8"/>
    <w:rsid w:val="008E441C"/>
    <w:rsid w:val="008E49E1"/>
    <w:rsid w:val="008E55E4"/>
    <w:rsid w:val="008E67C9"/>
    <w:rsid w:val="008E685D"/>
    <w:rsid w:val="008F0867"/>
    <w:rsid w:val="008F2642"/>
    <w:rsid w:val="008F2AED"/>
    <w:rsid w:val="008F3375"/>
    <w:rsid w:val="008F39E3"/>
    <w:rsid w:val="008F3C15"/>
    <w:rsid w:val="008F4094"/>
    <w:rsid w:val="008F477E"/>
    <w:rsid w:val="008F4AB5"/>
    <w:rsid w:val="008F58EE"/>
    <w:rsid w:val="008F61DD"/>
    <w:rsid w:val="008F7193"/>
    <w:rsid w:val="009003A8"/>
    <w:rsid w:val="0090098A"/>
    <w:rsid w:val="009029A0"/>
    <w:rsid w:val="00902EFF"/>
    <w:rsid w:val="00903051"/>
    <w:rsid w:val="0090382A"/>
    <w:rsid w:val="00903CB1"/>
    <w:rsid w:val="00903FEE"/>
    <w:rsid w:val="00904083"/>
    <w:rsid w:val="009048AE"/>
    <w:rsid w:val="00905120"/>
    <w:rsid w:val="00905296"/>
    <w:rsid w:val="00905780"/>
    <w:rsid w:val="00906251"/>
    <w:rsid w:val="00907906"/>
    <w:rsid w:val="00910452"/>
    <w:rsid w:val="00911F2E"/>
    <w:rsid w:val="009124F1"/>
    <w:rsid w:val="00913CB6"/>
    <w:rsid w:val="00914126"/>
    <w:rsid w:val="009148D6"/>
    <w:rsid w:val="009150C0"/>
    <w:rsid w:val="00916F66"/>
    <w:rsid w:val="00917A68"/>
    <w:rsid w:val="00921B50"/>
    <w:rsid w:val="00921B97"/>
    <w:rsid w:val="00921F14"/>
    <w:rsid w:val="00922E0F"/>
    <w:rsid w:val="009233B2"/>
    <w:rsid w:val="00924E33"/>
    <w:rsid w:val="009253A5"/>
    <w:rsid w:val="00927143"/>
    <w:rsid w:val="00931012"/>
    <w:rsid w:val="00932900"/>
    <w:rsid w:val="00934E40"/>
    <w:rsid w:val="00935A0D"/>
    <w:rsid w:val="00936824"/>
    <w:rsid w:val="0093714D"/>
    <w:rsid w:val="0094032D"/>
    <w:rsid w:val="009421B4"/>
    <w:rsid w:val="0094244C"/>
    <w:rsid w:val="00942F60"/>
    <w:rsid w:val="00943909"/>
    <w:rsid w:val="0094427A"/>
    <w:rsid w:val="00946D80"/>
    <w:rsid w:val="00947140"/>
    <w:rsid w:val="0095234B"/>
    <w:rsid w:val="00953DCA"/>
    <w:rsid w:val="00953DFC"/>
    <w:rsid w:val="00954561"/>
    <w:rsid w:val="009558B0"/>
    <w:rsid w:val="0095723C"/>
    <w:rsid w:val="009579E9"/>
    <w:rsid w:val="0096015F"/>
    <w:rsid w:val="00961359"/>
    <w:rsid w:val="00961DC9"/>
    <w:rsid w:val="00963B40"/>
    <w:rsid w:val="00963E39"/>
    <w:rsid w:val="009646A5"/>
    <w:rsid w:val="00965755"/>
    <w:rsid w:val="009703B2"/>
    <w:rsid w:val="00971EC6"/>
    <w:rsid w:val="009722A9"/>
    <w:rsid w:val="00972FC7"/>
    <w:rsid w:val="00973454"/>
    <w:rsid w:val="0097432A"/>
    <w:rsid w:val="00974923"/>
    <w:rsid w:val="00976385"/>
    <w:rsid w:val="0098125B"/>
    <w:rsid w:val="00983BC9"/>
    <w:rsid w:val="0098563A"/>
    <w:rsid w:val="00985D52"/>
    <w:rsid w:val="009861FF"/>
    <w:rsid w:val="00986F4F"/>
    <w:rsid w:val="00990621"/>
    <w:rsid w:val="00993E93"/>
    <w:rsid w:val="00993F83"/>
    <w:rsid w:val="00994972"/>
    <w:rsid w:val="00995124"/>
    <w:rsid w:val="009973FE"/>
    <w:rsid w:val="009A04C3"/>
    <w:rsid w:val="009A04D6"/>
    <w:rsid w:val="009A1116"/>
    <w:rsid w:val="009A1E6E"/>
    <w:rsid w:val="009A1FA5"/>
    <w:rsid w:val="009A2640"/>
    <w:rsid w:val="009A6027"/>
    <w:rsid w:val="009A66C6"/>
    <w:rsid w:val="009A6971"/>
    <w:rsid w:val="009A75F3"/>
    <w:rsid w:val="009A7A3F"/>
    <w:rsid w:val="009B195C"/>
    <w:rsid w:val="009B2CE4"/>
    <w:rsid w:val="009B2F33"/>
    <w:rsid w:val="009B3302"/>
    <w:rsid w:val="009B6EC8"/>
    <w:rsid w:val="009B6EFA"/>
    <w:rsid w:val="009B6FD3"/>
    <w:rsid w:val="009B7457"/>
    <w:rsid w:val="009B74C9"/>
    <w:rsid w:val="009B7A06"/>
    <w:rsid w:val="009C04A5"/>
    <w:rsid w:val="009C2245"/>
    <w:rsid w:val="009C246D"/>
    <w:rsid w:val="009C3204"/>
    <w:rsid w:val="009C3B45"/>
    <w:rsid w:val="009C4C08"/>
    <w:rsid w:val="009C5639"/>
    <w:rsid w:val="009C62A4"/>
    <w:rsid w:val="009C64E1"/>
    <w:rsid w:val="009C6B26"/>
    <w:rsid w:val="009C6CB3"/>
    <w:rsid w:val="009C74FF"/>
    <w:rsid w:val="009C7F11"/>
    <w:rsid w:val="009D09CB"/>
    <w:rsid w:val="009D1443"/>
    <w:rsid w:val="009D1D0C"/>
    <w:rsid w:val="009D25AA"/>
    <w:rsid w:val="009D29C0"/>
    <w:rsid w:val="009D2B0A"/>
    <w:rsid w:val="009D36AF"/>
    <w:rsid w:val="009D572F"/>
    <w:rsid w:val="009D5C53"/>
    <w:rsid w:val="009D6B69"/>
    <w:rsid w:val="009D6D97"/>
    <w:rsid w:val="009D6FD4"/>
    <w:rsid w:val="009E2A0D"/>
    <w:rsid w:val="009E34B8"/>
    <w:rsid w:val="009E51E5"/>
    <w:rsid w:val="009E6DDF"/>
    <w:rsid w:val="009E7516"/>
    <w:rsid w:val="009E7CF6"/>
    <w:rsid w:val="009E7D44"/>
    <w:rsid w:val="009F02BD"/>
    <w:rsid w:val="009F04AA"/>
    <w:rsid w:val="009F128C"/>
    <w:rsid w:val="009F1BE9"/>
    <w:rsid w:val="009F238C"/>
    <w:rsid w:val="009F2FED"/>
    <w:rsid w:val="009F4056"/>
    <w:rsid w:val="009F4438"/>
    <w:rsid w:val="009F44C6"/>
    <w:rsid w:val="009F4C62"/>
    <w:rsid w:val="009F5926"/>
    <w:rsid w:val="009F6142"/>
    <w:rsid w:val="009F65E2"/>
    <w:rsid w:val="009F68CD"/>
    <w:rsid w:val="009F6BE3"/>
    <w:rsid w:val="009F6C58"/>
    <w:rsid w:val="009F7855"/>
    <w:rsid w:val="009F7CDC"/>
    <w:rsid w:val="00A00200"/>
    <w:rsid w:val="00A0074A"/>
    <w:rsid w:val="00A00CD9"/>
    <w:rsid w:val="00A02659"/>
    <w:rsid w:val="00A04605"/>
    <w:rsid w:val="00A04643"/>
    <w:rsid w:val="00A052DD"/>
    <w:rsid w:val="00A05EEE"/>
    <w:rsid w:val="00A064D7"/>
    <w:rsid w:val="00A0703E"/>
    <w:rsid w:val="00A076EF"/>
    <w:rsid w:val="00A10D66"/>
    <w:rsid w:val="00A11B36"/>
    <w:rsid w:val="00A12B64"/>
    <w:rsid w:val="00A15F2B"/>
    <w:rsid w:val="00A20AC3"/>
    <w:rsid w:val="00A2331B"/>
    <w:rsid w:val="00A2347A"/>
    <w:rsid w:val="00A23E43"/>
    <w:rsid w:val="00A24289"/>
    <w:rsid w:val="00A242B0"/>
    <w:rsid w:val="00A300BD"/>
    <w:rsid w:val="00A30D3A"/>
    <w:rsid w:val="00A33179"/>
    <w:rsid w:val="00A33661"/>
    <w:rsid w:val="00A33972"/>
    <w:rsid w:val="00A33EFD"/>
    <w:rsid w:val="00A35033"/>
    <w:rsid w:val="00A35492"/>
    <w:rsid w:val="00A35B08"/>
    <w:rsid w:val="00A35DDE"/>
    <w:rsid w:val="00A36757"/>
    <w:rsid w:val="00A4343C"/>
    <w:rsid w:val="00A454CB"/>
    <w:rsid w:val="00A46DE0"/>
    <w:rsid w:val="00A47539"/>
    <w:rsid w:val="00A504C5"/>
    <w:rsid w:val="00A5138E"/>
    <w:rsid w:val="00A53A8A"/>
    <w:rsid w:val="00A543D4"/>
    <w:rsid w:val="00A555E0"/>
    <w:rsid w:val="00A55993"/>
    <w:rsid w:val="00A6066F"/>
    <w:rsid w:val="00A607F0"/>
    <w:rsid w:val="00A61865"/>
    <w:rsid w:val="00A61DF0"/>
    <w:rsid w:val="00A62302"/>
    <w:rsid w:val="00A623C5"/>
    <w:rsid w:val="00A62CE1"/>
    <w:rsid w:val="00A635F9"/>
    <w:rsid w:val="00A63BAB"/>
    <w:rsid w:val="00A64348"/>
    <w:rsid w:val="00A65561"/>
    <w:rsid w:val="00A65AE6"/>
    <w:rsid w:val="00A66484"/>
    <w:rsid w:val="00A66FDB"/>
    <w:rsid w:val="00A67DF4"/>
    <w:rsid w:val="00A70574"/>
    <w:rsid w:val="00A7074F"/>
    <w:rsid w:val="00A70B41"/>
    <w:rsid w:val="00A72085"/>
    <w:rsid w:val="00A7537C"/>
    <w:rsid w:val="00A758D2"/>
    <w:rsid w:val="00A75E40"/>
    <w:rsid w:val="00A800CC"/>
    <w:rsid w:val="00A82726"/>
    <w:rsid w:val="00A846CE"/>
    <w:rsid w:val="00A850C0"/>
    <w:rsid w:val="00A857C0"/>
    <w:rsid w:val="00A86E79"/>
    <w:rsid w:val="00A86F80"/>
    <w:rsid w:val="00A902A0"/>
    <w:rsid w:val="00A91FA4"/>
    <w:rsid w:val="00A92238"/>
    <w:rsid w:val="00A92865"/>
    <w:rsid w:val="00A9313D"/>
    <w:rsid w:val="00A94B82"/>
    <w:rsid w:val="00A956B9"/>
    <w:rsid w:val="00A95B17"/>
    <w:rsid w:val="00A96EFF"/>
    <w:rsid w:val="00A97755"/>
    <w:rsid w:val="00AA1547"/>
    <w:rsid w:val="00AA1726"/>
    <w:rsid w:val="00AA1776"/>
    <w:rsid w:val="00AA18C3"/>
    <w:rsid w:val="00AA2926"/>
    <w:rsid w:val="00AA37CA"/>
    <w:rsid w:val="00AA4814"/>
    <w:rsid w:val="00AA4913"/>
    <w:rsid w:val="00AA559A"/>
    <w:rsid w:val="00AA5EC7"/>
    <w:rsid w:val="00AA5F96"/>
    <w:rsid w:val="00AA632A"/>
    <w:rsid w:val="00AB2949"/>
    <w:rsid w:val="00AB2AF1"/>
    <w:rsid w:val="00AB32A2"/>
    <w:rsid w:val="00AB395D"/>
    <w:rsid w:val="00AB451D"/>
    <w:rsid w:val="00AB4A72"/>
    <w:rsid w:val="00AB76AC"/>
    <w:rsid w:val="00AB7963"/>
    <w:rsid w:val="00AC1AC6"/>
    <w:rsid w:val="00AC1B69"/>
    <w:rsid w:val="00AC4219"/>
    <w:rsid w:val="00AC4A96"/>
    <w:rsid w:val="00AC59AE"/>
    <w:rsid w:val="00AC6EE9"/>
    <w:rsid w:val="00AD076E"/>
    <w:rsid w:val="00AD17DE"/>
    <w:rsid w:val="00AD20E8"/>
    <w:rsid w:val="00AD306C"/>
    <w:rsid w:val="00AD473A"/>
    <w:rsid w:val="00AD5932"/>
    <w:rsid w:val="00AD617C"/>
    <w:rsid w:val="00AE1B59"/>
    <w:rsid w:val="00AE20F6"/>
    <w:rsid w:val="00AE42D9"/>
    <w:rsid w:val="00AE562A"/>
    <w:rsid w:val="00AF026E"/>
    <w:rsid w:val="00AF1D7D"/>
    <w:rsid w:val="00AF21F2"/>
    <w:rsid w:val="00AF36B3"/>
    <w:rsid w:val="00AF43AB"/>
    <w:rsid w:val="00AF447D"/>
    <w:rsid w:val="00AF52E3"/>
    <w:rsid w:val="00AF70B2"/>
    <w:rsid w:val="00B002FC"/>
    <w:rsid w:val="00B00577"/>
    <w:rsid w:val="00B0063E"/>
    <w:rsid w:val="00B01692"/>
    <w:rsid w:val="00B01997"/>
    <w:rsid w:val="00B01CAD"/>
    <w:rsid w:val="00B02802"/>
    <w:rsid w:val="00B02A97"/>
    <w:rsid w:val="00B02B9F"/>
    <w:rsid w:val="00B03A3F"/>
    <w:rsid w:val="00B04E18"/>
    <w:rsid w:val="00B06DD7"/>
    <w:rsid w:val="00B07800"/>
    <w:rsid w:val="00B10C48"/>
    <w:rsid w:val="00B11CD3"/>
    <w:rsid w:val="00B134BB"/>
    <w:rsid w:val="00B13F18"/>
    <w:rsid w:val="00B17A7F"/>
    <w:rsid w:val="00B17E71"/>
    <w:rsid w:val="00B17FDE"/>
    <w:rsid w:val="00B209E4"/>
    <w:rsid w:val="00B21017"/>
    <w:rsid w:val="00B2154E"/>
    <w:rsid w:val="00B2382B"/>
    <w:rsid w:val="00B26A63"/>
    <w:rsid w:val="00B26D79"/>
    <w:rsid w:val="00B277C2"/>
    <w:rsid w:val="00B3051C"/>
    <w:rsid w:val="00B30983"/>
    <w:rsid w:val="00B31A08"/>
    <w:rsid w:val="00B32936"/>
    <w:rsid w:val="00B32DDB"/>
    <w:rsid w:val="00B3377E"/>
    <w:rsid w:val="00B34A56"/>
    <w:rsid w:val="00B35D12"/>
    <w:rsid w:val="00B36210"/>
    <w:rsid w:val="00B374C5"/>
    <w:rsid w:val="00B41036"/>
    <w:rsid w:val="00B414F8"/>
    <w:rsid w:val="00B41BE5"/>
    <w:rsid w:val="00B42372"/>
    <w:rsid w:val="00B44D79"/>
    <w:rsid w:val="00B45232"/>
    <w:rsid w:val="00B45422"/>
    <w:rsid w:val="00B508F7"/>
    <w:rsid w:val="00B54975"/>
    <w:rsid w:val="00B54D2B"/>
    <w:rsid w:val="00B554C6"/>
    <w:rsid w:val="00B55E53"/>
    <w:rsid w:val="00B56E4B"/>
    <w:rsid w:val="00B570F5"/>
    <w:rsid w:val="00B60550"/>
    <w:rsid w:val="00B615FA"/>
    <w:rsid w:val="00B6249B"/>
    <w:rsid w:val="00B63403"/>
    <w:rsid w:val="00B6348E"/>
    <w:rsid w:val="00B6407A"/>
    <w:rsid w:val="00B6608F"/>
    <w:rsid w:val="00B66D44"/>
    <w:rsid w:val="00B73995"/>
    <w:rsid w:val="00B74386"/>
    <w:rsid w:val="00B75959"/>
    <w:rsid w:val="00B75B1B"/>
    <w:rsid w:val="00B76D1E"/>
    <w:rsid w:val="00B82B44"/>
    <w:rsid w:val="00B848A3"/>
    <w:rsid w:val="00B85D5F"/>
    <w:rsid w:val="00B9096F"/>
    <w:rsid w:val="00B90C58"/>
    <w:rsid w:val="00B92A12"/>
    <w:rsid w:val="00B92E07"/>
    <w:rsid w:val="00B93569"/>
    <w:rsid w:val="00B935C6"/>
    <w:rsid w:val="00B9366B"/>
    <w:rsid w:val="00B937BA"/>
    <w:rsid w:val="00B93823"/>
    <w:rsid w:val="00B94374"/>
    <w:rsid w:val="00B95940"/>
    <w:rsid w:val="00B973C2"/>
    <w:rsid w:val="00B976FB"/>
    <w:rsid w:val="00B97BEC"/>
    <w:rsid w:val="00B97DC8"/>
    <w:rsid w:val="00BA0781"/>
    <w:rsid w:val="00BA2F87"/>
    <w:rsid w:val="00BA36DE"/>
    <w:rsid w:val="00BA3ED9"/>
    <w:rsid w:val="00BA414E"/>
    <w:rsid w:val="00BA4480"/>
    <w:rsid w:val="00BA44D7"/>
    <w:rsid w:val="00BA493B"/>
    <w:rsid w:val="00BA5388"/>
    <w:rsid w:val="00BA5469"/>
    <w:rsid w:val="00BA5682"/>
    <w:rsid w:val="00BA606F"/>
    <w:rsid w:val="00BA7A10"/>
    <w:rsid w:val="00BB00BE"/>
    <w:rsid w:val="00BB1409"/>
    <w:rsid w:val="00BB5366"/>
    <w:rsid w:val="00BB53DA"/>
    <w:rsid w:val="00BB58D0"/>
    <w:rsid w:val="00BB64DB"/>
    <w:rsid w:val="00BC0761"/>
    <w:rsid w:val="00BC2168"/>
    <w:rsid w:val="00BC3543"/>
    <w:rsid w:val="00BC3775"/>
    <w:rsid w:val="00BC37EF"/>
    <w:rsid w:val="00BC5B4C"/>
    <w:rsid w:val="00BC712A"/>
    <w:rsid w:val="00BC7551"/>
    <w:rsid w:val="00BC7950"/>
    <w:rsid w:val="00BD1D56"/>
    <w:rsid w:val="00BD2F1E"/>
    <w:rsid w:val="00BD366B"/>
    <w:rsid w:val="00BD48C8"/>
    <w:rsid w:val="00BD6D50"/>
    <w:rsid w:val="00BE07B2"/>
    <w:rsid w:val="00BE0A28"/>
    <w:rsid w:val="00BE1A8D"/>
    <w:rsid w:val="00BE3640"/>
    <w:rsid w:val="00BE7543"/>
    <w:rsid w:val="00BE7970"/>
    <w:rsid w:val="00BE7BBE"/>
    <w:rsid w:val="00BF03B4"/>
    <w:rsid w:val="00BF04D9"/>
    <w:rsid w:val="00BF08D4"/>
    <w:rsid w:val="00BF0E2E"/>
    <w:rsid w:val="00BF199B"/>
    <w:rsid w:val="00BF33BA"/>
    <w:rsid w:val="00BF3A86"/>
    <w:rsid w:val="00C00A63"/>
    <w:rsid w:val="00C02AFD"/>
    <w:rsid w:val="00C02DCF"/>
    <w:rsid w:val="00C041AD"/>
    <w:rsid w:val="00C04770"/>
    <w:rsid w:val="00C05875"/>
    <w:rsid w:val="00C05AF7"/>
    <w:rsid w:val="00C10021"/>
    <w:rsid w:val="00C10234"/>
    <w:rsid w:val="00C128A0"/>
    <w:rsid w:val="00C12EC2"/>
    <w:rsid w:val="00C138D0"/>
    <w:rsid w:val="00C1603D"/>
    <w:rsid w:val="00C161FF"/>
    <w:rsid w:val="00C165FD"/>
    <w:rsid w:val="00C16C0E"/>
    <w:rsid w:val="00C174DD"/>
    <w:rsid w:val="00C20932"/>
    <w:rsid w:val="00C21F94"/>
    <w:rsid w:val="00C22D52"/>
    <w:rsid w:val="00C22FBD"/>
    <w:rsid w:val="00C250AA"/>
    <w:rsid w:val="00C26558"/>
    <w:rsid w:val="00C30140"/>
    <w:rsid w:val="00C30C52"/>
    <w:rsid w:val="00C30DFA"/>
    <w:rsid w:val="00C32DCF"/>
    <w:rsid w:val="00C37C2F"/>
    <w:rsid w:val="00C40BCF"/>
    <w:rsid w:val="00C430FD"/>
    <w:rsid w:val="00C4315C"/>
    <w:rsid w:val="00C43825"/>
    <w:rsid w:val="00C44D39"/>
    <w:rsid w:val="00C47F27"/>
    <w:rsid w:val="00C5141B"/>
    <w:rsid w:val="00C515BF"/>
    <w:rsid w:val="00C519D0"/>
    <w:rsid w:val="00C522C1"/>
    <w:rsid w:val="00C53B40"/>
    <w:rsid w:val="00C53DDA"/>
    <w:rsid w:val="00C569E6"/>
    <w:rsid w:val="00C56C25"/>
    <w:rsid w:val="00C5791B"/>
    <w:rsid w:val="00C60EA0"/>
    <w:rsid w:val="00C6102D"/>
    <w:rsid w:val="00C61984"/>
    <w:rsid w:val="00C625F7"/>
    <w:rsid w:val="00C62ACF"/>
    <w:rsid w:val="00C62D2F"/>
    <w:rsid w:val="00C64BB8"/>
    <w:rsid w:val="00C716DF"/>
    <w:rsid w:val="00C7180D"/>
    <w:rsid w:val="00C71DEC"/>
    <w:rsid w:val="00C720AF"/>
    <w:rsid w:val="00C76A44"/>
    <w:rsid w:val="00C776EE"/>
    <w:rsid w:val="00C80F44"/>
    <w:rsid w:val="00C844DF"/>
    <w:rsid w:val="00C8471A"/>
    <w:rsid w:val="00C84ABE"/>
    <w:rsid w:val="00C8582D"/>
    <w:rsid w:val="00C867AC"/>
    <w:rsid w:val="00C90CF4"/>
    <w:rsid w:val="00C91190"/>
    <w:rsid w:val="00C913EB"/>
    <w:rsid w:val="00C920F2"/>
    <w:rsid w:val="00C92542"/>
    <w:rsid w:val="00C92E76"/>
    <w:rsid w:val="00C93389"/>
    <w:rsid w:val="00C93E10"/>
    <w:rsid w:val="00C943FA"/>
    <w:rsid w:val="00C95D31"/>
    <w:rsid w:val="00C96C58"/>
    <w:rsid w:val="00C972A4"/>
    <w:rsid w:val="00CA0C22"/>
    <w:rsid w:val="00CA14B1"/>
    <w:rsid w:val="00CA35A0"/>
    <w:rsid w:val="00CA4E46"/>
    <w:rsid w:val="00CA5513"/>
    <w:rsid w:val="00CA5B30"/>
    <w:rsid w:val="00CA7634"/>
    <w:rsid w:val="00CB0E73"/>
    <w:rsid w:val="00CB119C"/>
    <w:rsid w:val="00CB19B7"/>
    <w:rsid w:val="00CB2058"/>
    <w:rsid w:val="00CB2E34"/>
    <w:rsid w:val="00CB365C"/>
    <w:rsid w:val="00CB5E1F"/>
    <w:rsid w:val="00CB6787"/>
    <w:rsid w:val="00CB7B8F"/>
    <w:rsid w:val="00CB7C6A"/>
    <w:rsid w:val="00CB7D34"/>
    <w:rsid w:val="00CC035A"/>
    <w:rsid w:val="00CC0777"/>
    <w:rsid w:val="00CC08A8"/>
    <w:rsid w:val="00CC15C7"/>
    <w:rsid w:val="00CC1BCB"/>
    <w:rsid w:val="00CC31D3"/>
    <w:rsid w:val="00CC6AC0"/>
    <w:rsid w:val="00CC6CE2"/>
    <w:rsid w:val="00CD0733"/>
    <w:rsid w:val="00CD32B3"/>
    <w:rsid w:val="00CD38A6"/>
    <w:rsid w:val="00CD52DD"/>
    <w:rsid w:val="00CD5C5C"/>
    <w:rsid w:val="00CD5C9C"/>
    <w:rsid w:val="00CD69AB"/>
    <w:rsid w:val="00CD7FF3"/>
    <w:rsid w:val="00CE05B1"/>
    <w:rsid w:val="00CE19FA"/>
    <w:rsid w:val="00CE5770"/>
    <w:rsid w:val="00CE5B81"/>
    <w:rsid w:val="00CE7123"/>
    <w:rsid w:val="00CE762C"/>
    <w:rsid w:val="00CF0318"/>
    <w:rsid w:val="00CF1E47"/>
    <w:rsid w:val="00CF30FD"/>
    <w:rsid w:val="00CF3750"/>
    <w:rsid w:val="00CF3994"/>
    <w:rsid w:val="00CF3AF7"/>
    <w:rsid w:val="00CF3BC3"/>
    <w:rsid w:val="00CF4814"/>
    <w:rsid w:val="00CF51EC"/>
    <w:rsid w:val="00CF630C"/>
    <w:rsid w:val="00CF6D6C"/>
    <w:rsid w:val="00CF75B4"/>
    <w:rsid w:val="00CF765A"/>
    <w:rsid w:val="00D02B32"/>
    <w:rsid w:val="00D040DD"/>
    <w:rsid w:val="00D04CDF"/>
    <w:rsid w:val="00D06570"/>
    <w:rsid w:val="00D0660A"/>
    <w:rsid w:val="00D07643"/>
    <w:rsid w:val="00D1043F"/>
    <w:rsid w:val="00D1153B"/>
    <w:rsid w:val="00D1192D"/>
    <w:rsid w:val="00D11E62"/>
    <w:rsid w:val="00D123E4"/>
    <w:rsid w:val="00D15C62"/>
    <w:rsid w:val="00D15D2B"/>
    <w:rsid w:val="00D16B95"/>
    <w:rsid w:val="00D16CA3"/>
    <w:rsid w:val="00D170B3"/>
    <w:rsid w:val="00D17C11"/>
    <w:rsid w:val="00D2032F"/>
    <w:rsid w:val="00D20AAC"/>
    <w:rsid w:val="00D219B3"/>
    <w:rsid w:val="00D22C45"/>
    <w:rsid w:val="00D2340A"/>
    <w:rsid w:val="00D237B5"/>
    <w:rsid w:val="00D27CF3"/>
    <w:rsid w:val="00D304D1"/>
    <w:rsid w:val="00D31B7A"/>
    <w:rsid w:val="00D32644"/>
    <w:rsid w:val="00D32AAF"/>
    <w:rsid w:val="00D357F7"/>
    <w:rsid w:val="00D36CF5"/>
    <w:rsid w:val="00D37936"/>
    <w:rsid w:val="00D40648"/>
    <w:rsid w:val="00D41139"/>
    <w:rsid w:val="00D424F7"/>
    <w:rsid w:val="00D42E39"/>
    <w:rsid w:val="00D4367D"/>
    <w:rsid w:val="00D448C3"/>
    <w:rsid w:val="00D4509A"/>
    <w:rsid w:val="00D45C2E"/>
    <w:rsid w:val="00D508CE"/>
    <w:rsid w:val="00D50CCC"/>
    <w:rsid w:val="00D51F16"/>
    <w:rsid w:val="00D52054"/>
    <w:rsid w:val="00D52621"/>
    <w:rsid w:val="00D52692"/>
    <w:rsid w:val="00D54E6D"/>
    <w:rsid w:val="00D55EC8"/>
    <w:rsid w:val="00D562C1"/>
    <w:rsid w:val="00D56499"/>
    <w:rsid w:val="00D61FFA"/>
    <w:rsid w:val="00D645B6"/>
    <w:rsid w:val="00D64DAC"/>
    <w:rsid w:val="00D66A96"/>
    <w:rsid w:val="00D7252F"/>
    <w:rsid w:val="00D72956"/>
    <w:rsid w:val="00D732EA"/>
    <w:rsid w:val="00D739E9"/>
    <w:rsid w:val="00D73DDD"/>
    <w:rsid w:val="00D74697"/>
    <w:rsid w:val="00D746BE"/>
    <w:rsid w:val="00D7580F"/>
    <w:rsid w:val="00D771EB"/>
    <w:rsid w:val="00D7784F"/>
    <w:rsid w:val="00D77F03"/>
    <w:rsid w:val="00D77F78"/>
    <w:rsid w:val="00D82C76"/>
    <w:rsid w:val="00D82E85"/>
    <w:rsid w:val="00D82F91"/>
    <w:rsid w:val="00D83806"/>
    <w:rsid w:val="00D85311"/>
    <w:rsid w:val="00D86177"/>
    <w:rsid w:val="00D862DB"/>
    <w:rsid w:val="00D862E2"/>
    <w:rsid w:val="00D870FA"/>
    <w:rsid w:val="00D8721D"/>
    <w:rsid w:val="00D90902"/>
    <w:rsid w:val="00D926D6"/>
    <w:rsid w:val="00D931E3"/>
    <w:rsid w:val="00D93FAE"/>
    <w:rsid w:val="00D9593B"/>
    <w:rsid w:val="00D95F9C"/>
    <w:rsid w:val="00D97D4F"/>
    <w:rsid w:val="00DA236F"/>
    <w:rsid w:val="00DA23C8"/>
    <w:rsid w:val="00DA402D"/>
    <w:rsid w:val="00DA4A23"/>
    <w:rsid w:val="00DA4D23"/>
    <w:rsid w:val="00DA5A26"/>
    <w:rsid w:val="00DA631C"/>
    <w:rsid w:val="00DA7A50"/>
    <w:rsid w:val="00DA7CC2"/>
    <w:rsid w:val="00DB1043"/>
    <w:rsid w:val="00DB2C93"/>
    <w:rsid w:val="00DB3080"/>
    <w:rsid w:val="00DB3EA4"/>
    <w:rsid w:val="00DB4065"/>
    <w:rsid w:val="00DB4861"/>
    <w:rsid w:val="00DB4CA7"/>
    <w:rsid w:val="00DB5208"/>
    <w:rsid w:val="00DB5650"/>
    <w:rsid w:val="00DB5A0B"/>
    <w:rsid w:val="00DB63A5"/>
    <w:rsid w:val="00DC34E8"/>
    <w:rsid w:val="00DC44B4"/>
    <w:rsid w:val="00DC4F06"/>
    <w:rsid w:val="00DC5B3B"/>
    <w:rsid w:val="00DD025D"/>
    <w:rsid w:val="00DD1E87"/>
    <w:rsid w:val="00DD1F3F"/>
    <w:rsid w:val="00DD22C3"/>
    <w:rsid w:val="00DD29DA"/>
    <w:rsid w:val="00DD2C24"/>
    <w:rsid w:val="00DD3310"/>
    <w:rsid w:val="00DD5273"/>
    <w:rsid w:val="00DD6045"/>
    <w:rsid w:val="00DD7D6D"/>
    <w:rsid w:val="00DE14E0"/>
    <w:rsid w:val="00DE1868"/>
    <w:rsid w:val="00DE18D5"/>
    <w:rsid w:val="00DE1D26"/>
    <w:rsid w:val="00DE24CD"/>
    <w:rsid w:val="00DE2D5D"/>
    <w:rsid w:val="00DE3559"/>
    <w:rsid w:val="00DE4E41"/>
    <w:rsid w:val="00DE61D7"/>
    <w:rsid w:val="00DF0AEA"/>
    <w:rsid w:val="00DF2BE0"/>
    <w:rsid w:val="00DF38C7"/>
    <w:rsid w:val="00DF38E1"/>
    <w:rsid w:val="00DF6411"/>
    <w:rsid w:val="00DF765E"/>
    <w:rsid w:val="00E01C0E"/>
    <w:rsid w:val="00E0238B"/>
    <w:rsid w:val="00E0253B"/>
    <w:rsid w:val="00E03492"/>
    <w:rsid w:val="00E04694"/>
    <w:rsid w:val="00E047D9"/>
    <w:rsid w:val="00E069D1"/>
    <w:rsid w:val="00E1134C"/>
    <w:rsid w:val="00E14DCA"/>
    <w:rsid w:val="00E17081"/>
    <w:rsid w:val="00E177CD"/>
    <w:rsid w:val="00E179D6"/>
    <w:rsid w:val="00E23A1A"/>
    <w:rsid w:val="00E25339"/>
    <w:rsid w:val="00E26F9A"/>
    <w:rsid w:val="00E27145"/>
    <w:rsid w:val="00E302A2"/>
    <w:rsid w:val="00E313C9"/>
    <w:rsid w:val="00E32007"/>
    <w:rsid w:val="00E32551"/>
    <w:rsid w:val="00E32F67"/>
    <w:rsid w:val="00E34129"/>
    <w:rsid w:val="00E34334"/>
    <w:rsid w:val="00E35EE2"/>
    <w:rsid w:val="00E40913"/>
    <w:rsid w:val="00E4183E"/>
    <w:rsid w:val="00E43274"/>
    <w:rsid w:val="00E44FE6"/>
    <w:rsid w:val="00E4586D"/>
    <w:rsid w:val="00E46A44"/>
    <w:rsid w:val="00E4731C"/>
    <w:rsid w:val="00E51707"/>
    <w:rsid w:val="00E52C0B"/>
    <w:rsid w:val="00E5532E"/>
    <w:rsid w:val="00E55E70"/>
    <w:rsid w:val="00E5721D"/>
    <w:rsid w:val="00E57AF7"/>
    <w:rsid w:val="00E60C65"/>
    <w:rsid w:val="00E6132D"/>
    <w:rsid w:val="00E61500"/>
    <w:rsid w:val="00E63796"/>
    <w:rsid w:val="00E63E10"/>
    <w:rsid w:val="00E64CA1"/>
    <w:rsid w:val="00E65176"/>
    <w:rsid w:val="00E66077"/>
    <w:rsid w:val="00E67F89"/>
    <w:rsid w:val="00E70357"/>
    <w:rsid w:val="00E71A58"/>
    <w:rsid w:val="00E7309F"/>
    <w:rsid w:val="00E80CEE"/>
    <w:rsid w:val="00E828AD"/>
    <w:rsid w:val="00E83728"/>
    <w:rsid w:val="00E84923"/>
    <w:rsid w:val="00E86BBC"/>
    <w:rsid w:val="00E87690"/>
    <w:rsid w:val="00E916F2"/>
    <w:rsid w:val="00E928A7"/>
    <w:rsid w:val="00E92B7F"/>
    <w:rsid w:val="00E93594"/>
    <w:rsid w:val="00E93DF1"/>
    <w:rsid w:val="00E93E77"/>
    <w:rsid w:val="00E94123"/>
    <w:rsid w:val="00E94893"/>
    <w:rsid w:val="00E957EC"/>
    <w:rsid w:val="00E95ED4"/>
    <w:rsid w:val="00E96DF9"/>
    <w:rsid w:val="00E978D1"/>
    <w:rsid w:val="00E97CEB"/>
    <w:rsid w:val="00E97FA6"/>
    <w:rsid w:val="00EA0C68"/>
    <w:rsid w:val="00EA1483"/>
    <w:rsid w:val="00EA2491"/>
    <w:rsid w:val="00EA2A3F"/>
    <w:rsid w:val="00EA2F6A"/>
    <w:rsid w:val="00EA33A6"/>
    <w:rsid w:val="00EA3D63"/>
    <w:rsid w:val="00EA41D4"/>
    <w:rsid w:val="00EA48B1"/>
    <w:rsid w:val="00EA52AB"/>
    <w:rsid w:val="00EA770B"/>
    <w:rsid w:val="00EA7E97"/>
    <w:rsid w:val="00EB073A"/>
    <w:rsid w:val="00EB1BA9"/>
    <w:rsid w:val="00EB2612"/>
    <w:rsid w:val="00EB34FD"/>
    <w:rsid w:val="00EB6691"/>
    <w:rsid w:val="00EB7708"/>
    <w:rsid w:val="00EC224D"/>
    <w:rsid w:val="00EC276B"/>
    <w:rsid w:val="00EC491F"/>
    <w:rsid w:val="00EC5902"/>
    <w:rsid w:val="00EC5C84"/>
    <w:rsid w:val="00EC5D3C"/>
    <w:rsid w:val="00ED0206"/>
    <w:rsid w:val="00ED0329"/>
    <w:rsid w:val="00ED286F"/>
    <w:rsid w:val="00ED437A"/>
    <w:rsid w:val="00ED59A5"/>
    <w:rsid w:val="00ED7436"/>
    <w:rsid w:val="00ED7FC7"/>
    <w:rsid w:val="00EE01FF"/>
    <w:rsid w:val="00EE05ED"/>
    <w:rsid w:val="00EE1F14"/>
    <w:rsid w:val="00EE218B"/>
    <w:rsid w:val="00EE3E78"/>
    <w:rsid w:val="00EE504E"/>
    <w:rsid w:val="00EE5179"/>
    <w:rsid w:val="00EE6118"/>
    <w:rsid w:val="00EE6D0D"/>
    <w:rsid w:val="00EE7439"/>
    <w:rsid w:val="00EE7545"/>
    <w:rsid w:val="00EF1538"/>
    <w:rsid w:val="00EF194E"/>
    <w:rsid w:val="00EF1F5A"/>
    <w:rsid w:val="00EF2525"/>
    <w:rsid w:val="00EF3614"/>
    <w:rsid w:val="00EF4907"/>
    <w:rsid w:val="00EF4D97"/>
    <w:rsid w:val="00EF57CC"/>
    <w:rsid w:val="00EF63C7"/>
    <w:rsid w:val="00EF65C3"/>
    <w:rsid w:val="00EF6A33"/>
    <w:rsid w:val="00F00EA9"/>
    <w:rsid w:val="00F013B6"/>
    <w:rsid w:val="00F02FF2"/>
    <w:rsid w:val="00F04811"/>
    <w:rsid w:val="00F0488C"/>
    <w:rsid w:val="00F05C31"/>
    <w:rsid w:val="00F06DC6"/>
    <w:rsid w:val="00F07CC0"/>
    <w:rsid w:val="00F100E0"/>
    <w:rsid w:val="00F102BF"/>
    <w:rsid w:val="00F112D6"/>
    <w:rsid w:val="00F12145"/>
    <w:rsid w:val="00F12C10"/>
    <w:rsid w:val="00F12C35"/>
    <w:rsid w:val="00F12DB1"/>
    <w:rsid w:val="00F13916"/>
    <w:rsid w:val="00F143DB"/>
    <w:rsid w:val="00F15804"/>
    <w:rsid w:val="00F15BEF"/>
    <w:rsid w:val="00F1651D"/>
    <w:rsid w:val="00F17103"/>
    <w:rsid w:val="00F176FF"/>
    <w:rsid w:val="00F2260E"/>
    <w:rsid w:val="00F24FAA"/>
    <w:rsid w:val="00F26813"/>
    <w:rsid w:val="00F2719E"/>
    <w:rsid w:val="00F2751B"/>
    <w:rsid w:val="00F27845"/>
    <w:rsid w:val="00F301BC"/>
    <w:rsid w:val="00F33376"/>
    <w:rsid w:val="00F3364D"/>
    <w:rsid w:val="00F33984"/>
    <w:rsid w:val="00F33E22"/>
    <w:rsid w:val="00F33F97"/>
    <w:rsid w:val="00F34DDA"/>
    <w:rsid w:val="00F35286"/>
    <w:rsid w:val="00F35F23"/>
    <w:rsid w:val="00F3608B"/>
    <w:rsid w:val="00F375DA"/>
    <w:rsid w:val="00F37CFB"/>
    <w:rsid w:val="00F40373"/>
    <w:rsid w:val="00F40F10"/>
    <w:rsid w:val="00F419C2"/>
    <w:rsid w:val="00F41DE4"/>
    <w:rsid w:val="00F42ADE"/>
    <w:rsid w:val="00F4368B"/>
    <w:rsid w:val="00F4638E"/>
    <w:rsid w:val="00F4721B"/>
    <w:rsid w:val="00F543ED"/>
    <w:rsid w:val="00F57A82"/>
    <w:rsid w:val="00F61C33"/>
    <w:rsid w:val="00F632B0"/>
    <w:rsid w:val="00F63DDE"/>
    <w:rsid w:val="00F63FB7"/>
    <w:rsid w:val="00F64052"/>
    <w:rsid w:val="00F64AB5"/>
    <w:rsid w:val="00F64B5F"/>
    <w:rsid w:val="00F65272"/>
    <w:rsid w:val="00F6775F"/>
    <w:rsid w:val="00F72FAA"/>
    <w:rsid w:val="00F73A0C"/>
    <w:rsid w:val="00F75378"/>
    <w:rsid w:val="00F766F2"/>
    <w:rsid w:val="00F76D39"/>
    <w:rsid w:val="00F76EFC"/>
    <w:rsid w:val="00F77FD7"/>
    <w:rsid w:val="00F823B2"/>
    <w:rsid w:val="00F824F1"/>
    <w:rsid w:val="00F82744"/>
    <w:rsid w:val="00F85F9A"/>
    <w:rsid w:val="00F912EF"/>
    <w:rsid w:val="00F93608"/>
    <w:rsid w:val="00F95D6D"/>
    <w:rsid w:val="00F96C39"/>
    <w:rsid w:val="00F972A8"/>
    <w:rsid w:val="00FA118E"/>
    <w:rsid w:val="00FA3917"/>
    <w:rsid w:val="00FA57C0"/>
    <w:rsid w:val="00FA6A70"/>
    <w:rsid w:val="00FA7C55"/>
    <w:rsid w:val="00FA7D92"/>
    <w:rsid w:val="00FB03D2"/>
    <w:rsid w:val="00FB1A38"/>
    <w:rsid w:val="00FB2130"/>
    <w:rsid w:val="00FB5108"/>
    <w:rsid w:val="00FB512A"/>
    <w:rsid w:val="00FB51BC"/>
    <w:rsid w:val="00FB5428"/>
    <w:rsid w:val="00FB5667"/>
    <w:rsid w:val="00FB5FB6"/>
    <w:rsid w:val="00FB6DE3"/>
    <w:rsid w:val="00FC0E5F"/>
    <w:rsid w:val="00FC1908"/>
    <w:rsid w:val="00FC1FBC"/>
    <w:rsid w:val="00FC208C"/>
    <w:rsid w:val="00FC2A28"/>
    <w:rsid w:val="00FC30EF"/>
    <w:rsid w:val="00FC4669"/>
    <w:rsid w:val="00FC56DE"/>
    <w:rsid w:val="00FC68DB"/>
    <w:rsid w:val="00FC6F82"/>
    <w:rsid w:val="00FC7ECC"/>
    <w:rsid w:val="00FD1391"/>
    <w:rsid w:val="00FD15DF"/>
    <w:rsid w:val="00FD3B1F"/>
    <w:rsid w:val="00FD4C7D"/>
    <w:rsid w:val="00FD5FAC"/>
    <w:rsid w:val="00FD6771"/>
    <w:rsid w:val="00FD67BE"/>
    <w:rsid w:val="00FD6A7D"/>
    <w:rsid w:val="00FD7C5C"/>
    <w:rsid w:val="00FE02E9"/>
    <w:rsid w:val="00FE09B6"/>
    <w:rsid w:val="00FE1C5D"/>
    <w:rsid w:val="00FE1FC6"/>
    <w:rsid w:val="00FE26AC"/>
    <w:rsid w:val="00FE27EE"/>
    <w:rsid w:val="00FE2F78"/>
    <w:rsid w:val="00FE35E6"/>
    <w:rsid w:val="00FE5705"/>
    <w:rsid w:val="00FF0E01"/>
    <w:rsid w:val="00FF0F49"/>
    <w:rsid w:val="00FF3DCC"/>
    <w:rsid w:val="00FF475F"/>
    <w:rsid w:val="00FF5022"/>
    <w:rsid w:val="00FF5039"/>
    <w:rsid w:val="00FF526E"/>
    <w:rsid w:val="00FF5771"/>
    <w:rsid w:val="00FF66DD"/>
    <w:rsid w:val="00FF7012"/>
    <w:rsid w:val="00FF77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117" Type="http://schemas.openxmlformats.org/officeDocument/2006/relationships/hyperlink" Target="https://www.wipo.int/edocs/pubdocs/en/wipo_pub_1064_2019.pdf" TargetMode="External"/><Relationship Id="rId21" Type="http://schemas.openxmlformats.org/officeDocument/2006/relationships/chart" Target="charts/chart9.xml"/><Relationship Id="rId42" Type="http://schemas.openxmlformats.org/officeDocument/2006/relationships/chart" Target="charts/chart30.xml"/><Relationship Id="rId47" Type="http://schemas.openxmlformats.org/officeDocument/2006/relationships/chart" Target="charts/chart35.xml"/><Relationship Id="rId63" Type="http://schemas.openxmlformats.org/officeDocument/2006/relationships/chart" Target="charts/chart51.xml"/><Relationship Id="rId68" Type="http://schemas.openxmlformats.org/officeDocument/2006/relationships/chart" Target="charts/chart56.xml"/><Relationship Id="rId84" Type="http://schemas.openxmlformats.org/officeDocument/2006/relationships/chart" Target="charts/chart72.xml"/><Relationship Id="rId89" Type="http://schemas.openxmlformats.org/officeDocument/2006/relationships/hyperlink" Target="https://www.cnbc.com/2020/07/16/netflix-nflx-q2-2020-earnings.html" TargetMode="External"/><Relationship Id="rId112" Type="http://schemas.openxmlformats.org/officeDocument/2006/relationships/hyperlink" Target="https://ekonomika.idnes.cz/statistiky-spotrebni-kos-cd-dvd-dad-/ekonomika.aspx?c=A180222_212428_ekonomika_jn" TargetMode="External"/><Relationship Id="rId16" Type="http://schemas.openxmlformats.org/officeDocument/2006/relationships/chart" Target="charts/chart4.xml"/><Relationship Id="rId107" Type="http://schemas.openxmlformats.org/officeDocument/2006/relationships/hyperlink" Target="https://www.median.eu/cs/wp-content/uploads/2020/03/MEDIAN_adMeter_koronavirus_zmeny_v_medialni_konzumaci_Cechu_20200330.pdf" TargetMode="External"/><Relationship Id="rId11" Type="http://schemas.openxmlformats.org/officeDocument/2006/relationships/hyperlink" Target="https://www.czso.cz/csu/vykazy/p-5-01-rocni-vykaz-ekonomickych-subjektu-vybranych-produkcnich-odvetvi_psz_2018" TargetMode="External"/><Relationship Id="rId32" Type="http://schemas.openxmlformats.org/officeDocument/2006/relationships/chart" Target="charts/chart20.xml"/><Relationship Id="rId37" Type="http://schemas.openxmlformats.org/officeDocument/2006/relationships/chart" Target="charts/chart25.xml"/><Relationship Id="rId53" Type="http://schemas.openxmlformats.org/officeDocument/2006/relationships/chart" Target="charts/chart41.xml"/><Relationship Id="rId58" Type="http://schemas.openxmlformats.org/officeDocument/2006/relationships/chart" Target="charts/chart46.xml"/><Relationship Id="rId74" Type="http://schemas.openxmlformats.org/officeDocument/2006/relationships/chart" Target="charts/chart62.xml"/><Relationship Id="rId79" Type="http://schemas.openxmlformats.org/officeDocument/2006/relationships/chart" Target="charts/chart67.xml"/><Relationship Id="rId102" Type="http://schemas.openxmlformats.org/officeDocument/2006/relationships/hyperlink" Target="http://www.mkcr.cz/assets/profesionalni-umeni/Ekonomika-kultury-v-Evrope.doc"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49.xml"/><Relationship Id="rId82" Type="http://schemas.openxmlformats.org/officeDocument/2006/relationships/chart" Target="charts/chart70.xml"/><Relationship Id="rId90" Type="http://schemas.openxmlformats.org/officeDocument/2006/relationships/hyperlink" Target="https://www.cnbc.com/2020/07/29/spotify-spot-q2-2020-earnings.html" TargetMode="External"/><Relationship Id="rId95" Type="http://schemas.openxmlformats.org/officeDocument/2006/relationships/hyperlink" Target="http://www.digitalnewsreport.org/survey/2017/overview-key-findings-2017/"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chart" Target="charts/chart57.xml"/><Relationship Id="rId77" Type="http://schemas.openxmlformats.org/officeDocument/2006/relationships/chart" Target="charts/chart65.xml"/><Relationship Id="rId100" Type="http://schemas.openxmlformats.org/officeDocument/2006/relationships/hyperlink" Target="https://www.ifpi.org/wp-content/uploads/2020/07/Global_Music_Report-the_Industry_in_2019-en.pdf" TargetMode="External"/><Relationship Id="rId105" Type="http://schemas.openxmlformats.org/officeDocument/2006/relationships/hyperlink" Target="https://www.mediaguru.cz/clanky/2020/06/skupina-prima-loni-skoncila-v-zisku-pres-340-mil-korun/" TargetMode="External"/><Relationship Id="rId113" Type="http://schemas.openxmlformats.org/officeDocument/2006/relationships/hyperlink" Target="https://www.pwc.com/gx/en/industries/tmt/media/outlook/segment-findings.html" TargetMode="External"/><Relationship Id="rId118" Type="http://schemas.openxmlformats.org/officeDocument/2006/relationships/header" Target="header1.xml"/><Relationship Id="rId8" Type="http://schemas.openxmlformats.org/officeDocument/2006/relationships/hyperlink" Target="https://www.czso.cz/csu/vykazy/kult-6-01rocni-vykaz-o-audiovizualnich-medialnich-sluzbach-a-rozhlasovem-vysilani_psz_2018" TargetMode="External"/><Relationship Id="rId51" Type="http://schemas.openxmlformats.org/officeDocument/2006/relationships/chart" Target="charts/chart39.xml"/><Relationship Id="rId72" Type="http://schemas.openxmlformats.org/officeDocument/2006/relationships/chart" Target="charts/chart60.xml"/><Relationship Id="rId80" Type="http://schemas.openxmlformats.org/officeDocument/2006/relationships/chart" Target="charts/chart68.xml"/><Relationship Id="rId85" Type="http://schemas.openxmlformats.org/officeDocument/2006/relationships/hyperlink" Target="http://www.asociaceproducentu.cz/prispevek/46" TargetMode="External"/><Relationship Id="rId93" Type="http://schemas.openxmlformats.org/officeDocument/2006/relationships/hyperlink" Target="https://fep-fee.eu/IMG/pdf/20190707_-_brochure_covid_digital_only.pdf?1710/a2478e4b0d9ffb23c7679454bd0237c9674a9d3b" TargetMode="External"/><Relationship Id="rId98" Type="http://schemas.openxmlformats.org/officeDocument/2006/relationships/hyperlink" Target="https://gda.cz/wp-content/uploads/2020/06/Studie_GDACZ_2020.pdf"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idu.cz/cs/mapovani-kulturnich-a-kreativnich-prumyslu-v-cr-ii"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5.xml"/><Relationship Id="rId103" Type="http://schemas.openxmlformats.org/officeDocument/2006/relationships/hyperlink" Target="https://www.lupa.cz/aktuality/neflix-zatim-vlastni-servery-v-cesku-a-na-slovensku-neplanuje/" TargetMode="External"/><Relationship Id="rId108" Type="http://schemas.openxmlformats.org/officeDocument/2006/relationships/hyperlink" Target="https://www.median.eu/cs/wp-content/uploads/2020/05/MEDIAN_STEM_MARK_TZ_Poslechovost_radii_v_dobe_nouzoveho_stavu_20200526.pdf" TargetMode="External"/><Relationship Id="rId116" Type="http://schemas.openxmlformats.org/officeDocument/2006/relationships/hyperlink" Target="https://www.sckn.cz/document/download/9d020d929c7ad187a267b2b582dcdbce/" TargetMode="Externa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8.xml"/><Relationship Id="rId75" Type="http://schemas.openxmlformats.org/officeDocument/2006/relationships/chart" Target="charts/chart63.xml"/><Relationship Id="rId83" Type="http://schemas.openxmlformats.org/officeDocument/2006/relationships/chart" Target="charts/chart71.xml"/><Relationship Id="rId88" Type="http://schemas.openxmlformats.org/officeDocument/2006/relationships/hyperlink" Target="https://www.cnbc.com/2020/04/21/netflix-nflx-earnings-q1-2020.html" TargetMode="External"/><Relationship Id="rId91" Type="http://schemas.openxmlformats.org/officeDocument/2006/relationships/hyperlink" Target="http://www.ifpicr.cz/wp-content/uploads/2020/05/TZ-&#268;NS-IFPI-V&#253;sledky-trhu-2019-&#268;esk&#225;-republika.pdf" TargetMode="External"/><Relationship Id="rId96" Type="http://schemas.openxmlformats.org/officeDocument/2006/relationships/hyperlink" Target="https://reutersinstitute.politics.ox.ac.uk/sites/default/files/inline-files/DNR_2019_FINAL.pdf" TargetMode="External"/><Relationship Id="rId111" Type="http://schemas.openxmlformats.org/officeDocument/2006/relationships/hyperlink" Target="https://newzoo.com/insights/articles/newzoo-games-market-numbers-revenues-and-audience-2020-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chart" Target="charts/chart45.xml"/><Relationship Id="rId106" Type="http://schemas.openxmlformats.org/officeDocument/2006/relationships/hyperlink" Target="https://www.mediaguru.cz/clanky/2020/08/zisk-skupiny-tv-nova-loni-vystoupal-na-810-mil-korun/" TargetMode="External"/><Relationship Id="rId114" Type="http://schemas.openxmlformats.org/officeDocument/2006/relationships/hyperlink" Target="https://www.median.eu/cs/wp-content/uploads/docs/RP_2019_3_4Q_prezentace.pdf" TargetMode="External"/><Relationship Id="rId119" Type="http://schemas.openxmlformats.org/officeDocument/2006/relationships/header" Target="header2.xml"/><Relationship Id="rId10" Type="http://schemas.openxmlformats.org/officeDocument/2006/relationships/hyperlink" Target="http://ec.europa.eu/culture/library/reports/ess-net-report_en.pdf" TargetMode="Externa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chart" Target="charts/chart61.xml"/><Relationship Id="rId78" Type="http://schemas.openxmlformats.org/officeDocument/2006/relationships/chart" Target="charts/chart66.xml"/><Relationship Id="rId81" Type="http://schemas.openxmlformats.org/officeDocument/2006/relationships/chart" Target="charts/chart69.xml"/><Relationship Id="rId86" Type="http://schemas.openxmlformats.org/officeDocument/2006/relationships/hyperlink" Target="http://www.ato.cz/vysledky/tydenni-data/share/15" TargetMode="External"/><Relationship Id="rId94" Type="http://schemas.openxmlformats.org/officeDocument/2006/relationships/hyperlink" Target="http://www.fipp.com/wp-content/uploads/2020/09/GDS_Snapshot_2020_Q3_V1.pdf" TargetMode="External"/><Relationship Id="rId99" Type="http://schemas.openxmlformats.org/officeDocument/2006/relationships/hyperlink" Target="https://www.polygon.com/2018/7/6/17542506/steam-games-sales-data-leak" TargetMode="External"/><Relationship Id="rId101" Type="http://schemas.openxmlformats.org/officeDocument/2006/relationships/hyperlink" Target="https://www.isfe.eu/wp-content/uploads/2020/09/IpsosMori-Gaming-during-Lockdown-Q1-Q2-2020-report.pdf"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kcr.cz/doc/cms_library/ekonomika-kultury-v-evrope-1921.doc" TargetMode="Externa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7.xml"/><Relationship Id="rId109" Type="http://schemas.openxmlformats.org/officeDocument/2006/relationships/hyperlink" Target="http://www.mediar.cz/cesky-a-slovensky-trh-s-dvd-loni-klesl-prodej-blu-ray-vzrostl/" TargetMode="External"/><Relationship Id="rId34" Type="http://schemas.openxmlformats.org/officeDocument/2006/relationships/chart" Target="charts/chart22.xml"/><Relationship Id="rId50" Type="http://schemas.openxmlformats.org/officeDocument/2006/relationships/chart" Target="charts/chart38.xml"/><Relationship Id="rId55" Type="http://schemas.openxmlformats.org/officeDocument/2006/relationships/chart" Target="charts/chart43.xml"/><Relationship Id="rId76" Type="http://schemas.openxmlformats.org/officeDocument/2006/relationships/chart" Target="charts/chart64.xml"/><Relationship Id="rId97" Type="http://schemas.openxmlformats.org/officeDocument/2006/relationships/hyperlink" Target="https://gda.cz/wp-content/uploads/2019/03/CeskePocitacoveHry.pdf" TargetMode="External"/><Relationship Id="rId104" Type="http://schemas.openxmlformats.org/officeDocument/2006/relationships/hyperlink" Target="https://www.mediaguru.cz/clanky/2019/04/netflix-zahajil-rok-rekordnim-prirustkem-predplatitelu/"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hart" Target="charts/chart59.xml"/><Relationship Id="rId92" Type="http://schemas.openxmlformats.org/officeDocument/2006/relationships/hyperlink" Target="https://rm.coe.int/yearbook-keytrends-2019-2020-en/16809ce58d" TargetMode="External"/><Relationship Id="rId2" Type="http://schemas.openxmlformats.org/officeDocument/2006/relationships/numbering" Target="numbering.xml"/><Relationship Id="rId29" Type="http://schemas.openxmlformats.org/officeDocument/2006/relationships/chart" Target="charts/chart17.xml"/><Relationship Id="rId24" Type="http://schemas.openxmlformats.org/officeDocument/2006/relationships/chart" Target="charts/chart12.xml"/><Relationship Id="rId40" Type="http://schemas.openxmlformats.org/officeDocument/2006/relationships/chart" Target="charts/chart28.xml"/><Relationship Id="rId45" Type="http://schemas.openxmlformats.org/officeDocument/2006/relationships/chart" Target="charts/chart33.xml"/><Relationship Id="rId66" Type="http://schemas.openxmlformats.org/officeDocument/2006/relationships/chart" Target="charts/chart54.xml"/><Relationship Id="rId87" Type="http://schemas.openxmlformats.org/officeDocument/2006/relationships/hyperlink" Target="http://www.ato.cz/aktuality/aktuality/rekordni-brezen-sledovanost-televize-byla-vlivem-pandemie-koronaviru-nejvyssi-za-17-let" TargetMode="External"/><Relationship Id="rId110" Type="http://schemas.openxmlformats.org/officeDocument/2006/relationships/hyperlink" Target="http://www.mkcr.cz/assets/media-a-audiovize/kinematografie/Priloha-Strategie-konkurenceschopnosti-ceskeho-filmoveho-prumyslu-2011--2016.pdf" TargetMode="External"/><Relationship Id="rId115" Type="http://schemas.openxmlformats.org/officeDocument/2006/relationships/hyperlink" Target="https://reutersinstitute.politics.ox.ac.uk/sites/default/files/2020-06/DNR_2020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rocni-strukturalni-statistika-prumyslu-metod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1%20a%202%20podklady%20(p&#345;&#237;jmy%20a%20zam&#283;stnanost%20podle%20sektor&#36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10%20-%20nakup%20knih%20VSI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12%20-%20knizni%20titul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11+12%20-%20prijmy%20a%20zamestnanci%20tis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11+12%20-%20prijmy%20a%20zamestnanci%20tis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kumenty\Desktop\Knihy%20&#269;l&#225;nek\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16%20-%20knihy%20vsi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Publikace%20Kulturn&#237;%20pr&#367;mysly%20v%20&#268;R\2019\Grafy%2018,20%20-%20p&#345;&#237;jmy,%20zam&#283;stnanost%20tis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17-%20vydan&#233;%20tituly%20tisk.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Publikace%20Kulturn&#237;%20pr&#367;mysly%20v%20&#268;R\2019\Grafy%2018,20%20-%20p&#345;&#237;jmy,%20zam&#283;stnanost%20tis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1%20a%202%20podklady%20(p&#345;&#237;jmy%20a%20zam&#283;stnanost%20podle%20sektor&#367;).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xx%20-%20inzerce%20tisk.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19%20a%2020%20-%20cetba%20zprav%20VSI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19%20a%2020%20-%20cetba%20zprav%20VSI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23%20-%20Digital%20News%20Repor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23%20-%20mediaprojekt.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xx%20-%20koronakrize_tisk.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25%20-%20vsit%20film+hudba%20uvo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26%20-%20vsit%20film+hudba%20-%20vekove%20kategori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3%20-%20Vydaje%20domacnosti.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28-30%20Film%20SBS%20a%20AP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vsps%20fil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vsps%20fil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31%20-%20kina%20n&#225;v&#353;t&#283;vnost%20UFD.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dedera1350\AppData\Local\Temp\mesicnivysledky.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dedera1350\AppData\Local\Temp\06200419100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Dokumenty\GroupWise\Silk%20-%20r&#367;zne%20ukazatele_OK.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dedera1350\AppData\Local\Temp\ilc_scp03-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4%20(V&#352;IT%20&#250;vo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8%20-%20prijmy%20ifpi.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7%20-%20ifpi%20podle%20nosice.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39-%20hudba%20zamestnanost%20sbs.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0%20-%20zamestnanost%20v%20hudbe%20vsp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0%20-%20zamestnanost%20v%20hudbe%20vsps.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1%20+%2042%20-%20IFPI%20spotrebitele.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1%20+%2042%20-%20IFPI%20spotrebitele.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dedera1350\AppData\Local\Temp\Pro%20Milana_23.09.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43%20-%20provozovatele%20rozhlas%20tv.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41%20-%20vydaje%20domacnosti%20na%20rozhl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Publikace%20Kulturn&#237;%20pr&#367;mysly%20v%20&#268;R\2019\poslech_kde.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Publikace%20Kulturn&#237;%20pr&#367;mysly%20v%20&#268;R\2019\poslech_kde.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ABFS2\DATA\DATA\ZPRAC\TECHNOL\Spole&#269;n&#233;\Statistick&#225;%20ro&#269;enka%20&#268;R\SR%20CR%202020\27_Kultura\Vypln&#283;no\2716_vypln&#283;no.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Kult%208,7\kult6\Kult%206%20-%20Data%202020\4.B&#282;H\205-v&#253;stupy_ro&#269;enka.xls"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Kult%208,7\kult6\Kult%206%20-%20Data%202020\4.B&#282;H\205-v&#253;stupy_ro&#269;enka.xls"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51%20prijmy%20rozhlas%20kult.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Publikace%20Kulturn&#237;%20pr&#367;mysly%20v%20&#268;R\2019\poslech_kde.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Publikace%20Kulturn&#237;%20pr&#367;mysly%20v%20&#268;R\2019\poslech_kde.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7,8%20Prijmy,%20Zam%20-%20Knihy%20a%20tisk.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51%20-%20ato%20sledivanost%20tv.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57%20-%20programov&#225;%20struktura.xls"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ABFS2\DATA\DATA\ZPRAC\TECHNOL\Spole&#269;n&#233;\Statistick&#225;%20ro&#269;enka%20&#268;R\SR%20CR%202020\27_Kultura\Vypln&#283;no\2722_vypln&#283;no.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59%20-%20kult_zamestnanost.xls"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59%20-%20kult_prijmy.xls"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D:\Publikace%20Kulturn&#237;%20pr&#367;mysly%20v%20&#268;R\2019\Tabulky\Graf%2057%20-%20ATO_covid.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y%2061%20-%2062%20vsit%20videa.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Se&#353;it2"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57%20-%20videohry%20-%20sbs.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64%20-%20videohry%20-%20vsi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7,8%20Prijmy,%20Zam%20-%20Knihy%20a%20tisk.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D:\Publikace%20Kulturn&#237;%20pr&#367;mysly%20v%20&#268;R\2019\hrani_eurostat.xls"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D:\Publikace%20Kulturn&#237;%20pr&#367;mysly%20v%20&#268;R\2017\Tabulky%20a%20grafy\Graf%2065%20-%20videohry%20-%20platformy.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9%20-%20knihy%20VSI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ublikace%20Kulturn&#237;%20pr&#367;mysly%20v%20&#268;R\2018\Tabulky\Graf%209%20-%20knihy%20VS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List1!$A$3</c:f>
              <c:strCache>
                <c:ptCount val="1"/>
                <c:pt idx="0">
                  <c:v>Kreativní průmysly</c:v>
                </c:pt>
              </c:strCache>
            </c:strRef>
          </c:tx>
          <c:dLbls>
            <c:txPr>
              <a:bodyPr/>
              <a:lstStyle/>
              <a:p>
                <a:pPr>
                  <a:defRPr>
                    <a:solidFill>
                      <a:schemeClr val="accent6">
                        <a:lumMod val="60000"/>
                        <a:lumOff val="40000"/>
                      </a:schemeClr>
                    </a:solidFill>
                  </a:defRPr>
                </a:pPr>
                <a:endParaRPr lang="cs-CZ"/>
              </a:p>
            </c:txPr>
            <c:dLblPos val="ctr"/>
            <c:showVal val="1"/>
          </c:dLbls>
          <c:cat>
            <c:numRef>
              <c:f>List1!$B$2:$J$2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List1!$B$3:$J$3</c:f>
              <c:numCache>
                <c:formatCode>General</c:formatCode>
                <c:ptCount val="9"/>
                <c:pt idx="0">
                  <c:v>99.6</c:v>
                </c:pt>
                <c:pt idx="1">
                  <c:v>92.6</c:v>
                </c:pt>
                <c:pt idx="2">
                  <c:v>87.6</c:v>
                </c:pt>
                <c:pt idx="3">
                  <c:v>84.3</c:v>
                </c:pt>
                <c:pt idx="4">
                  <c:v>87.5</c:v>
                </c:pt>
                <c:pt idx="5">
                  <c:v>92.4</c:v>
                </c:pt>
                <c:pt idx="6">
                  <c:v>97</c:v>
                </c:pt>
                <c:pt idx="7">
                  <c:v>110.1</c:v>
                </c:pt>
                <c:pt idx="8">
                  <c:v>120.1</c:v>
                </c:pt>
              </c:numCache>
            </c:numRef>
          </c:val>
        </c:ser>
        <c:ser>
          <c:idx val="1"/>
          <c:order val="1"/>
          <c:tx>
            <c:strRef>
              <c:f>List1!$A$4</c:f>
              <c:strCache>
                <c:ptCount val="1"/>
                <c:pt idx="0">
                  <c:v>Kulturní průmysly</c:v>
                </c:pt>
              </c:strCache>
            </c:strRef>
          </c:tx>
          <c:dLbls>
            <c:showVal val="1"/>
          </c:dLbls>
          <c:cat>
            <c:numRef>
              <c:f>List1!$B$2:$J$2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List1!$B$4:$J$4</c:f>
              <c:numCache>
                <c:formatCode>General</c:formatCode>
                <c:ptCount val="9"/>
                <c:pt idx="0">
                  <c:v>87.9</c:v>
                </c:pt>
                <c:pt idx="1">
                  <c:v>85.7</c:v>
                </c:pt>
                <c:pt idx="2">
                  <c:v>88.8</c:v>
                </c:pt>
                <c:pt idx="3">
                  <c:v>87</c:v>
                </c:pt>
                <c:pt idx="4">
                  <c:v>84.4</c:v>
                </c:pt>
                <c:pt idx="5">
                  <c:v>87.1</c:v>
                </c:pt>
                <c:pt idx="6">
                  <c:v>87.2</c:v>
                </c:pt>
                <c:pt idx="7">
                  <c:v>86.1</c:v>
                </c:pt>
                <c:pt idx="8">
                  <c:v>91.8</c:v>
                </c:pt>
              </c:numCache>
            </c:numRef>
          </c:val>
        </c:ser>
        <c:ser>
          <c:idx val="2"/>
          <c:order val="2"/>
          <c:tx>
            <c:strRef>
              <c:f>List1!$A$5</c:f>
              <c:strCache>
                <c:ptCount val="1"/>
                <c:pt idx="0">
                  <c:v>Tradiční odvětví</c:v>
                </c:pt>
              </c:strCache>
            </c:strRef>
          </c:tx>
          <c:dLbls>
            <c:showVal val="1"/>
          </c:dLbls>
          <c:cat>
            <c:numRef>
              <c:f>List1!$B$2:$J$2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List1!$B$5:$J$5</c:f>
              <c:numCache>
                <c:formatCode>General</c:formatCode>
                <c:ptCount val="9"/>
                <c:pt idx="0">
                  <c:v>28.3</c:v>
                </c:pt>
                <c:pt idx="1">
                  <c:v>28.8</c:v>
                </c:pt>
                <c:pt idx="2">
                  <c:v>31.4</c:v>
                </c:pt>
                <c:pt idx="3">
                  <c:v>32.9</c:v>
                </c:pt>
                <c:pt idx="4">
                  <c:v>34.200000000000003</c:v>
                </c:pt>
                <c:pt idx="5">
                  <c:v>36.5</c:v>
                </c:pt>
                <c:pt idx="6">
                  <c:v>38.5</c:v>
                </c:pt>
                <c:pt idx="7">
                  <c:v>41.3</c:v>
                </c:pt>
                <c:pt idx="8">
                  <c:v>45.7</c:v>
                </c:pt>
              </c:numCache>
            </c:numRef>
          </c:val>
        </c:ser>
        <c:gapWidth val="125"/>
        <c:overlap val="100"/>
        <c:axId val="184409088"/>
        <c:axId val="187012608"/>
      </c:barChart>
      <c:catAx>
        <c:axId val="184409088"/>
        <c:scaling>
          <c:orientation val="minMax"/>
        </c:scaling>
        <c:axPos val="b"/>
        <c:numFmt formatCode="General" sourceLinked="1"/>
        <c:tickLblPos val="nextTo"/>
        <c:crossAx val="187012608"/>
        <c:crosses val="autoZero"/>
        <c:auto val="1"/>
        <c:lblAlgn val="ctr"/>
        <c:lblOffset val="100"/>
      </c:catAx>
      <c:valAx>
        <c:axId val="187012608"/>
        <c:scaling>
          <c:orientation val="minMax"/>
        </c:scaling>
        <c:axPos val="l"/>
        <c:majorGridlines/>
        <c:numFmt formatCode="General" sourceLinked="1"/>
        <c:tickLblPos val="nextTo"/>
        <c:crossAx val="184409088"/>
        <c:crosses val="autoZero"/>
        <c:crossBetween val="between"/>
      </c:valAx>
    </c:plotArea>
    <c:legend>
      <c:legendPos val="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List1!$B$2</c:f>
              <c:strCache>
                <c:ptCount val="1"/>
                <c:pt idx="0">
                  <c:v>jednotlivci 16+</c:v>
                </c:pt>
              </c:strCache>
            </c:strRef>
          </c:tx>
          <c:dLbls>
            <c:numFmt formatCode="0%" sourceLinked="0"/>
            <c:showVal val="1"/>
          </c:dLbls>
          <c:cat>
            <c:strRef>
              <c:f>List1!$C$1:$D$1</c:f>
              <c:strCache>
                <c:ptCount val="2"/>
                <c:pt idx="0">
                  <c:v>knihy a časopisy</c:v>
                </c:pt>
                <c:pt idx="1">
                  <c:v>film a hudba</c:v>
                </c:pt>
              </c:strCache>
            </c:strRef>
          </c:cat>
          <c:val>
            <c:numRef>
              <c:f>List1!$C$2:$D$2</c:f>
              <c:numCache>
                <c:formatCode>#,##0.0__</c:formatCode>
                <c:ptCount val="2"/>
                <c:pt idx="0">
                  <c:v>0.15100000000000041</c:v>
                </c:pt>
                <c:pt idx="1">
                  <c:v>6.7000000000000004E-2</c:v>
                </c:pt>
              </c:numCache>
            </c:numRef>
          </c:val>
        </c:ser>
        <c:ser>
          <c:idx val="1"/>
          <c:order val="1"/>
          <c:tx>
            <c:strRef>
              <c:f>List1!$B$3</c:f>
              <c:strCache>
                <c:ptCount val="1"/>
                <c:pt idx="0">
                  <c:v>jednotlivci 16+ nakupující přes internet</c:v>
                </c:pt>
              </c:strCache>
            </c:strRef>
          </c:tx>
          <c:dLbls>
            <c:numFmt formatCode="0%" sourceLinked="0"/>
            <c:showVal val="1"/>
          </c:dLbls>
          <c:cat>
            <c:strRef>
              <c:f>List1!$C$1:$D$1</c:f>
              <c:strCache>
                <c:ptCount val="2"/>
                <c:pt idx="0">
                  <c:v>knihy a časopisy</c:v>
                </c:pt>
                <c:pt idx="1">
                  <c:v>film a hudba</c:v>
                </c:pt>
              </c:strCache>
            </c:strRef>
          </c:cat>
          <c:val>
            <c:numRef>
              <c:f>List1!$C$3:$D$3</c:f>
              <c:numCache>
                <c:formatCode>#,##0.0__</c:formatCode>
                <c:ptCount val="2"/>
                <c:pt idx="0">
                  <c:v>0.25700000000000001</c:v>
                </c:pt>
                <c:pt idx="1">
                  <c:v>0.114</c:v>
                </c:pt>
              </c:numCache>
            </c:numRef>
          </c:val>
        </c:ser>
        <c:axId val="200552832"/>
        <c:axId val="200555520"/>
      </c:barChart>
      <c:catAx>
        <c:axId val="200552832"/>
        <c:scaling>
          <c:orientation val="minMax"/>
        </c:scaling>
        <c:axPos val="b"/>
        <c:tickLblPos val="nextTo"/>
        <c:crossAx val="200555520"/>
        <c:crosses val="autoZero"/>
        <c:auto val="1"/>
        <c:lblAlgn val="ctr"/>
        <c:lblOffset val="100"/>
      </c:catAx>
      <c:valAx>
        <c:axId val="200555520"/>
        <c:scaling>
          <c:orientation val="minMax"/>
        </c:scaling>
        <c:delete val="1"/>
        <c:axPos val="l"/>
        <c:numFmt formatCode="#,##0.0__" sourceLinked="1"/>
        <c:tickLblPos val="none"/>
        <c:crossAx val="200552832"/>
        <c:crosses val="autoZero"/>
        <c:crossBetween val="between"/>
      </c:valAx>
    </c:plotArea>
    <c:legend>
      <c:legendPos val="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List1!$A$6</c:f>
              <c:strCache>
                <c:ptCount val="1"/>
                <c:pt idx="0">
                  <c:v>počet vydaných knižních titulů</c:v>
                </c:pt>
              </c:strCache>
            </c:strRef>
          </c:tx>
          <c:dLbls>
            <c:numFmt formatCode="#,##0.0" sourceLinked="0"/>
            <c:dLblPos val="t"/>
            <c:showVal val="1"/>
          </c:dLbls>
          <c:cat>
            <c:numRef>
              <c:f>List1!$B$5:$P$5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List1!$B$6:$P$6</c:f>
              <c:numCache>
                <c:formatCode>General</c:formatCode>
                <c:ptCount val="15"/>
                <c:pt idx="0">
                  <c:v>15.350000000000026</c:v>
                </c:pt>
                <c:pt idx="1">
                  <c:v>17.019000000000005</c:v>
                </c:pt>
                <c:pt idx="2">
                  <c:v>18.029</c:v>
                </c:pt>
                <c:pt idx="3">
                  <c:v>18.52</c:v>
                </c:pt>
                <c:pt idx="4">
                  <c:v>17.597999999999999</c:v>
                </c:pt>
                <c:pt idx="5">
                  <c:v>17.05400000000003</c:v>
                </c:pt>
                <c:pt idx="6">
                  <c:v>18.984999999999989</c:v>
                </c:pt>
                <c:pt idx="7">
                  <c:v>17.247</c:v>
                </c:pt>
                <c:pt idx="8">
                  <c:v>17.876000000000001</c:v>
                </c:pt>
                <c:pt idx="9">
                  <c:v>18.379000000000001</c:v>
                </c:pt>
                <c:pt idx="10">
                  <c:v>18.281999999999989</c:v>
                </c:pt>
                <c:pt idx="11">
                  <c:v>17.815000000000001</c:v>
                </c:pt>
                <c:pt idx="12">
                  <c:v>16.421999999999986</c:v>
                </c:pt>
                <c:pt idx="13">
                  <c:v>16.676000000000005</c:v>
                </c:pt>
                <c:pt idx="14">
                  <c:v>17.330000000000005</c:v>
                </c:pt>
              </c:numCache>
            </c:numRef>
          </c:val>
        </c:ser>
        <c:ser>
          <c:idx val="1"/>
          <c:order val="1"/>
          <c:tx>
            <c:strRef>
              <c:f>List1!$A$7</c:f>
              <c:strCache>
                <c:ptCount val="1"/>
                <c:pt idx="0">
                  <c:v>z toho beletrie</c:v>
                </c:pt>
              </c:strCache>
            </c:strRef>
          </c:tx>
          <c:dLbls>
            <c:numFmt formatCode="#,##0.0" sourceLinked="0"/>
            <c:dLblPos val="t"/>
            <c:showVal val="1"/>
          </c:dLbls>
          <c:cat>
            <c:numRef>
              <c:f>List1!$B$5:$P$5</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List1!$B$7:$P$7</c:f>
              <c:numCache>
                <c:formatCode>General</c:formatCode>
                <c:ptCount val="15"/>
                <c:pt idx="0">
                  <c:v>3.34</c:v>
                </c:pt>
                <c:pt idx="1">
                  <c:v>3.746</c:v>
                </c:pt>
                <c:pt idx="2">
                  <c:v>3.927</c:v>
                </c:pt>
                <c:pt idx="3">
                  <c:v>4.1619999999999955</c:v>
                </c:pt>
                <c:pt idx="4">
                  <c:v>4.4750000000000014</c:v>
                </c:pt>
                <c:pt idx="5">
                  <c:v>4.4770000000000003</c:v>
                </c:pt>
                <c:pt idx="6">
                  <c:v>5.1739999999999995</c:v>
                </c:pt>
                <c:pt idx="7">
                  <c:v>4.6839999999999975</c:v>
                </c:pt>
                <c:pt idx="8">
                  <c:v>5.1899999999999995</c:v>
                </c:pt>
                <c:pt idx="9">
                  <c:v>5.1289999999999845</c:v>
                </c:pt>
                <c:pt idx="10">
                  <c:v>5.2969999999999997</c:v>
                </c:pt>
                <c:pt idx="11">
                  <c:v>5.5590000000000002</c:v>
                </c:pt>
                <c:pt idx="12">
                  <c:v>4.9850000000000003</c:v>
                </c:pt>
                <c:pt idx="13">
                  <c:v>5.7060000000000004</c:v>
                </c:pt>
                <c:pt idx="14">
                  <c:v>6.2759999999999998</c:v>
                </c:pt>
              </c:numCache>
            </c:numRef>
          </c:val>
        </c:ser>
        <c:marker val="1"/>
        <c:axId val="200724480"/>
        <c:axId val="200726784"/>
      </c:lineChart>
      <c:catAx>
        <c:axId val="200724480"/>
        <c:scaling>
          <c:orientation val="minMax"/>
        </c:scaling>
        <c:axPos val="b"/>
        <c:numFmt formatCode="General" sourceLinked="1"/>
        <c:tickLblPos val="nextTo"/>
        <c:crossAx val="200726784"/>
        <c:crosses val="autoZero"/>
        <c:auto val="1"/>
        <c:lblAlgn val="ctr"/>
        <c:lblOffset val="100"/>
      </c:catAx>
      <c:valAx>
        <c:axId val="200726784"/>
        <c:scaling>
          <c:orientation val="minMax"/>
        </c:scaling>
        <c:delete val="1"/>
        <c:axPos val="l"/>
        <c:numFmt formatCode="General" sourceLinked="1"/>
        <c:tickLblPos val="none"/>
        <c:crossAx val="200724480"/>
        <c:crosses val="autoZero"/>
        <c:crossBetween val="between"/>
      </c:valAx>
    </c:plotArea>
    <c:legend>
      <c:legendPos val="t"/>
      <c:layout>
        <c:manualLayout>
          <c:xMode val="edge"/>
          <c:yMode val="edge"/>
          <c:x val="0.20844928402937185"/>
          <c:y val="0"/>
          <c:w val="0.58310126582278132"/>
          <c:h val="0.10668385478363972"/>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List1!$B$8</c:f>
              <c:strCache>
                <c:ptCount val="1"/>
                <c:pt idx="0">
                  <c:v>celkem</c:v>
                </c:pt>
              </c:strCache>
            </c:strRef>
          </c:tx>
          <c:dLbls>
            <c:numFmt formatCode="#,##0.0" sourceLinked="0"/>
            <c:dLblPos val="t"/>
            <c:showVal val="1"/>
          </c:dLbls>
          <c:cat>
            <c:numRef>
              <c:f>List1!$D$7:$P$7</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formatCode="0">
                  <c:v>2017</c:v>
                </c:pt>
                <c:pt idx="12">
                  <c:v>2018</c:v>
                </c:pt>
              </c:numCache>
            </c:numRef>
          </c:cat>
          <c:val>
            <c:numRef>
              <c:f>List1!$D$8:$P$8</c:f>
              <c:numCache>
                <c:formatCode>General</c:formatCode>
                <c:ptCount val="13"/>
                <c:pt idx="0">
                  <c:v>14.687933005054083</c:v>
                </c:pt>
                <c:pt idx="1">
                  <c:v>15.019409827526186</c:v>
                </c:pt>
                <c:pt idx="2">
                  <c:v>14.173026416190959</c:v>
                </c:pt>
                <c:pt idx="3">
                  <c:v>12.466869177768427</c:v>
                </c:pt>
                <c:pt idx="4">
                  <c:v>12.346555909347986</c:v>
                </c:pt>
                <c:pt idx="5">
                  <c:v>11.647129105105218</c:v>
                </c:pt>
                <c:pt idx="6">
                  <c:v>10.846119618923273</c:v>
                </c:pt>
                <c:pt idx="7">
                  <c:v>10.343643859181009</c:v>
                </c:pt>
                <c:pt idx="8">
                  <c:v>10.409021405275068</c:v>
                </c:pt>
                <c:pt idx="9">
                  <c:v>10.647580420004115</c:v>
                </c:pt>
                <c:pt idx="10">
                  <c:v>11.045332539089104</c:v>
                </c:pt>
                <c:pt idx="11">
                  <c:v>10.757413314150551</c:v>
                </c:pt>
                <c:pt idx="12">
                  <c:v>10.852255792284724</c:v>
                </c:pt>
              </c:numCache>
            </c:numRef>
          </c:val>
        </c:ser>
        <c:ser>
          <c:idx val="1"/>
          <c:order val="1"/>
          <c:tx>
            <c:strRef>
              <c:f>List1!$B$9</c:f>
              <c:strCache>
                <c:ptCount val="1"/>
                <c:pt idx="0">
                  <c:v>z toho malobchodní prodej</c:v>
                </c:pt>
              </c:strCache>
            </c:strRef>
          </c:tx>
          <c:dLbls>
            <c:numFmt formatCode="#,##0.0" sourceLinked="0"/>
            <c:dLblPos val="t"/>
            <c:showVal val="1"/>
          </c:dLbls>
          <c:cat>
            <c:numRef>
              <c:f>List1!$D$7:$P$7</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formatCode="0">
                  <c:v>2017</c:v>
                </c:pt>
                <c:pt idx="12">
                  <c:v>2018</c:v>
                </c:pt>
              </c:numCache>
            </c:numRef>
          </c:cat>
          <c:val>
            <c:numRef>
              <c:f>List1!$D$9:$P$9</c:f>
              <c:numCache>
                <c:formatCode>General</c:formatCode>
                <c:ptCount val="13"/>
                <c:pt idx="0">
                  <c:v>6.5232010491645473</c:v>
                </c:pt>
                <c:pt idx="1">
                  <c:v>6.7874253940592588</c:v>
                </c:pt>
                <c:pt idx="2">
                  <c:v>5.647644811404076</c:v>
                </c:pt>
                <c:pt idx="3">
                  <c:v>5.2269028696553255</c:v>
                </c:pt>
                <c:pt idx="4">
                  <c:v>4.6698154434164403</c:v>
                </c:pt>
                <c:pt idx="5">
                  <c:v>4.8480825769502198</c:v>
                </c:pt>
                <c:pt idx="6">
                  <c:v>4.6153548589046745</c:v>
                </c:pt>
                <c:pt idx="7">
                  <c:v>4.585130740032632</c:v>
                </c:pt>
                <c:pt idx="8">
                  <c:v>4.8579147200478126</c:v>
                </c:pt>
                <c:pt idx="9">
                  <c:v>4.8313639561955384</c:v>
                </c:pt>
                <c:pt idx="10">
                  <c:v>4.9324903000516889</c:v>
                </c:pt>
                <c:pt idx="11">
                  <c:v>4.7759488181857295</c:v>
                </c:pt>
                <c:pt idx="12">
                  <c:v>4.3196854391175465</c:v>
                </c:pt>
              </c:numCache>
            </c:numRef>
          </c:val>
        </c:ser>
        <c:marker val="1"/>
        <c:axId val="201175040"/>
        <c:axId val="201797632"/>
      </c:lineChart>
      <c:catAx>
        <c:axId val="201175040"/>
        <c:scaling>
          <c:orientation val="minMax"/>
        </c:scaling>
        <c:axPos val="b"/>
        <c:numFmt formatCode="General" sourceLinked="1"/>
        <c:tickLblPos val="nextTo"/>
        <c:crossAx val="201797632"/>
        <c:crosses val="autoZero"/>
        <c:auto val="1"/>
        <c:lblAlgn val="ctr"/>
        <c:lblOffset val="100"/>
      </c:catAx>
      <c:valAx>
        <c:axId val="201797632"/>
        <c:scaling>
          <c:orientation val="minMax"/>
        </c:scaling>
        <c:delete val="1"/>
        <c:axPos val="l"/>
        <c:numFmt formatCode="General" sourceLinked="1"/>
        <c:tickLblPos val="none"/>
        <c:crossAx val="201175040"/>
        <c:crosses val="autoZero"/>
        <c:crossBetween val="between"/>
      </c:valAx>
    </c:plotArea>
    <c:legend>
      <c:legendPos val="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List1!$B$12</c:f>
              <c:strCache>
                <c:ptCount val="1"/>
                <c:pt idx="0">
                  <c:v>celkem</c:v>
                </c:pt>
              </c:strCache>
            </c:strRef>
          </c:tx>
          <c:dLbls>
            <c:numFmt formatCode="#,##0.0" sourceLinked="0"/>
            <c:dLblPos val="t"/>
            <c:showVal val="1"/>
          </c:dLbls>
          <c:cat>
            <c:numRef>
              <c:f>List1!$C$11:$P$11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List1!$C$12:$P$12</c:f>
              <c:numCache>
                <c:formatCode>General</c:formatCode>
                <c:ptCount val="14"/>
                <c:pt idx="0">
                  <c:v>5.2398160854999993</c:v>
                </c:pt>
                <c:pt idx="1">
                  <c:v>5.5166837159800313</c:v>
                </c:pt>
                <c:pt idx="2">
                  <c:v>5.2783501399699997</c:v>
                </c:pt>
                <c:pt idx="3">
                  <c:v>4.3274426149328997</c:v>
                </c:pt>
                <c:pt idx="4">
                  <c:v>4.2118266073271995</c:v>
                </c:pt>
                <c:pt idx="5">
                  <c:v>4.0195853940188995</c:v>
                </c:pt>
                <c:pt idx="6">
                  <c:v>3.8485326780847999</c:v>
                </c:pt>
                <c:pt idx="7">
                  <c:v>3.8526383942933773</c:v>
                </c:pt>
                <c:pt idx="8">
                  <c:v>3.7208750207604999</c:v>
                </c:pt>
                <c:pt idx="9">
                  <c:v>3.3630875954400006</c:v>
                </c:pt>
                <c:pt idx="10">
                  <c:v>3.3723429162958736</c:v>
                </c:pt>
                <c:pt idx="11">
                  <c:v>3.3006011957193997</c:v>
                </c:pt>
                <c:pt idx="12">
                  <c:v>3.2539029297633997</c:v>
                </c:pt>
                <c:pt idx="13">
                  <c:v>3.2505463301727997</c:v>
                </c:pt>
              </c:numCache>
            </c:numRef>
          </c:val>
        </c:ser>
        <c:marker val="1"/>
        <c:axId val="115992064"/>
        <c:axId val="115993600"/>
      </c:lineChart>
      <c:catAx>
        <c:axId val="115992064"/>
        <c:scaling>
          <c:orientation val="minMax"/>
        </c:scaling>
        <c:axPos val="b"/>
        <c:numFmt formatCode="General" sourceLinked="1"/>
        <c:tickLblPos val="nextTo"/>
        <c:crossAx val="115993600"/>
        <c:crosses val="autoZero"/>
        <c:auto val="1"/>
        <c:lblAlgn val="ctr"/>
        <c:lblOffset val="100"/>
      </c:catAx>
      <c:valAx>
        <c:axId val="115993600"/>
        <c:scaling>
          <c:orientation val="minMax"/>
        </c:scaling>
        <c:delete val="1"/>
        <c:axPos val="l"/>
        <c:numFmt formatCode="General" sourceLinked="1"/>
        <c:tickLblPos val="none"/>
        <c:crossAx val="115992064"/>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22020446744856192"/>
          <c:y val="0.14540819354103518"/>
          <c:w val="0.73219658731469761"/>
          <c:h val="0.79052424968618062"/>
        </c:manualLayout>
      </c:layout>
      <c:barChart>
        <c:barDir val="bar"/>
        <c:grouping val="clustered"/>
        <c:ser>
          <c:idx val="0"/>
          <c:order val="0"/>
          <c:tx>
            <c:strRef>
              <c:f>List1!$A$48</c:f>
              <c:strCache>
                <c:ptCount val="1"/>
                <c:pt idx="0">
                  <c:v>muži</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List1!$B$47:$E$47</c:f>
              <c:strCache>
                <c:ptCount val="4"/>
                <c:pt idx="0">
                  <c:v>žádná</c:v>
                </c:pt>
                <c:pt idx="1">
                  <c:v>1 až 4 knihy</c:v>
                </c:pt>
                <c:pt idx="2">
                  <c:v>5 až 9 knih</c:v>
                </c:pt>
                <c:pt idx="3">
                  <c:v>10 a více knih
a více</c:v>
                </c:pt>
              </c:strCache>
            </c:strRef>
          </c:cat>
          <c:val>
            <c:numRef>
              <c:f>List1!$B$48:$E$48</c:f>
              <c:numCache>
                <c:formatCode>General</c:formatCode>
                <c:ptCount val="4"/>
                <c:pt idx="0">
                  <c:v>0.38900000000000912</c:v>
                </c:pt>
                <c:pt idx="1">
                  <c:v>0.33600000000001023</c:v>
                </c:pt>
                <c:pt idx="2">
                  <c:v>0.13200000000000001</c:v>
                </c:pt>
                <c:pt idx="3">
                  <c:v>0.13800000000000001</c:v>
                </c:pt>
              </c:numCache>
            </c:numRef>
          </c:val>
          <c:extLst xmlns:c16r2="http://schemas.microsoft.com/office/drawing/2015/06/chart">
            <c:ext xmlns:c16="http://schemas.microsoft.com/office/drawing/2014/chart" uri="{C3380CC4-5D6E-409C-BE32-E72D297353CC}">
              <c16:uniqueId val="{00000000-A978-4809-B47D-E042B1D808E5}"/>
            </c:ext>
          </c:extLst>
        </c:ser>
        <c:ser>
          <c:idx val="1"/>
          <c:order val="1"/>
          <c:tx>
            <c:strRef>
              <c:f>List1!$A$49</c:f>
              <c:strCache>
                <c:ptCount val="1"/>
                <c:pt idx="0">
                  <c:v>ženy</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List1!$B$47:$E$47</c:f>
              <c:strCache>
                <c:ptCount val="4"/>
                <c:pt idx="0">
                  <c:v>žádná</c:v>
                </c:pt>
                <c:pt idx="1">
                  <c:v>1 až 4 knihy</c:v>
                </c:pt>
                <c:pt idx="2">
                  <c:v>5 až 9 knih</c:v>
                </c:pt>
                <c:pt idx="3">
                  <c:v>10 a více knih
a více</c:v>
                </c:pt>
              </c:strCache>
            </c:strRef>
          </c:cat>
          <c:val>
            <c:numRef>
              <c:f>List1!$B$49:$E$49</c:f>
              <c:numCache>
                <c:formatCode>General</c:formatCode>
                <c:ptCount val="4"/>
                <c:pt idx="0">
                  <c:v>0.15300000000000041</c:v>
                </c:pt>
                <c:pt idx="1">
                  <c:v>0.31300000000000588</c:v>
                </c:pt>
                <c:pt idx="2">
                  <c:v>0.22500000000000001</c:v>
                </c:pt>
                <c:pt idx="3">
                  <c:v>0.30700000000000038</c:v>
                </c:pt>
              </c:numCache>
            </c:numRef>
          </c:val>
          <c:extLst xmlns:c16r2="http://schemas.microsoft.com/office/drawing/2015/06/chart">
            <c:ext xmlns:c16="http://schemas.microsoft.com/office/drawing/2014/chart" uri="{C3380CC4-5D6E-409C-BE32-E72D297353CC}">
              <c16:uniqueId val="{00000001-A978-4809-B47D-E042B1D808E5}"/>
            </c:ext>
          </c:extLst>
        </c:ser>
        <c:axId val="117219712"/>
        <c:axId val="117221248"/>
      </c:barChart>
      <c:catAx>
        <c:axId val="117219712"/>
        <c:scaling>
          <c:orientation val="minMax"/>
        </c:scaling>
        <c:axPos val="l"/>
        <c:numFmt formatCode="General" sourceLinked="0"/>
        <c:tickLblPos val="nextTo"/>
        <c:crossAx val="117221248"/>
        <c:crosses val="autoZero"/>
        <c:auto val="1"/>
        <c:lblAlgn val="ctr"/>
        <c:lblOffset val="100"/>
      </c:catAx>
      <c:valAx>
        <c:axId val="117221248"/>
        <c:scaling>
          <c:orientation val="minMax"/>
        </c:scaling>
        <c:delete val="1"/>
        <c:axPos val="b"/>
        <c:numFmt formatCode="General" sourceLinked="1"/>
        <c:tickLblPos val="none"/>
        <c:crossAx val="117219712"/>
        <c:crosses val="autoZero"/>
        <c:crossBetween val="between"/>
      </c:valAx>
    </c:plotArea>
    <c:legend>
      <c:legendPos val="t"/>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List1!$D$4</c:f>
              <c:strCache>
                <c:ptCount val="1"/>
                <c:pt idx="0">
                  <c:v>četba alespoň jedné knihy ročně</c:v>
                </c:pt>
              </c:strCache>
            </c:strRef>
          </c:tx>
          <c:dLbls>
            <c:numFmt formatCode="0%" sourceLinked="0"/>
            <c:showVal val="1"/>
          </c:dLbls>
          <c:cat>
            <c:strRef>
              <c:f>List1!$E$3:$G$3</c:f>
              <c:strCache>
                <c:ptCount val="3"/>
                <c:pt idx="0">
                  <c:v>studenti</c:v>
                </c:pt>
                <c:pt idx="1">
                  <c:v>zaměstnaní</c:v>
                </c:pt>
                <c:pt idx="2">
                  <c:v>důchodci</c:v>
                </c:pt>
              </c:strCache>
            </c:strRef>
          </c:cat>
          <c:val>
            <c:numRef>
              <c:f>List1!$E$4:$G$4</c:f>
              <c:numCache>
                <c:formatCode>General</c:formatCode>
                <c:ptCount val="3"/>
                <c:pt idx="0">
                  <c:v>0.9</c:v>
                </c:pt>
                <c:pt idx="1">
                  <c:v>0.71000000000000063</c:v>
                </c:pt>
                <c:pt idx="2">
                  <c:v>0.76000000000000112</c:v>
                </c:pt>
              </c:numCache>
            </c:numRef>
          </c:val>
        </c:ser>
        <c:axId val="117240192"/>
        <c:axId val="117241728"/>
      </c:barChart>
      <c:lineChart>
        <c:grouping val="standard"/>
        <c:ser>
          <c:idx val="1"/>
          <c:order val="1"/>
          <c:tx>
            <c:strRef>
              <c:f>List1!$D$5</c:f>
              <c:strCache>
                <c:ptCount val="1"/>
                <c:pt idx="0">
                  <c:v>z toho četba 10 a více knih ročně</c:v>
                </c:pt>
              </c:strCache>
            </c:strRef>
          </c:tx>
          <c:spPr>
            <a:ln>
              <a:noFill/>
            </a:ln>
          </c:spPr>
          <c:marker>
            <c:symbol val="diamond"/>
            <c:size val="8"/>
            <c:spPr>
              <a:solidFill>
                <a:schemeClr val="accent6">
                  <a:lumMod val="60000"/>
                  <a:lumOff val="40000"/>
                </a:schemeClr>
              </a:solidFill>
              <a:ln>
                <a:noFill/>
              </a:ln>
            </c:spPr>
          </c:marker>
          <c:dLbls>
            <c:numFmt formatCode="0%" sourceLinked="0"/>
            <c:txPr>
              <a:bodyPr/>
              <a:lstStyle/>
              <a:p>
                <a:pPr>
                  <a:defRPr>
                    <a:solidFill>
                      <a:schemeClr val="accent6">
                        <a:lumMod val="60000"/>
                        <a:lumOff val="40000"/>
                      </a:schemeClr>
                    </a:solidFill>
                  </a:defRPr>
                </a:pPr>
                <a:endParaRPr lang="cs-CZ"/>
              </a:p>
            </c:txPr>
            <c:dLblPos val="t"/>
            <c:showVal val="1"/>
          </c:dLbls>
          <c:cat>
            <c:strRef>
              <c:f>List1!$E$3:$G$3</c:f>
              <c:strCache>
                <c:ptCount val="3"/>
                <c:pt idx="0">
                  <c:v>studenti</c:v>
                </c:pt>
                <c:pt idx="1">
                  <c:v>zaměstnaní</c:v>
                </c:pt>
                <c:pt idx="2">
                  <c:v>důchodci</c:v>
                </c:pt>
              </c:strCache>
            </c:strRef>
          </c:cat>
          <c:val>
            <c:numRef>
              <c:f>List1!$E$5:$G$5</c:f>
              <c:numCache>
                <c:formatCode>General</c:formatCode>
                <c:ptCount val="3"/>
                <c:pt idx="0">
                  <c:v>0.4</c:v>
                </c:pt>
                <c:pt idx="1">
                  <c:v>0.2</c:v>
                </c:pt>
                <c:pt idx="2">
                  <c:v>0.25</c:v>
                </c:pt>
              </c:numCache>
            </c:numRef>
          </c:val>
        </c:ser>
        <c:marker val="1"/>
        <c:axId val="117240192"/>
        <c:axId val="117241728"/>
      </c:lineChart>
      <c:catAx>
        <c:axId val="117240192"/>
        <c:scaling>
          <c:orientation val="minMax"/>
        </c:scaling>
        <c:axPos val="b"/>
        <c:tickLblPos val="nextTo"/>
        <c:crossAx val="117241728"/>
        <c:crosses val="autoZero"/>
        <c:auto val="1"/>
        <c:lblAlgn val="ctr"/>
        <c:lblOffset val="100"/>
      </c:catAx>
      <c:valAx>
        <c:axId val="117241728"/>
        <c:scaling>
          <c:orientation val="minMax"/>
        </c:scaling>
        <c:delete val="1"/>
        <c:axPos val="l"/>
        <c:numFmt formatCode="General" sourceLinked="1"/>
        <c:tickLblPos val="none"/>
        <c:crossAx val="117240192"/>
        <c:crosses val="autoZero"/>
        <c:crossBetween val="between"/>
      </c:valAx>
    </c:plotArea>
    <c:legend>
      <c:legendPos val="t"/>
    </c:legend>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List1!$J$9</c:f>
              <c:strCache>
                <c:ptCount val="1"/>
                <c:pt idx="0">
                  <c:v>muži</c:v>
                </c:pt>
              </c:strCache>
            </c:strRef>
          </c:tx>
          <c:dLbls>
            <c:numFmt formatCode="0%" sourceLinked="0"/>
            <c:showVal val="1"/>
          </c:dLbls>
          <c:cat>
            <c:strRef>
              <c:f>List1!$K$8:$N$8</c:f>
              <c:strCache>
                <c:ptCount val="4"/>
                <c:pt idx="0">
                  <c:v>nákup knih celkem</c:v>
                </c:pt>
                <c:pt idx="1">
                  <c:v>tištěné knihy</c:v>
                </c:pt>
                <c:pt idx="2">
                  <c:v>stažené e-knihy či audioknihy </c:v>
                </c:pt>
                <c:pt idx="3">
                  <c:v>audioknihy na fyzickém nosiči</c:v>
                </c:pt>
              </c:strCache>
            </c:strRef>
          </c:cat>
          <c:val>
            <c:numRef>
              <c:f>List1!$K$9:$N$9</c:f>
              <c:numCache>
                <c:formatCode>General</c:formatCode>
                <c:ptCount val="4"/>
                <c:pt idx="0">
                  <c:v>0.10760000000000013</c:v>
                </c:pt>
                <c:pt idx="1">
                  <c:v>8.9600000000000068E-2</c:v>
                </c:pt>
                <c:pt idx="2">
                  <c:v>2.5600000000000012E-2</c:v>
                </c:pt>
                <c:pt idx="3">
                  <c:v>1.3400000000000023E-2</c:v>
                </c:pt>
              </c:numCache>
            </c:numRef>
          </c:val>
        </c:ser>
        <c:ser>
          <c:idx val="1"/>
          <c:order val="1"/>
          <c:tx>
            <c:strRef>
              <c:f>List1!$J$10</c:f>
              <c:strCache>
                <c:ptCount val="1"/>
                <c:pt idx="0">
                  <c:v>ženy</c:v>
                </c:pt>
              </c:strCache>
            </c:strRef>
          </c:tx>
          <c:dLbls>
            <c:numFmt formatCode="0%" sourceLinked="0"/>
            <c:showVal val="1"/>
          </c:dLbls>
          <c:cat>
            <c:strRef>
              <c:f>List1!$K$8:$N$8</c:f>
              <c:strCache>
                <c:ptCount val="4"/>
                <c:pt idx="0">
                  <c:v>nákup knih celkem</c:v>
                </c:pt>
                <c:pt idx="1">
                  <c:v>tištěné knihy</c:v>
                </c:pt>
                <c:pt idx="2">
                  <c:v>stažené e-knihy či audioknihy </c:v>
                </c:pt>
                <c:pt idx="3">
                  <c:v>audioknihy na fyzickém nosiči</c:v>
                </c:pt>
              </c:strCache>
            </c:strRef>
          </c:cat>
          <c:val>
            <c:numRef>
              <c:f>List1!$K$10:$N$10</c:f>
              <c:numCache>
                <c:formatCode>General</c:formatCode>
                <c:ptCount val="4"/>
                <c:pt idx="0">
                  <c:v>0.15320000000000028</c:v>
                </c:pt>
                <c:pt idx="1">
                  <c:v>0.13439999999999999</c:v>
                </c:pt>
                <c:pt idx="2">
                  <c:v>2.2600000000000012E-2</c:v>
                </c:pt>
                <c:pt idx="3">
                  <c:v>1.2100000000000001E-2</c:v>
                </c:pt>
              </c:numCache>
            </c:numRef>
          </c:val>
        </c:ser>
        <c:axId val="117523968"/>
        <c:axId val="117525504"/>
      </c:barChart>
      <c:catAx>
        <c:axId val="117523968"/>
        <c:scaling>
          <c:orientation val="minMax"/>
        </c:scaling>
        <c:axPos val="b"/>
        <c:tickLblPos val="nextTo"/>
        <c:crossAx val="117525504"/>
        <c:crosses val="autoZero"/>
        <c:auto val="1"/>
        <c:lblAlgn val="ctr"/>
        <c:lblOffset val="100"/>
      </c:catAx>
      <c:valAx>
        <c:axId val="117525504"/>
        <c:scaling>
          <c:orientation val="minMax"/>
        </c:scaling>
        <c:delete val="1"/>
        <c:axPos val="l"/>
        <c:numFmt formatCode="General" sourceLinked="1"/>
        <c:tickLblPos val="none"/>
        <c:crossAx val="117523968"/>
        <c:crosses val="autoZero"/>
        <c:crossBetween val="between"/>
      </c:valAx>
    </c:plotArea>
    <c:legend>
      <c:legendPos val="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3170089520800422E-2"/>
          <c:y val="0.18063732830942217"/>
          <c:w val="0.95155344918378093"/>
          <c:h val="0.61444117031383705"/>
        </c:manualLayout>
      </c:layout>
      <c:lineChart>
        <c:grouping val="standard"/>
        <c:ser>
          <c:idx val="0"/>
          <c:order val="0"/>
          <c:tx>
            <c:strRef>
              <c:f>List1!$A$13</c:f>
              <c:strCache>
                <c:ptCount val="1"/>
                <c:pt idx="0">
                  <c:v>celkem</c:v>
                </c:pt>
              </c:strCache>
            </c:strRef>
          </c:tx>
          <c:dLbls>
            <c:numFmt formatCode="#,##0.0" sourceLinked="0"/>
            <c:dLblPos val="t"/>
            <c:showVal val="1"/>
          </c:dLbls>
          <c:cat>
            <c:strRef>
              <c:f>List1!$B$12:$O$12</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2 018</c:v>
                </c:pt>
              </c:strCache>
            </c:strRef>
          </c:cat>
          <c:val>
            <c:numRef>
              <c:f>List1!$B$13:$O$13</c:f>
              <c:numCache>
                <c:formatCode>General</c:formatCode>
                <c:ptCount val="14"/>
                <c:pt idx="0">
                  <c:v>27.277290589660989</c:v>
                </c:pt>
                <c:pt idx="1">
                  <c:v>28.952276720728783</c:v>
                </c:pt>
                <c:pt idx="2">
                  <c:v>30.229947167523829</c:v>
                </c:pt>
                <c:pt idx="3">
                  <c:v>31.364468058498126</c:v>
                </c:pt>
                <c:pt idx="4">
                  <c:v>28.409607552769184</c:v>
                </c:pt>
                <c:pt idx="5">
                  <c:v>27.136096164247789</c:v>
                </c:pt>
                <c:pt idx="6">
                  <c:v>26.228892571443154</c:v>
                </c:pt>
                <c:pt idx="7">
                  <c:v>25.074409864484068</c:v>
                </c:pt>
                <c:pt idx="8">
                  <c:v>23.622973404122909</c:v>
                </c:pt>
                <c:pt idx="9">
                  <c:v>23.258889783339189</c:v>
                </c:pt>
                <c:pt idx="10">
                  <c:v>23.026528996767013</c:v>
                </c:pt>
                <c:pt idx="11">
                  <c:v>23.671822430601907</c:v>
                </c:pt>
                <c:pt idx="12">
                  <c:v>21.728060407214297</c:v>
                </c:pt>
                <c:pt idx="13">
                  <c:v>22.496150660913511</c:v>
                </c:pt>
              </c:numCache>
            </c:numRef>
          </c:val>
        </c:ser>
        <c:ser>
          <c:idx val="1"/>
          <c:order val="1"/>
          <c:tx>
            <c:strRef>
              <c:f>List1!$A$14</c:f>
              <c:strCache>
                <c:ptCount val="1"/>
                <c:pt idx="0">
                  <c:v>z toho maloobchodní prodej</c:v>
                </c:pt>
              </c:strCache>
            </c:strRef>
          </c:tx>
          <c:dLbls>
            <c:numFmt formatCode="#,##0.0" sourceLinked="0"/>
            <c:dLblPos val="t"/>
            <c:showVal val="1"/>
          </c:dLbls>
          <c:cat>
            <c:strRef>
              <c:f>List1!$B$12:$O$12</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2 018</c:v>
                </c:pt>
              </c:strCache>
            </c:strRef>
          </c:cat>
          <c:val>
            <c:numRef>
              <c:f>List1!$B$14:$O$14</c:f>
              <c:numCache>
                <c:formatCode>General</c:formatCode>
                <c:ptCount val="14"/>
                <c:pt idx="0">
                  <c:v>6.6708978955225824</c:v>
                </c:pt>
                <c:pt idx="1">
                  <c:v>6.8373813106538464</c:v>
                </c:pt>
                <c:pt idx="2">
                  <c:v>7.5014578700223264</c:v>
                </c:pt>
                <c:pt idx="3">
                  <c:v>7.050752351400936</c:v>
                </c:pt>
                <c:pt idx="4">
                  <c:v>6.2951637351581313</c:v>
                </c:pt>
                <c:pt idx="5">
                  <c:v>6.2525000647164282</c:v>
                </c:pt>
                <c:pt idx="6">
                  <c:v>6.2453805690023465</c:v>
                </c:pt>
                <c:pt idx="7">
                  <c:v>6.1040875640923256</c:v>
                </c:pt>
                <c:pt idx="8">
                  <c:v>5.8861541476614745</c:v>
                </c:pt>
                <c:pt idx="9">
                  <c:v>6.5378932841359179</c:v>
                </c:pt>
                <c:pt idx="10">
                  <c:v>6.6470232705983445</c:v>
                </c:pt>
                <c:pt idx="11">
                  <c:v>6.8812784745731488</c:v>
                </c:pt>
                <c:pt idx="12">
                  <c:v>5.0280432818862941</c:v>
                </c:pt>
                <c:pt idx="13">
                  <c:v>5.0621662123248496</c:v>
                </c:pt>
              </c:numCache>
            </c:numRef>
          </c:val>
        </c:ser>
        <c:marker val="1"/>
        <c:axId val="117559296"/>
        <c:axId val="117560832"/>
      </c:lineChart>
      <c:catAx>
        <c:axId val="117559296"/>
        <c:scaling>
          <c:orientation val="minMax"/>
        </c:scaling>
        <c:axPos val="b"/>
        <c:tickLblPos val="nextTo"/>
        <c:crossAx val="117560832"/>
        <c:crosses val="autoZero"/>
        <c:auto val="1"/>
        <c:lblAlgn val="ctr"/>
        <c:lblOffset val="100"/>
      </c:catAx>
      <c:valAx>
        <c:axId val="117560832"/>
        <c:scaling>
          <c:orientation val="minMax"/>
        </c:scaling>
        <c:delete val="1"/>
        <c:axPos val="l"/>
        <c:numFmt formatCode="General" sourceLinked="1"/>
        <c:tickLblPos val="none"/>
        <c:crossAx val="117559296"/>
        <c:crosses val="autoZero"/>
        <c:crossBetween val="between"/>
      </c:valAx>
    </c:plotArea>
    <c:legend>
      <c:legendPos val="t"/>
      <c:layout>
        <c:manualLayout>
          <c:xMode val="edge"/>
          <c:yMode val="edge"/>
          <c:x val="0.25737126461088239"/>
          <c:y val="0"/>
          <c:w val="0.48525747077823805"/>
          <c:h val="0.14791749190860437"/>
        </c:manualLayout>
      </c:layout>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809745982374639E-2"/>
          <c:y val="0.30421069780070797"/>
          <c:w val="0.9440124416796265"/>
          <c:h val="0.46542926961716163"/>
        </c:manualLayout>
      </c:layout>
      <c:lineChart>
        <c:grouping val="standard"/>
        <c:ser>
          <c:idx val="0"/>
          <c:order val="0"/>
          <c:tx>
            <c:strRef>
              <c:f>List1!$A$12</c:f>
              <c:strCache>
                <c:ptCount val="1"/>
                <c:pt idx="0">
                  <c:v>celkem</c:v>
                </c:pt>
              </c:strCache>
            </c:strRef>
          </c:tx>
          <c:dLbls>
            <c:numFmt formatCode="#,##0.0" sourceLinked="0"/>
            <c:dLblPos val="t"/>
            <c:showVal val="1"/>
          </c:dLbls>
          <c:cat>
            <c:numRef>
              <c:f>List1!$B$11:$P$11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List1!$B$12:$P$12</c:f>
              <c:numCache>
                <c:formatCode>General</c:formatCode>
                <c:ptCount val="15"/>
                <c:pt idx="0">
                  <c:v>4.399</c:v>
                </c:pt>
                <c:pt idx="1">
                  <c:v>4.8319999999999999</c:v>
                </c:pt>
                <c:pt idx="2">
                  <c:v>4.9470000000000001</c:v>
                </c:pt>
                <c:pt idx="3">
                  <c:v>5.6869999999999985</c:v>
                </c:pt>
                <c:pt idx="4">
                  <c:v>5.4809999999999999</c:v>
                </c:pt>
                <c:pt idx="5">
                  <c:v>5.2650000000000006</c:v>
                </c:pt>
                <c:pt idx="6">
                  <c:v>5.0979999999999945</c:v>
                </c:pt>
                <c:pt idx="7">
                  <c:v>5.0280000000000005</c:v>
                </c:pt>
                <c:pt idx="8">
                  <c:v>5.0169999999999995</c:v>
                </c:pt>
                <c:pt idx="9">
                  <c:v>5.1269999999999945</c:v>
                </c:pt>
                <c:pt idx="10">
                  <c:v>5.1819999999999995</c:v>
                </c:pt>
                <c:pt idx="11">
                  <c:v>5.234</c:v>
                </c:pt>
                <c:pt idx="12">
                  <c:v>5.298</c:v>
                </c:pt>
                <c:pt idx="13">
                  <c:v>5.383</c:v>
                </c:pt>
                <c:pt idx="14">
                  <c:v>5.4669999999999996</c:v>
                </c:pt>
              </c:numCache>
            </c:numRef>
          </c:val>
        </c:ser>
        <c:ser>
          <c:idx val="1"/>
          <c:order val="1"/>
          <c:tx>
            <c:strRef>
              <c:f>List1!$A$13</c:f>
              <c:strCache>
                <c:ptCount val="1"/>
                <c:pt idx="0">
                  <c:v>tituly novin</c:v>
                </c:pt>
              </c:strCache>
            </c:strRef>
          </c:tx>
          <c:dLbls>
            <c:numFmt formatCode="#,##0.0" sourceLinked="0"/>
            <c:dLblPos val="t"/>
            <c:showVal val="1"/>
          </c:dLbls>
          <c:cat>
            <c:numRef>
              <c:f>List1!$B$11:$P$11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List1!$B$13:$P$13</c:f>
              <c:numCache>
                <c:formatCode>General</c:formatCode>
                <c:ptCount val="15"/>
                <c:pt idx="0">
                  <c:v>1.4059999999999881</c:v>
                </c:pt>
                <c:pt idx="1">
                  <c:v>1.589</c:v>
                </c:pt>
                <c:pt idx="2">
                  <c:v>1.5109999999999939</c:v>
                </c:pt>
                <c:pt idx="3">
                  <c:v>1.7369999999999932</c:v>
                </c:pt>
                <c:pt idx="4">
                  <c:v>1.6830000000000001</c:v>
                </c:pt>
                <c:pt idx="5">
                  <c:v>1.6620000000000001</c:v>
                </c:pt>
                <c:pt idx="6">
                  <c:v>1.522</c:v>
                </c:pt>
                <c:pt idx="7">
                  <c:v>1.381</c:v>
                </c:pt>
                <c:pt idx="8">
                  <c:v>1.391</c:v>
                </c:pt>
                <c:pt idx="9">
                  <c:v>1.3940000000000001</c:v>
                </c:pt>
                <c:pt idx="10">
                  <c:v>1.5</c:v>
                </c:pt>
                <c:pt idx="11">
                  <c:v>1.46</c:v>
                </c:pt>
                <c:pt idx="12">
                  <c:v>1.4689999999999932</c:v>
                </c:pt>
                <c:pt idx="13">
                  <c:v>1.476</c:v>
                </c:pt>
                <c:pt idx="14">
                  <c:v>1.4409999999999927</c:v>
                </c:pt>
              </c:numCache>
            </c:numRef>
          </c:val>
        </c:ser>
        <c:marker val="1"/>
        <c:axId val="117577984"/>
        <c:axId val="117583872"/>
      </c:lineChart>
      <c:catAx>
        <c:axId val="117577984"/>
        <c:scaling>
          <c:orientation val="minMax"/>
        </c:scaling>
        <c:axPos val="b"/>
        <c:numFmt formatCode="General" sourceLinked="1"/>
        <c:tickLblPos val="nextTo"/>
        <c:crossAx val="117583872"/>
        <c:crosses val="autoZero"/>
        <c:auto val="1"/>
        <c:lblAlgn val="ctr"/>
        <c:lblOffset val="100"/>
      </c:catAx>
      <c:valAx>
        <c:axId val="117583872"/>
        <c:scaling>
          <c:orientation val="minMax"/>
        </c:scaling>
        <c:delete val="1"/>
        <c:axPos val="l"/>
        <c:numFmt formatCode="General" sourceLinked="1"/>
        <c:tickLblPos val="none"/>
        <c:crossAx val="117577984"/>
        <c:crosses val="autoZero"/>
        <c:crossBetween val="between"/>
      </c:valAx>
    </c:plotArea>
    <c:legend>
      <c:legendPos val="t"/>
      <c:layout>
        <c:manualLayout>
          <c:xMode val="edge"/>
          <c:yMode val="edge"/>
          <c:x val="0.34704808088724737"/>
          <c:y val="0"/>
          <c:w val="0.30590367494887655"/>
          <c:h val="0.16627966331794733"/>
        </c:manualLayout>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List1!$A$17</c:f>
              <c:strCache>
                <c:ptCount val="1"/>
                <c:pt idx="0">
                  <c:v>celkem</c:v>
                </c:pt>
              </c:strCache>
            </c:strRef>
          </c:tx>
          <c:dLbls>
            <c:numFmt formatCode="#,##0.0" sourceLinked="0"/>
            <c:dLblPos val="t"/>
            <c:showVal val="1"/>
          </c:dLbls>
          <c:cat>
            <c:strRef>
              <c:f>List1!$B$16:$O$16</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List1!$B$17:$O$17</c:f>
              <c:numCache>
                <c:formatCode>General</c:formatCode>
                <c:ptCount val="14"/>
                <c:pt idx="0">
                  <c:v>9.9727644984700028</c:v>
                </c:pt>
                <c:pt idx="1">
                  <c:v>10.433365017450001</c:v>
                </c:pt>
                <c:pt idx="2">
                  <c:v>10.1245897944</c:v>
                </c:pt>
                <c:pt idx="3">
                  <c:v>9.6130514441312478</c:v>
                </c:pt>
                <c:pt idx="4">
                  <c:v>9.5581858364176266</c:v>
                </c:pt>
                <c:pt idx="5">
                  <c:v>9.2455569915755991</c:v>
                </c:pt>
                <c:pt idx="6">
                  <c:v>8.6612055741749003</c:v>
                </c:pt>
                <c:pt idx="7">
                  <c:v>8.4968449472299685</c:v>
                </c:pt>
                <c:pt idx="8">
                  <c:v>8.1654326210411572</c:v>
                </c:pt>
                <c:pt idx="9">
                  <c:v>8.0493085075592017</c:v>
                </c:pt>
                <c:pt idx="10">
                  <c:v>7.9968442180525008</c:v>
                </c:pt>
                <c:pt idx="11">
                  <c:v>8.0029050329506006</c:v>
                </c:pt>
                <c:pt idx="12">
                  <c:v>7.1893476116759985</c:v>
                </c:pt>
                <c:pt idx="13">
                  <c:v>6.9935366687901945</c:v>
                </c:pt>
              </c:numCache>
            </c:numRef>
          </c:val>
        </c:ser>
        <c:ser>
          <c:idx val="1"/>
          <c:order val="1"/>
          <c:tx>
            <c:strRef>
              <c:f>List1!$A$18</c:f>
              <c:strCache>
                <c:ptCount val="1"/>
                <c:pt idx="0">
                  <c:v>z toho vydávání novin</c:v>
                </c:pt>
              </c:strCache>
            </c:strRef>
          </c:tx>
          <c:dLbls>
            <c:numFmt formatCode="#,##0.0" sourceLinked="0"/>
            <c:dLblPos val="t"/>
            <c:showVal val="1"/>
          </c:dLbls>
          <c:cat>
            <c:strRef>
              <c:f>List1!$B$16:$O$16</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List1!$B$18:$O$18</c:f>
              <c:numCache>
                <c:formatCode>General</c:formatCode>
                <c:ptCount val="14"/>
                <c:pt idx="0">
                  <c:v>4.3347096728799945</c:v>
                </c:pt>
                <c:pt idx="1">
                  <c:v>4.6712713654700124</c:v>
                </c:pt>
                <c:pt idx="2">
                  <c:v>4.7276430413999995</c:v>
                </c:pt>
                <c:pt idx="3">
                  <c:v>4.2836559957796343</c:v>
                </c:pt>
                <c:pt idx="4">
                  <c:v>4.0870311193956965</c:v>
                </c:pt>
                <c:pt idx="5">
                  <c:v>3.8065336681205002</c:v>
                </c:pt>
                <c:pt idx="6">
                  <c:v>3.8299170927160002</c:v>
                </c:pt>
                <c:pt idx="7">
                  <c:v>3.5248643468859129</c:v>
                </c:pt>
                <c:pt idx="8">
                  <c:v>3.2942571965231977</c:v>
                </c:pt>
                <c:pt idx="9">
                  <c:v>3.4672873797098003</c:v>
                </c:pt>
                <c:pt idx="10">
                  <c:v>3.656612913207784</c:v>
                </c:pt>
                <c:pt idx="11">
                  <c:v>3.7637730731579211</c:v>
                </c:pt>
                <c:pt idx="12">
                  <c:v>3.5979733377976002</c:v>
                </c:pt>
                <c:pt idx="13">
                  <c:v>3.4684883525140995</c:v>
                </c:pt>
              </c:numCache>
            </c:numRef>
          </c:val>
        </c:ser>
        <c:ser>
          <c:idx val="2"/>
          <c:order val="2"/>
          <c:tx>
            <c:strRef>
              <c:f>List1!$A$19</c:f>
              <c:strCache>
                <c:ptCount val="1"/>
                <c:pt idx="0">
                  <c:v>z toho vydávání časopisů</c:v>
                </c:pt>
              </c:strCache>
            </c:strRef>
          </c:tx>
          <c:dLbls>
            <c:numFmt formatCode="#,##0.0" sourceLinked="0"/>
            <c:dLblPos val="b"/>
            <c:showVal val="1"/>
          </c:dLbls>
          <c:cat>
            <c:strRef>
              <c:f>List1!$B$16:$O$16</c:f>
              <c:strCach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strCache>
            </c:strRef>
          </c:cat>
          <c:val>
            <c:numRef>
              <c:f>List1!$B$19:$O$19</c:f>
              <c:numCache>
                <c:formatCode>General</c:formatCode>
                <c:ptCount val="14"/>
                <c:pt idx="0">
                  <c:v>3.3261827441599996</c:v>
                </c:pt>
                <c:pt idx="1">
                  <c:v>3.3062648366899987</c:v>
                </c:pt>
                <c:pt idx="2">
                  <c:v>3.2097279640600012</c:v>
                </c:pt>
                <c:pt idx="3">
                  <c:v>3.5742991278427994</c:v>
                </c:pt>
                <c:pt idx="4">
                  <c:v>3.7623598296559</c:v>
                </c:pt>
                <c:pt idx="5">
                  <c:v>3.6606940776650156</c:v>
                </c:pt>
                <c:pt idx="6">
                  <c:v>3.2406937197524166</c:v>
                </c:pt>
                <c:pt idx="7">
                  <c:v>3.2953527782010092</c:v>
                </c:pt>
                <c:pt idx="8">
                  <c:v>3.138088833794185</c:v>
                </c:pt>
                <c:pt idx="9">
                  <c:v>2.7135846275514175</c:v>
                </c:pt>
                <c:pt idx="10">
                  <c:v>2.5309371546436004</c:v>
                </c:pt>
                <c:pt idx="11">
                  <c:v>2.4393990263536987</c:v>
                </c:pt>
                <c:pt idx="12">
                  <c:v>2.2658400835597967</c:v>
                </c:pt>
                <c:pt idx="13">
                  <c:v>2.2501050214507994</c:v>
                </c:pt>
              </c:numCache>
            </c:numRef>
          </c:val>
        </c:ser>
        <c:marker val="1"/>
        <c:axId val="117606272"/>
        <c:axId val="117607808"/>
      </c:lineChart>
      <c:catAx>
        <c:axId val="117606272"/>
        <c:scaling>
          <c:orientation val="minMax"/>
        </c:scaling>
        <c:axPos val="b"/>
        <c:tickLblPos val="nextTo"/>
        <c:crossAx val="117607808"/>
        <c:crosses val="autoZero"/>
        <c:auto val="1"/>
        <c:lblAlgn val="ctr"/>
        <c:lblOffset val="100"/>
      </c:catAx>
      <c:valAx>
        <c:axId val="117607808"/>
        <c:scaling>
          <c:orientation val="minMax"/>
        </c:scaling>
        <c:delete val="1"/>
        <c:axPos val="l"/>
        <c:numFmt formatCode="General" sourceLinked="1"/>
        <c:tickLblPos val="none"/>
        <c:crossAx val="117606272"/>
        <c:crosses val="autoZero"/>
        <c:crossBetween val="between"/>
      </c:valAx>
    </c:plotArea>
    <c:legend>
      <c:legendPos val="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stacked"/>
        <c:ser>
          <c:idx val="0"/>
          <c:order val="0"/>
          <c:tx>
            <c:strRef>
              <c:f>List1!$A$9</c:f>
              <c:strCache>
                <c:ptCount val="1"/>
                <c:pt idx="0">
                  <c:v>Kreativní průmysly</c:v>
                </c:pt>
              </c:strCache>
            </c:strRef>
          </c:tx>
          <c:dLbls>
            <c:txPr>
              <a:bodyPr/>
              <a:lstStyle/>
              <a:p>
                <a:pPr>
                  <a:defRPr>
                    <a:solidFill>
                      <a:schemeClr val="accent6">
                        <a:lumMod val="60000"/>
                        <a:lumOff val="40000"/>
                      </a:schemeClr>
                    </a:solidFill>
                  </a:defRPr>
                </a:pPr>
                <a:endParaRPr lang="cs-CZ"/>
              </a:p>
            </c:txPr>
            <c:showVal val="1"/>
          </c:dLbls>
          <c:cat>
            <c:numRef>
              <c:f>List1!$B$8:$J$8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List1!$B$9:$J$9</c:f>
              <c:numCache>
                <c:formatCode>General</c:formatCode>
                <c:ptCount val="9"/>
                <c:pt idx="0">
                  <c:v>22.8</c:v>
                </c:pt>
                <c:pt idx="1">
                  <c:v>21.9</c:v>
                </c:pt>
                <c:pt idx="2">
                  <c:v>21.1</c:v>
                </c:pt>
                <c:pt idx="3">
                  <c:v>19.899999999999999</c:v>
                </c:pt>
                <c:pt idx="4">
                  <c:v>19.399999999999999</c:v>
                </c:pt>
                <c:pt idx="5">
                  <c:v>19.7</c:v>
                </c:pt>
                <c:pt idx="6">
                  <c:v>20.5</c:v>
                </c:pt>
                <c:pt idx="7">
                  <c:v>21.9</c:v>
                </c:pt>
                <c:pt idx="8">
                  <c:v>22.8</c:v>
                </c:pt>
              </c:numCache>
            </c:numRef>
          </c:val>
        </c:ser>
        <c:ser>
          <c:idx val="1"/>
          <c:order val="1"/>
          <c:tx>
            <c:strRef>
              <c:f>List1!$A$10</c:f>
              <c:strCache>
                <c:ptCount val="1"/>
                <c:pt idx="0">
                  <c:v>Kulturní průmysly</c:v>
                </c:pt>
              </c:strCache>
            </c:strRef>
          </c:tx>
          <c:dLbls>
            <c:showVal val="1"/>
          </c:dLbls>
          <c:cat>
            <c:numRef>
              <c:f>List1!$B$8:$J$8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List1!$B$10:$J$10</c:f>
              <c:numCache>
                <c:formatCode>General</c:formatCode>
                <c:ptCount val="9"/>
                <c:pt idx="0">
                  <c:v>26.1</c:v>
                </c:pt>
                <c:pt idx="1">
                  <c:v>23.3</c:v>
                </c:pt>
                <c:pt idx="2">
                  <c:v>22.5</c:v>
                </c:pt>
                <c:pt idx="3">
                  <c:v>22.6</c:v>
                </c:pt>
                <c:pt idx="4">
                  <c:v>23.4</c:v>
                </c:pt>
                <c:pt idx="5">
                  <c:v>29.4</c:v>
                </c:pt>
                <c:pt idx="6">
                  <c:v>27.8</c:v>
                </c:pt>
                <c:pt idx="7">
                  <c:v>22.3</c:v>
                </c:pt>
                <c:pt idx="8">
                  <c:v>24.6</c:v>
                </c:pt>
              </c:numCache>
            </c:numRef>
          </c:val>
        </c:ser>
        <c:ser>
          <c:idx val="2"/>
          <c:order val="2"/>
          <c:tx>
            <c:strRef>
              <c:f>List1!$A$11</c:f>
              <c:strCache>
                <c:ptCount val="1"/>
                <c:pt idx="0">
                  <c:v>Tradiční odvětví</c:v>
                </c:pt>
              </c:strCache>
            </c:strRef>
          </c:tx>
          <c:dLbls>
            <c:showVal val="1"/>
          </c:dLbls>
          <c:cat>
            <c:numRef>
              <c:f>List1!$B$8:$J$8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List1!$B$11:$J$11</c:f>
              <c:numCache>
                <c:formatCode>General</c:formatCode>
                <c:ptCount val="9"/>
                <c:pt idx="0">
                  <c:v>32.4</c:v>
                </c:pt>
                <c:pt idx="1">
                  <c:v>33.6</c:v>
                </c:pt>
                <c:pt idx="2">
                  <c:v>33.200000000000003</c:v>
                </c:pt>
                <c:pt idx="3">
                  <c:v>36.200000000000003</c:v>
                </c:pt>
                <c:pt idx="4">
                  <c:v>35.300000000000004</c:v>
                </c:pt>
                <c:pt idx="5">
                  <c:v>37.5</c:v>
                </c:pt>
                <c:pt idx="6">
                  <c:v>37.5</c:v>
                </c:pt>
                <c:pt idx="7">
                  <c:v>37.300000000000004</c:v>
                </c:pt>
                <c:pt idx="8">
                  <c:v>38.200000000000003</c:v>
                </c:pt>
              </c:numCache>
            </c:numRef>
          </c:val>
        </c:ser>
        <c:overlap val="100"/>
        <c:axId val="187622912"/>
        <c:axId val="187636352"/>
      </c:barChart>
      <c:catAx>
        <c:axId val="187622912"/>
        <c:scaling>
          <c:orientation val="minMax"/>
        </c:scaling>
        <c:axPos val="b"/>
        <c:numFmt formatCode="General" sourceLinked="1"/>
        <c:tickLblPos val="nextTo"/>
        <c:crossAx val="187636352"/>
        <c:crosses val="autoZero"/>
        <c:auto val="1"/>
        <c:lblAlgn val="ctr"/>
        <c:lblOffset val="100"/>
      </c:catAx>
      <c:valAx>
        <c:axId val="187636352"/>
        <c:scaling>
          <c:orientation val="minMax"/>
        </c:scaling>
        <c:axPos val="l"/>
        <c:majorGridlines/>
        <c:numFmt formatCode="General" sourceLinked="1"/>
        <c:tickLblPos val="nextTo"/>
        <c:crossAx val="187622912"/>
        <c:crosses val="autoZero"/>
        <c:crossBetween val="between"/>
      </c:valAx>
    </c:plotArea>
    <c:legend>
      <c:legendPos val="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List1!$A$9</c:f>
              <c:strCache>
                <c:ptCount val="1"/>
                <c:pt idx="0">
                  <c:v>2019</c:v>
                </c:pt>
              </c:strCache>
            </c:strRef>
          </c:tx>
          <c:dLbls>
            <c:numFmt formatCode="#,##0.0" sourceLinked="0"/>
            <c:showVal val="1"/>
          </c:dLbls>
          <c:cat>
            <c:strRef>
              <c:f>List1!$B$8:$E$8</c:f>
              <c:strCache>
                <c:ptCount val="4"/>
                <c:pt idx="0">
                  <c:v>březen</c:v>
                </c:pt>
                <c:pt idx="1">
                  <c:v>duben</c:v>
                </c:pt>
                <c:pt idx="2">
                  <c:v>kveten</c:v>
                </c:pt>
                <c:pt idx="3">
                  <c:v>červen</c:v>
                </c:pt>
              </c:strCache>
            </c:strRef>
          </c:cat>
          <c:val>
            <c:numRef>
              <c:f>List1!$B$9:$E$9</c:f>
              <c:numCache>
                <c:formatCode>General</c:formatCode>
                <c:ptCount val="4"/>
                <c:pt idx="0">
                  <c:v>1.5389999999999977</c:v>
                </c:pt>
                <c:pt idx="1">
                  <c:v>1.7409999999999977</c:v>
                </c:pt>
                <c:pt idx="2">
                  <c:v>1.8779999999999977</c:v>
                </c:pt>
                <c:pt idx="3">
                  <c:v>1.821</c:v>
                </c:pt>
              </c:numCache>
            </c:numRef>
          </c:val>
        </c:ser>
        <c:ser>
          <c:idx val="1"/>
          <c:order val="1"/>
          <c:tx>
            <c:strRef>
              <c:f>List1!$A$10</c:f>
              <c:strCache>
                <c:ptCount val="1"/>
                <c:pt idx="0">
                  <c:v>2020</c:v>
                </c:pt>
              </c:strCache>
            </c:strRef>
          </c:tx>
          <c:dLbls>
            <c:numFmt formatCode="#,##0.0" sourceLinked="0"/>
            <c:showVal val="1"/>
          </c:dLbls>
          <c:cat>
            <c:strRef>
              <c:f>List1!$B$8:$E$8</c:f>
              <c:strCache>
                <c:ptCount val="4"/>
                <c:pt idx="0">
                  <c:v>březen</c:v>
                </c:pt>
                <c:pt idx="1">
                  <c:v>duben</c:v>
                </c:pt>
                <c:pt idx="2">
                  <c:v>kveten</c:v>
                </c:pt>
                <c:pt idx="3">
                  <c:v>červen</c:v>
                </c:pt>
              </c:strCache>
            </c:strRef>
          </c:cat>
          <c:val>
            <c:numRef>
              <c:f>List1!$B$10:$E$10</c:f>
              <c:numCache>
                <c:formatCode>General</c:formatCode>
                <c:ptCount val="4"/>
                <c:pt idx="0">
                  <c:v>1.4309999999999974</c:v>
                </c:pt>
                <c:pt idx="1">
                  <c:v>1.1439999999999977</c:v>
                </c:pt>
                <c:pt idx="2">
                  <c:v>1.141</c:v>
                </c:pt>
                <c:pt idx="3">
                  <c:v>1.4889999999999977</c:v>
                </c:pt>
              </c:numCache>
            </c:numRef>
          </c:val>
        </c:ser>
        <c:axId val="117907840"/>
        <c:axId val="117909376"/>
      </c:barChart>
      <c:catAx>
        <c:axId val="117907840"/>
        <c:scaling>
          <c:orientation val="minMax"/>
        </c:scaling>
        <c:axPos val="b"/>
        <c:tickLblPos val="nextTo"/>
        <c:crossAx val="117909376"/>
        <c:crosses val="autoZero"/>
        <c:auto val="1"/>
        <c:lblAlgn val="ctr"/>
        <c:lblOffset val="100"/>
      </c:catAx>
      <c:valAx>
        <c:axId val="117909376"/>
        <c:scaling>
          <c:orientation val="minMax"/>
        </c:scaling>
        <c:delete val="1"/>
        <c:axPos val="l"/>
        <c:numFmt formatCode="General" sourceLinked="1"/>
        <c:tickLblPos val="none"/>
        <c:crossAx val="117907840"/>
        <c:crosses val="autoZero"/>
        <c:crossBetween val="between"/>
      </c:valAx>
    </c:plotArea>
    <c:legend>
      <c:legendPos val="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List1!$A$2</c:f>
              <c:strCache>
                <c:ptCount val="1"/>
                <c:pt idx="0">
                  <c:v>jednotlivci 16+</c:v>
                </c:pt>
              </c:strCache>
            </c:strRef>
          </c:tx>
          <c:dLbls>
            <c:numFmt formatCode="0%" sourceLinked="0"/>
            <c:showVal val="1"/>
          </c:dLbls>
          <c:cat>
            <c:numRef>
              <c:f>List1!$B$1:$F$1</c:f>
              <c:numCache>
                <c:formatCode>General</c:formatCode>
                <c:ptCount val="5"/>
                <c:pt idx="0">
                  <c:v>2011</c:v>
                </c:pt>
                <c:pt idx="1">
                  <c:v>2013</c:v>
                </c:pt>
                <c:pt idx="2">
                  <c:v>2015</c:v>
                </c:pt>
                <c:pt idx="3">
                  <c:v>2017</c:v>
                </c:pt>
                <c:pt idx="4">
                  <c:v>2019</c:v>
                </c:pt>
              </c:numCache>
            </c:numRef>
          </c:cat>
          <c:val>
            <c:numRef>
              <c:f>List1!$B$2:$F$2</c:f>
              <c:numCache>
                <c:formatCode>General</c:formatCode>
                <c:ptCount val="5"/>
                <c:pt idx="0">
                  <c:v>0.5</c:v>
                </c:pt>
                <c:pt idx="1">
                  <c:v>0.60000000000000064</c:v>
                </c:pt>
                <c:pt idx="2">
                  <c:v>0.65000000000000302</c:v>
                </c:pt>
                <c:pt idx="3">
                  <c:v>0.71000000000000063</c:v>
                </c:pt>
                <c:pt idx="4">
                  <c:v>0.74400000000000255</c:v>
                </c:pt>
              </c:numCache>
            </c:numRef>
          </c:val>
        </c:ser>
        <c:ser>
          <c:idx val="1"/>
          <c:order val="1"/>
          <c:tx>
            <c:strRef>
              <c:f>List1!$A$3</c:f>
              <c:strCache>
                <c:ptCount val="1"/>
                <c:pt idx="0">
                  <c:v>jednotlivci 16+ používající internet</c:v>
                </c:pt>
              </c:strCache>
            </c:strRef>
          </c:tx>
          <c:dLbls>
            <c:numFmt formatCode="0%" sourceLinked="0"/>
            <c:showVal val="1"/>
          </c:dLbls>
          <c:cat>
            <c:numRef>
              <c:f>List1!$B$1:$F$1</c:f>
              <c:numCache>
                <c:formatCode>General</c:formatCode>
                <c:ptCount val="5"/>
                <c:pt idx="0">
                  <c:v>2011</c:v>
                </c:pt>
                <c:pt idx="1">
                  <c:v>2013</c:v>
                </c:pt>
                <c:pt idx="2">
                  <c:v>2015</c:v>
                </c:pt>
                <c:pt idx="3">
                  <c:v>2017</c:v>
                </c:pt>
                <c:pt idx="4">
                  <c:v>2019</c:v>
                </c:pt>
              </c:numCache>
            </c:numRef>
          </c:cat>
          <c:val>
            <c:numRef>
              <c:f>List1!$B$3:$F$3</c:f>
              <c:numCache>
                <c:formatCode>General</c:formatCode>
                <c:ptCount val="5"/>
                <c:pt idx="0">
                  <c:v>0.7600000000000029</c:v>
                </c:pt>
                <c:pt idx="1">
                  <c:v>0.85000000000000064</c:v>
                </c:pt>
                <c:pt idx="2">
                  <c:v>0.86000000000000065</c:v>
                </c:pt>
                <c:pt idx="3">
                  <c:v>0.91</c:v>
                </c:pt>
                <c:pt idx="4">
                  <c:v>0.92</c:v>
                </c:pt>
              </c:numCache>
            </c:numRef>
          </c:val>
        </c:ser>
        <c:axId val="117922432"/>
        <c:axId val="117932416"/>
      </c:barChart>
      <c:catAx>
        <c:axId val="117922432"/>
        <c:scaling>
          <c:orientation val="minMax"/>
        </c:scaling>
        <c:axPos val="b"/>
        <c:numFmt formatCode="General" sourceLinked="1"/>
        <c:tickLblPos val="nextTo"/>
        <c:crossAx val="117932416"/>
        <c:crosses val="autoZero"/>
        <c:auto val="1"/>
        <c:lblAlgn val="ctr"/>
        <c:lblOffset val="100"/>
      </c:catAx>
      <c:valAx>
        <c:axId val="117932416"/>
        <c:scaling>
          <c:orientation val="minMax"/>
        </c:scaling>
        <c:delete val="1"/>
        <c:axPos val="l"/>
        <c:numFmt formatCode="General" sourceLinked="1"/>
        <c:tickLblPos val="none"/>
        <c:crossAx val="117922432"/>
        <c:crosses val="autoZero"/>
        <c:crossBetween val="between"/>
      </c:valAx>
    </c:plotArea>
    <c:legend>
      <c:legendPos val="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633744855967201E-2"/>
          <c:y val="0.27430305586801651"/>
          <c:w val="0.94650205761316875"/>
          <c:h val="0.57657995875515555"/>
        </c:manualLayout>
      </c:layout>
      <c:lineChart>
        <c:grouping val="standard"/>
        <c:ser>
          <c:idx val="0"/>
          <c:order val="0"/>
          <c:tx>
            <c:strRef>
              <c:f>List1!$B$31</c:f>
              <c:strCache>
                <c:ptCount val="1"/>
                <c:pt idx="0">
                  <c:v>osoby starší 16 let</c:v>
                </c:pt>
              </c:strCache>
            </c:strRef>
          </c:tx>
          <c:dLbls>
            <c:dLbl>
              <c:idx val="6"/>
              <c:layout>
                <c:manualLayout>
                  <c:x val="-2.9843491785749117E-4"/>
                  <c:y val="1.4158381717436835E-2"/>
                </c:manualLayout>
              </c:layout>
              <c:dLblPos val="r"/>
              <c:showVal val="1"/>
            </c:dLbl>
            <c:numFmt formatCode="0%" sourceLinked="0"/>
            <c:dLblPos val="b"/>
            <c:showVal val="1"/>
          </c:dLbls>
          <c:cat>
            <c:strRef>
              <c:f>List1!$A$32:$A$38</c:f>
              <c:strCache>
                <c:ptCount val="7"/>
                <c:pt idx="0">
                  <c:v>16–24 let</c:v>
                </c:pt>
                <c:pt idx="1">
                  <c:v>25–34 let</c:v>
                </c:pt>
                <c:pt idx="2">
                  <c:v>35–44 let</c:v>
                </c:pt>
                <c:pt idx="3">
                  <c:v>45–54 let</c:v>
                </c:pt>
                <c:pt idx="4">
                  <c:v>55–64 let</c:v>
                </c:pt>
                <c:pt idx="5">
                  <c:v>65-74</c:v>
                </c:pt>
                <c:pt idx="6">
                  <c:v>75+</c:v>
                </c:pt>
              </c:strCache>
            </c:strRef>
          </c:cat>
          <c:val>
            <c:numRef>
              <c:f>List1!$B$32:$B$38</c:f>
              <c:numCache>
                <c:formatCode>General</c:formatCode>
                <c:ptCount val="7"/>
                <c:pt idx="0">
                  <c:v>0.87500000000000178</c:v>
                </c:pt>
                <c:pt idx="1">
                  <c:v>0.91</c:v>
                </c:pt>
                <c:pt idx="2">
                  <c:v>0.90300000000000002</c:v>
                </c:pt>
                <c:pt idx="3">
                  <c:v>0.88400000000000012</c:v>
                </c:pt>
                <c:pt idx="4">
                  <c:v>0.73800000000000165</c:v>
                </c:pt>
                <c:pt idx="5">
                  <c:v>0.46400000000000008</c:v>
                </c:pt>
                <c:pt idx="6">
                  <c:v>0.16600000000000001</c:v>
                </c:pt>
              </c:numCache>
            </c:numRef>
          </c:val>
        </c:ser>
        <c:ser>
          <c:idx val="1"/>
          <c:order val="1"/>
          <c:tx>
            <c:strRef>
              <c:f>List1!$C$31</c:f>
              <c:strCache>
                <c:ptCount val="1"/>
                <c:pt idx="0">
                  <c:v>osoby starší 16 let používající internet</c:v>
                </c:pt>
              </c:strCache>
            </c:strRef>
          </c:tx>
          <c:dLbls>
            <c:numFmt formatCode="0%" sourceLinked="0"/>
            <c:dLblPos val="t"/>
            <c:showVal val="1"/>
          </c:dLbls>
          <c:cat>
            <c:strRef>
              <c:f>List1!$A$32:$A$38</c:f>
              <c:strCache>
                <c:ptCount val="7"/>
                <c:pt idx="0">
                  <c:v>16–24 let</c:v>
                </c:pt>
                <c:pt idx="1">
                  <c:v>25–34 let</c:v>
                </c:pt>
                <c:pt idx="2">
                  <c:v>35–44 let</c:v>
                </c:pt>
                <c:pt idx="3">
                  <c:v>45–54 let</c:v>
                </c:pt>
                <c:pt idx="4">
                  <c:v>55–64 let</c:v>
                </c:pt>
                <c:pt idx="5">
                  <c:v>65-74</c:v>
                </c:pt>
                <c:pt idx="6">
                  <c:v>75+</c:v>
                </c:pt>
              </c:strCache>
            </c:strRef>
          </c:cat>
          <c:val>
            <c:numRef>
              <c:f>List1!$C$32:$C$38</c:f>
              <c:numCache>
                <c:formatCode>General</c:formatCode>
                <c:ptCount val="7"/>
                <c:pt idx="0">
                  <c:v>0.89</c:v>
                </c:pt>
                <c:pt idx="1">
                  <c:v>0.93500000000000005</c:v>
                </c:pt>
                <c:pt idx="2">
                  <c:v>0.93</c:v>
                </c:pt>
                <c:pt idx="3">
                  <c:v>0.93700000000000061</c:v>
                </c:pt>
                <c:pt idx="4">
                  <c:v>0.90900000000000003</c:v>
                </c:pt>
                <c:pt idx="5">
                  <c:v>0.89100000000000001</c:v>
                </c:pt>
                <c:pt idx="6">
                  <c:v>0.89100000000000001</c:v>
                </c:pt>
              </c:numCache>
            </c:numRef>
          </c:val>
        </c:ser>
        <c:marker val="1"/>
        <c:axId val="66585728"/>
        <c:axId val="66587264"/>
      </c:lineChart>
      <c:catAx>
        <c:axId val="66585728"/>
        <c:scaling>
          <c:orientation val="minMax"/>
        </c:scaling>
        <c:axPos val="b"/>
        <c:tickLblPos val="nextTo"/>
        <c:crossAx val="66587264"/>
        <c:crosses val="autoZero"/>
        <c:auto val="1"/>
        <c:lblAlgn val="ctr"/>
        <c:lblOffset val="100"/>
      </c:catAx>
      <c:valAx>
        <c:axId val="66587264"/>
        <c:scaling>
          <c:orientation val="minMax"/>
        </c:scaling>
        <c:delete val="1"/>
        <c:axPos val="l"/>
        <c:numFmt formatCode="General" sourceLinked="1"/>
        <c:tickLblPos val="none"/>
        <c:crossAx val="66585728"/>
        <c:crosses val="autoZero"/>
        <c:crossBetween val="between"/>
      </c:valAx>
      <c:spPr>
        <a:ln>
          <a:noFill/>
        </a:ln>
      </c:spPr>
    </c:plotArea>
    <c:legend>
      <c:legendPos val="t"/>
      <c:layout>
        <c:manualLayout>
          <c:xMode val="edge"/>
          <c:yMode val="edge"/>
          <c:x val="0.16043209876543277"/>
          <c:y val="0"/>
          <c:w val="0.67913580246914007"/>
          <c:h val="0.1217704605106182"/>
        </c:manualLayout>
      </c:layout>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List1!$A$5</c:f>
              <c:strCache>
                <c:ptCount val="1"/>
                <c:pt idx="0">
                  <c:v>2017</c:v>
                </c:pt>
              </c:strCache>
            </c:strRef>
          </c:tx>
          <c:dLbls>
            <c:numFmt formatCode="0%" sourceLinked="0"/>
            <c:showVal val="1"/>
          </c:dLbls>
          <c:cat>
            <c:strRef>
              <c:f>List1!$B$4:$F$4</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List1!$B$5:$E$5</c:f>
              <c:numCache>
                <c:formatCode>General</c:formatCode>
                <c:ptCount val="4"/>
                <c:pt idx="0">
                  <c:v>0.52</c:v>
                </c:pt>
                <c:pt idx="1">
                  <c:v>0.4</c:v>
                </c:pt>
                <c:pt idx="2">
                  <c:v>0.72000000000000064</c:v>
                </c:pt>
                <c:pt idx="3">
                  <c:v>8.0000000000000043E-2</c:v>
                </c:pt>
              </c:numCache>
            </c:numRef>
          </c:val>
        </c:ser>
        <c:ser>
          <c:idx val="1"/>
          <c:order val="1"/>
          <c:tx>
            <c:strRef>
              <c:f>List1!$A$6</c:f>
              <c:strCache>
                <c:ptCount val="1"/>
                <c:pt idx="0">
                  <c:v>2019</c:v>
                </c:pt>
              </c:strCache>
            </c:strRef>
          </c:tx>
          <c:dLbls>
            <c:numFmt formatCode="0%" sourceLinked="0"/>
            <c:showVal val="1"/>
          </c:dLbls>
          <c:cat>
            <c:strRef>
              <c:f>List1!$B$4:$E$4</c:f>
              <c:strCache>
                <c:ptCount val="4"/>
                <c:pt idx="0">
                  <c:v>čte zprávy na sociálních sítích</c:v>
                </c:pt>
                <c:pt idx="1">
                  <c:v>používá smartphone k četbě online zpráv</c:v>
                </c:pt>
                <c:pt idx="2">
                  <c:v>používá počítač k četbě online zpráv</c:v>
                </c:pt>
                <c:pt idx="3">
                  <c:v>platí za online obsah</c:v>
                </c:pt>
              </c:strCache>
            </c:strRef>
          </c:cat>
          <c:val>
            <c:numRef>
              <c:f>List1!$B$6:$E$6</c:f>
              <c:numCache>
                <c:formatCode>General</c:formatCode>
                <c:ptCount val="4"/>
                <c:pt idx="0">
                  <c:v>0.49000000000000032</c:v>
                </c:pt>
                <c:pt idx="1">
                  <c:v>0.51</c:v>
                </c:pt>
                <c:pt idx="2">
                  <c:v>0.70000000000000062</c:v>
                </c:pt>
                <c:pt idx="3">
                  <c:v>7.0000000000000021E-2</c:v>
                </c:pt>
              </c:numCache>
            </c:numRef>
          </c:val>
        </c:ser>
        <c:axId val="66608512"/>
        <c:axId val="70608000"/>
      </c:barChart>
      <c:catAx>
        <c:axId val="66608512"/>
        <c:scaling>
          <c:orientation val="minMax"/>
        </c:scaling>
        <c:axPos val="b"/>
        <c:tickLblPos val="nextTo"/>
        <c:crossAx val="70608000"/>
        <c:crosses val="autoZero"/>
        <c:auto val="1"/>
        <c:lblAlgn val="ctr"/>
        <c:lblOffset val="100"/>
      </c:catAx>
      <c:valAx>
        <c:axId val="70608000"/>
        <c:scaling>
          <c:orientation val="minMax"/>
        </c:scaling>
        <c:delete val="1"/>
        <c:axPos val="l"/>
        <c:numFmt formatCode="General" sourceLinked="1"/>
        <c:tickLblPos val="none"/>
        <c:crossAx val="66608512"/>
        <c:crosses val="autoZero"/>
        <c:crossBetween val="between"/>
      </c:valAx>
    </c:plotArea>
    <c:legend>
      <c:legendPos val="t"/>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List1!$B$2</c:f>
              <c:strCache>
                <c:ptCount val="1"/>
                <c:pt idx="0">
                  <c:v>2015</c:v>
                </c:pt>
              </c:strCache>
            </c:strRef>
          </c:tx>
          <c:dLbls>
            <c:numFmt formatCode="0%" sourceLinked="0"/>
            <c:showVal val="1"/>
          </c:dLbls>
          <c:cat>
            <c:strRef>
              <c:f>List1!$A$3:$A$6</c:f>
              <c:strCache>
                <c:ptCount val="4"/>
                <c:pt idx="0">
                  <c:v>Zpravodajské weby</c:v>
                </c:pt>
                <c:pt idx="1">
                  <c:v>Televizní vysílání</c:v>
                </c:pt>
                <c:pt idx="2">
                  <c:v>Tištěná média</c:v>
                </c:pt>
                <c:pt idx="3">
                  <c:v>Sociální média</c:v>
                </c:pt>
              </c:strCache>
            </c:strRef>
          </c:cat>
          <c:val>
            <c:numRef>
              <c:f>List1!$B$3:$B$6</c:f>
              <c:numCache>
                <c:formatCode>General</c:formatCode>
                <c:ptCount val="4"/>
                <c:pt idx="0">
                  <c:v>0.91</c:v>
                </c:pt>
                <c:pt idx="1">
                  <c:v>0.85000000000000064</c:v>
                </c:pt>
                <c:pt idx="2">
                  <c:v>0.37000000000000038</c:v>
                </c:pt>
                <c:pt idx="3">
                  <c:v>0.41000000000000031</c:v>
                </c:pt>
              </c:numCache>
            </c:numRef>
          </c:val>
        </c:ser>
        <c:ser>
          <c:idx val="1"/>
          <c:order val="1"/>
          <c:tx>
            <c:strRef>
              <c:f>List1!$C$2</c:f>
              <c:strCache>
                <c:ptCount val="1"/>
                <c:pt idx="0">
                  <c:v>2020</c:v>
                </c:pt>
              </c:strCache>
            </c:strRef>
          </c:tx>
          <c:dLbls>
            <c:numFmt formatCode="0%" sourceLinked="0"/>
            <c:showVal val="1"/>
          </c:dLbls>
          <c:cat>
            <c:strRef>
              <c:f>List1!$A$3:$A$6</c:f>
              <c:strCache>
                <c:ptCount val="4"/>
                <c:pt idx="0">
                  <c:v>Zpravodajské weby</c:v>
                </c:pt>
                <c:pt idx="1">
                  <c:v>Televizní vysílání</c:v>
                </c:pt>
                <c:pt idx="2">
                  <c:v>Tištěná média</c:v>
                </c:pt>
                <c:pt idx="3">
                  <c:v>Sociální média</c:v>
                </c:pt>
              </c:strCache>
            </c:strRef>
          </c:cat>
          <c:val>
            <c:numRef>
              <c:f>List1!$C$3:$C$6</c:f>
              <c:numCache>
                <c:formatCode>General</c:formatCode>
                <c:ptCount val="4"/>
                <c:pt idx="0">
                  <c:v>0.88</c:v>
                </c:pt>
                <c:pt idx="1">
                  <c:v>0.7600000000000029</c:v>
                </c:pt>
                <c:pt idx="2">
                  <c:v>0.24000000000000021</c:v>
                </c:pt>
                <c:pt idx="3">
                  <c:v>0.49000000000000032</c:v>
                </c:pt>
              </c:numCache>
            </c:numRef>
          </c:val>
        </c:ser>
        <c:axId val="117999488"/>
        <c:axId val="118001024"/>
      </c:barChart>
      <c:catAx>
        <c:axId val="117999488"/>
        <c:scaling>
          <c:orientation val="minMax"/>
        </c:scaling>
        <c:axPos val="b"/>
        <c:tickLblPos val="nextTo"/>
        <c:crossAx val="118001024"/>
        <c:crosses val="autoZero"/>
        <c:auto val="1"/>
        <c:lblAlgn val="ctr"/>
        <c:lblOffset val="100"/>
      </c:catAx>
      <c:valAx>
        <c:axId val="118001024"/>
        <c:scaling>
          <c:orientation val="minMax"/>
        </c:scaling>
        <c:delete val="1"/>
        <c:axPos val="l"/>
        <c:numFmt formatCode="General" sourceLinked="1"/>
        <c:tickLblPos val="none"/>
        <c:crossAx val="117999488"/>
        <c:crosses val="autoZero"/>
        <c:crossBetween val="between"/>
      </c:valAx>
    </c:plotArea>
    <c:legend>
      <c:legendPos val="t"/>
      <c:layout>
        <c:manualLayout>
          <c:xMode val="edge"/>
          <c:yMode val="edge"/>
          <c:x val="0.41861096206080606"/>
          <c:y val="0"/>
          <c:w val="0.15855197973470431"/>
          <c:h val="0.13777457817772779"/>
        </c:manualLayout>
      </c:layout>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bar"/>
        <c:grouping val="clustered"/>
        <c:ser>
          <c:idx val="0"/>
          <c:order val="0"/>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List1!$A$7:$A$11</c:f>
              <c:strCache>
                <c:ptCount val="5"/>
                <c:pt idx="0">
                  <c:v>měsíčníky</c:v>
                </c:pt>
                <c:pt idx="1">
                  <c:v>čtrnáctidenníky</c:v>
                </c:pt>
                <c:pt idx="2">
                  <c:v>týdeníky</c:v>
                </c:pt>
                <c:pt idx="3">
                  <c:v>deníky</c:v>
                </c:pt>
                <c:pt idx="4">
                  <c:v>tisk celkem</c:v>
                </c:pt>
              </c:strCache>
            </c:strRef>
          </c:cat>
          <c:val>
            <c:numRef>
              <c:f>List1!$B$7:$B$11</c:f>
              <c:numCache>
                <c:formatCode>General</c:formatCode>
                <c:ptCount val="5"/>
                <c:pt idx="0">
                  <c:v>0.56000000000000005</c:v>
                </c:pt>
                <c:pt idx="1">
                  <c:v>0.46</c:v>
                </c:pt>
                <c:pt idx="2">
                  <c:v>0.55000000000000004</c:v>
                </c:pt>
                <c:pt idx="3">
                  <c:v>0.58000000000000007</c:v>
                </c:pt>
                <c:pt idx="4">
                  <c:v>0.84000000000000064</c:v>
                </c:pt>
              </c:numCache>
            </c:numRef>
          </c:val>
          <c:extLst xmlns:c16r2="http://schemas.microsoft.com/office/drawing/2015/06/chart">
            <c:ext xmlns:c16="http://schemas.microsoft.com/office/drawing/2014/chart" uri="{C3380CC4-5D6E-409C-BE32-E72D297353CC}">
              <c16:uniqueId val="{00000000-CCB2-41BB-ACB6-3EF062D9FB62}"/>
            </c:ext>
          </c:extLst>
        </c:ser>
        <c:axId val="118021504"/>
        <c:axId val="118027392"/>
      </c:barChart>
      <c:catAx>
        <c:axId val="118021504"/>
        <c:scaling>
          <c:orientation val="minMax"/>
        </c:scaling>
        <c:axPos val="l"/>
        <c:numFmt formatCode="General" sourceLinked="0"/>
        <c:tickLblPos val="nextTo"/>
        <c:crossAx val="118027392"/>
        <c:crosses val="autoZero"/>
        <c:auto val="1"/>
        <c:lblAlgn val="ctr"/>
        <c:lblOffset val="100"/>
      </c:catAx>
      <c:valAx>
        <c:axId val="118027392"/>
        <c:scaling>
          <c:orientation val="minMax"/>
        </c:scaling>
        <c:delete val="1"/>
        <c:axPos val="b"/>
        <c:numFmt formatCode="General" sourceLinked="1"/>
        <c:tickLblPos val="none"/>
        <c:crossAx val="118021504"/>
        <c:crosses val="autoZero"/>
        <c:crossBetween val="between"/>
      </c:valAx>
    </c:plotArea>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31747572178477801"/>
          <c:y val="0.10474154272382633"/>
          <c:w val="0.3997852995411118"/>
          <c:h val="0.78551560294784351"/>
        </c:manualLayout>
      </c:layout>
      <c:doughnutChart>
        <c:varyColors val="1"/>
        <c:ser>
          <c:idx val="0"/>
          <c:order val="0"/>
          <c:dLbls>
            <c:dLbl>
              <c:idx val="0"/>
              <c:layout>
                <c:manualLayout>
                  <c:x val="0.15867586889139854"/>
                  <c:y val="-0.10111224969842861"/>
                </c:manualLayout>
              </c:layout>
              <c:showVal val="1"/>
              <c:showCatName val="1"/>
            </c:dLbl>
            <c:dLbl>
              <c:idx val="1"/>
              <c:layout>
                <c:manualLayout>
                  <c:x val="0.16161916758729725"/>
                  <c:y val="1.8193070826954368E-2"/>
                </c:manualLayout>
              </c:layout>
              <c:showVal val="1"/>
              <c:showCatName val="1"/>
            </c:dLbl>
            <c:dLbl>
              <c:idx val="2"/>
              <c:layout>
                <c:manualLayout>
                  <c:x val="-0.17559100377899994"/>
                  <c:y val="7.5900402148565901E-2"/>
                </c:manualLayout>
              </c:layout>
              <c:showVal val="1"/>
              <c:showCatName val="1"/>
            </c:dLbl>
            <c:dLbl>
              <c:idx val="3"/>
              <c:layout>
                <c:manualLayout>
                  <c:x val="-0.12491707534491357"/>
                  <c:y val="-0.14469391907153931"/>
                </c:manualLayout>
              </c:layout>
              <c:showVal val="1"/>
              <c:showCatName val="1"/>
            </c:dLbl>
            <c:numFmt formatCode="0%" sourceLinked="0"/>
            <c:showVal val="1"/>
            <c:showCatName val="1"/>
            <c:showLeaderLines val="1"/>
          </c:dLbls>
          <c:cat>
            <c:strRef>
              <c:f>List1!$C$2:$C$5</c:f>
              <c:strCache>
                <c:ptCount val="4"/>
                <c:pt idx="0">
                  <c:v>Četl jsem méně často</c:v>
                </c:pt>
                <c:pt idx="1">
                  <c:v>Četl jsem častěji</c:v>
                </c:pt>
                <c:pt idx="2">
                  <c:v>Četl jsem stejně často</c:v>
                </c:pt>
                <c:pt idx="3">
                  <c:v>Nečetl jsem vůbec</c:v>
                </c:pt>
              </c:strCache>
            </c:strRef>
          </c:cat>
          <c:val>
            <c:numRef>
              <c:f>List1!$D$2:$D$5</c:f>
              <c:numCache>
                <c:formatCode>General</c:formatCode>
                <c:ptCount val="4"/>
                <c:pt idx="0">
                  <c:v>0.16</c:v>
                </c:pt>
                <c:pt idx="1">
                  <c:v>0.17</c:v>
                </c:pt>
                <c:pt idx="2">
                  <c:v>0.53</c:v>
                </c:pt>
                <c:pt idx="3">
                  <c:v>0.16</c:v>
                </c:pt>
              </c:numCache>
            </c:numRef>
          </c:val>
        </c:ser>
        <c:firstSliceAng val="0"/>
        <c:holeSize val="50"/>
      </c:doughnutChart>
    </c:plotArea>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List1!$B$5</c:f>
              <c:strCache>
                <c:ptCount val="1"/>
                <c:pt idx="0">
                  <c:v>muži</c:v>
                </c:pt>
              </c:strCache>
            </c:strRef>
          </c:tx>
          <c:dLbls>
            <c:numFmt formatCode="0%" sourceLinked="0"/>
            <c:showVal val="1"/>
          </c:dLbls>
          <c:cat>
            <c:strRef>
              <c:f>List1!$C$4:$D$4</c:f>
              <c:strCache>
                <c:ptCount val="2"/>
                <c:pt idx="0">
                  <c:v>sledování filmů či videa</c:v>
                </c:pt>
                <c:pt idx="1">
                  <c:v>poslech hudby</c:v>
                </c:pt>
              </c:strCache>
            </c:strRef>
          </c:cat>
          <c:val>
            <c:numRef>
              <c:f>List1!$C$5:$D$5</c:f>
              <c:numCache>
                <c:formatCode>#,##0.0__</c:formatCode>
                <c:ptCount val="2"/>
                <c:pt idx="0" formatCode="General">
                  <c:v>0.53800000000000003</c:v>
                </c:pt>
                <c:pt idx="1">
                  <c:v>0.49200000000000038</c:v>
                </c:pt>
              </c:numCache>
            </c:numRef>
          </c:val>
        </c:ser>
        <c:ser>
          <c:idx val="1"/>
          <c:order val="1"/>
          <c:tx>
            <c:strRef>
              <c:f>List1!$B$6</c:f>
              <c:strCache>
                <c:ptCount val="1"/>
                <c:pt idx="0">
                  <c:v>ženy</c:v>
                </c:pt>
              </c:strCache>
            </c:strRef>
          </c:tx>
          <c:dLbls>
            <c:numFmt formatCode="0%" sourceLinked="0"/>
            <c:showVal val="1"/>
          </c:dLbls>
          <c:cat>
            <c:strRef>
              <c:f>List1!$C$4:$D$4</c:f>
              <c:strCache>
                <c:ptCount val="2"/>
                <c:pt idx="0">
                  <c:v>sledování filmů či videa</c:v>
                </c:pt>
                <c:pt idx="1">
                  <c:v>poslech hudby</c:v>
                </c:pt>
              </c:strCache>
            </c:strRef>
          </c:cat>
          <c:val>
            <c:numRef>
              <c:f>List1!$C$6:$D$6</c:f>
              <c:numCache>
                <c:formatCode>#,##0.0__</c:formatCode>
                <c:ptCount val="2"/>
                <c:pt idx="0" formatCode="General">
                  <c:v>0.47500000000000031</c:v>
                </c:pt>
                <c:pt idx="1">
                  <c:v>0.43600000000000239</c:v>
                </c:pt>
              </c:numCache>
            </c:numRef>
          </c:val>
        </c:ser>
        <c:axId val="118057984"/>
        <c:axId val="118076160"/>
      </c:barChart>
      <c:catAx>
        <c:axId val="118057984"/>
        <c:scaling>
          <c:orientation val="minMax"/>
        </c:scaling>
        <c:axPos val="b"/>
        <c:tickLblPos val="nextTo"/>
        <c:crossAx val="118076160"/>
        <c:crosses val="autoZero"/>
        <c:auto val="1"/>
        <c:lblAlgn val="ctr"/>
        <c:lblOffset val="100"/>
      </c:catAx>
      <c:valAx>
        <c:axId val="118076160"/>
        <c:scaling>
          <c:orientation val="minMax"/>
        </c:scaling>
        <c:delete val="1"/>
        <c:axPos val="l"/>
        <c:numFmt formatCode="General" sourceLinked="1"/>
        <c:tickLblPos val="none"/>
        <c:crossAx val="118057984"/>
        <c:crosses val="autoZero"/>
        <c:crossBetween val="between"/>
      </c:valAx>
    </c:plotArea>
    <c:legend>
      <c:legendPos val="t"/>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List1!$D$17</c:f>
              <c:strCache>
                <c:ptCount val="1"/>
                <c:pt idx="0">
                  <c:v>sledování filmů či videa</c:v>
                </c:pt>
              </c:strCache>
            </c:strRef>
          </c:tx>
          <c:dLbls>
            <c:dLbl>
              <c:idx val="0"/>
              <c:layout>
                <c:manualLayout>
                  <c:x val="-3.7106419979711182E-2"/>
                  <c:y val="6.0765513851405308E-2"/>
                </c:manualLayout>
              </c:layout>
              <c:dLblPos val="r"/>
              <c:showVal val="1"/>
            </c:dLbl>
            <c:dLbl>
              <c:idx val="1"/>
              <c:layout>
                <c:manualLayout>
                  <c:x val="-4.1196399529813424E-2"/>
                  <c:y val="7.0188364263654365E-2"/>
                </c:manualLayout>
              </c:layout>
              <c:dLblPos val="r"/>
              <c:showVal val="1"/>
            </c:dLbl>
            <c:numFmt formatCode="0%" sourceLinked="0"/>
            <c:dLblPos val="t"/>
            <c:showVal val="1"/>
          </c:dLbls>
          <c:cat>
            <c:strRef>
              <c:f>List1!$C$18:$C$24</c:f>
              <c:strCache>
                <c:ptCount val="7"/>
                <c:pt idx="0">
                  <c:v>16–24 let</c:v>
                </c:pt>
                <c:pt idx="1">
                  <c:v>25–34 let</c:v>
                </c:pt>
                <c:pt idx="2">
                  <c:v>35–44 let</c:v>
                </c:pt>
                <c:pt idx="3">
                  <c:v>45–54 let</c:v>
                </c:pt>
                <c:pt idx="4">
                  <c:v>55–64 let</c:v>
                </c:pt>
                <c:pt idx="5">
                  <c:v>65–74 let</c:v>
                </c:pt>
                <c:pt idx="6">
                  <c:v>75 a více let</c:v>
                </c:pt>
              </c:strCache>
            </c:strRef>
          </c:cat>
          <c:val>
            <c:numRef>
              <c:f>List1!$D$18:$D$24</c:f>
              <c:numCache>
                <c:formatCode>General</c:formatCode>
                <c:ptCount val="7"/>
                <c:pt idx="0">
                  <c:v>0.83600000000000063</c:v>
                </c:pt>
                <c:pt idx="1">
                  <c:v>0.75900000000000545</c:v>
                </c:pt>
                <c:pt idx="2">
                  <c:v>0.65700000000000613</c:v>
                </c:pt>
                <c:pt idx="3">
                  <c:v>0.52800000000000002</c:v>
                </c:pt>
                <c:pt idx="4">
                  <c:v>0.37500000000000239</c:v>
                </c:pt>
                <c:pt idx="5">
                  <c:v>0.19</c:v>
                </c:pt>
                <c:pt idx="6">
                  <c:v>5.3000000000000012E-2</c:v>
                </c:pt>
              </c:numCache>
            </c:numRef>
          </c:val>
        </c:ser>
        <c:ser>
          <c:idx val="1"/>
          <c:order val="1"/>
          <c:tx>
            <c:strRef>
              <c:f>List1!$E$17</c:f>
              <c:strCache>
                <c:ptCount val="1"/>
                <c:pt idx="0">
                  <c:v>poslech hudby</c:v>
                </c:pt>
              </c:strCache>
            </c:strRef>
          </c:tx>
          <c:dLbls>
            <c:dLbl>
              <c:idx val="0"/>
              <c:layout>
                <c:manualLayout>
                  <c:x val="-3.7106419979711182E-2"/>
                  <c:y val="-7.4899789469779168E-2"/>
                </c:manualLayout>
              </c:layout>
              <c:dLblPos val="r"/>
              <c:showVal val="1"/>
            </c:dLbl>
            <c:dLbl>
              <c:idx val="1"/>
              <c:layout>
                <c:manualLayout>
                  <c:x val="-3.3016440429608884E-2"/>
                  <c:y val="-7.4899789469779168E-2"/>
                </c:manualLayout>
              </c:layout>
              <c:dLblPos val="r"/>
              <c:showVal val="1"/>
            </c:dLbl>
            <c:dLbl>
              <c:idx val="5"/>
              <c:layout>
                <c:manualLayout>
                  <c:x val="-3.7106419979711182E-2"/>
                  <c:y val="5.7020116301716724E-2"/>
                </c:manualLayout>
              </c:layout>
              <c:dLblPos val="r"/>
              <c:showVal val="1"/>
            </c:dLbl>
            <c:dLbl>
              <c:idx val="6"/>
              <c:layout>
                <c:manualLayout>
                  <c:x val="-3.2924335378323576E-3"/>
                  <c:y val="-1.8362686996280943E-2"/>
                </c:manualLayout>
              </c:layout>
              <c:dLblPos val="r"/>
              <c:showVal val="1"/>
            </c:dLbl>
            <c:numFmt formatCode="0%" sourceLinked="0"/>
            <c:dLblPos val="b"/>
            <c:showVal val="1"/>
          </c:dLbls>
          <c:cat>
            <c:strRef>
              <c:f>List1!$C$18:$C$24</c:f>
              <c:strCache>
                <c:ptCount val="7"/>
                <c:pt idx="0">
                  <c:v>16–24 let</c:v>
                </c:pt>
                <c:pt idx="1">
                  <c:v>25–34 let</c:v>
                </c:pt>
                <c:pt idx="2">
                  <c:v>35–44 let</c:v>
                </c:pt>
                <c:pt idx="3">
                  <c:v>45–54 let</c:v>
                </c:pt>
                <c:pt idx="4">
                  <c:v>55–64 let</c:v>
                </c:pt>
                <c:pt idx="5">
                  <c:v>65–74 let</c:v>
                </c:pt>
                <c:pt idx="6">
                  <c:v>75 a více let</c:v>
                </c:pt>
              </c:strCache>
            </c:strRef>
          </c:cat>
          <c:val>
            <c:numRef>
              <c:f>List1!$E$18:$E$24</c:f>
              <c:numCache>
                <c:formatCode>General</c:formatCode>
                <c:ptCount val="7"/>
                <c:pt idx="0">
                  <c:v>0.90600000000000014</c:v>
                </c:pt>
                <c:pt idx="1">
                  <c:v>0.78300000000000003</c:v>
                </c:pt>
                <c:pt idx="2">
                  <c:v>0.63100000000000533</c:v>
                </c:pt>
                <c:pt idx="3">
                  <c:v>0.42000000000000032</c:v>
                </c:pt>
                <c:pt idx="4">
                  <c:v>0.252</c:v>
                </c:pt>
                <c:pt idx="5">
                  <c:v>0.12100000000000002</c:v>
                </c:pt>
                <c:pt idx="6">
                  <c:v>4.0000000000000022E-2</c:v>
                </c:pt>
              </c:numCache>
            </c:numRef>
          </c:val>
        </c:ser>
        <c:marker val="1"/>
        <c:axId val="118093312"/>
        <c:axId val="118094848"/>
      </c:lineChart>
      <c:catAx>
        <c:axId val="118093312"/>
        <c:scaling>
          <c:orientation val="minMax"/>
        </c:scaling>
        <c:axPos val="b"/>
        <c:tickLblPos val="nextTo"/>
        <c:crossAx val="118094848"/>
        <c:crosses val="autoZero"/>
        <c:auto val="1"/>
        <c:lblAlgn val="ctr"/>
        <c:lblOffset val="100"/>
      </c:catAx>
      <c:valAx>
        <c:axId val="118094848"/>
        <c:scaling>
          <c:orientation val="minMax"/>
        </c:scaling>
        <c:delete val="1"/>
        <c:axPos val="l"/>
        <c:numFmt formatCode="General" sourceLinked="1"/>
        <c:tickLblPos val="none"/>
        <c:crossAx val="118093312"/>
        <c:crosses val="autoZero"/>
        <c:crossBetween val="between"/>
      </c:valAx>
    </c:plotArea>
    <c:legend>
      <c:legendPos val="t"/>
    </c:legend>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SBS!$A$18</c:f>
              <c:strCache>
                <c:ptCount val="1"/>
                <c:pt idx="0">
                  <c:v>příjmy</c:v>
                </c:pt>
              </c:strCache>
            </c:strRef>
          </c:tx>
          <c:dLbls>
            <c:numFmt formatCode="#,##0.0" sourceLinked="0"/>
            <c:dLblPos val="t"/>
            <c:showVal val="1"/>
          </c:dLbls>
          <c:cat>
            <c:numRef>
              <c:f>SBS!$B$17:$M$17</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SBS!$B$18:$M$18</c:f>
              <c:numCache>
                <c:formatCode>General</c:formatCode>
                <c:ptCount val="12"/>
                <c:pt idx="0">
                  <c:v>16.618863650600698</c:v>
                </c:pt>
                <c:pt idx="1">
                  <c:v>15.783563310042569</c:v>
                </c:pt>
                <c:pt idx="2">
                  <c:v>12.601540739307772</c:v>
                </c:pt>
                <c:pt idx="3">
                  <c:v>14.497927875117153</c:v>
                </c:pt>
                <c:pt idx="4">
                  <c:v>14.891281261624815</c:v>
                </c:pt>
                <c:pt idx="5">
                  <c:v>14.568424879414426</c:v>
                </c:pt>
                <c:pt idx="6">
                  <c:v>15.478267106374098</c:v>
                </c:pt>
                <c:pt idx="7">
                  <c:v>15.001318895832798</c:v>
                </c:pt>
                <c:pt idx="8">
                  <c:v>16.335483267101626</c:v>
                </c:pt>
                <c:pt idx="9">
                  <c:v>18.179810478815895</c:v>
                </c:pt>
                <c:pt idx="10">
                  <c:v>18.692706633419512</c:v>
                </c:pt>
                <c:pt idx="11">
                  <c:v>19.340550825628117</c:v>
                </c:pt>
              </c:numCache>
            </c:numRef>
          </c:val>
        </c:ser>
        <c:marker val="1"/>
        <c:axId val="118127232"/>
        <c:axId val="118145408"/>
      </c:lineChart>
      <c:catAx>
        <c:axId val="118127232"/>
        <c:scaling>
          <c:orientation val="minMax"/>
        </c:scaling>
        <c:axPos val="b"/>
        <c:numFmt formatCode="General" sourceLinked="1"/>
        <c:tickLblPos val="nextTo"/>
        <c:crossAx val="118145408"/>
        <c:crosses val="autoZero"/>
        <c:auto val="1"/>
        <c:lblAlgn val="ctr"/>
        <c:lblOffset val="100"/>
      </c:catAx>
      <c:valAx>
        <c:axId val="118145408"/>
        <c:scaling>
          <c:orientation val="minMax"/>
        </c:scaling>
        <c:delete val="1"/>
        <c:axPos val="l"/>
        <c:numFmt formatCode="General" sourceLinked="1"/>
        <c:tickLblPos val="none"/>
        <c:crossAx val="11812723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List1!$A$2</c:f>
              <c:strCache>
                <c:ptCount val="1"/>
                <c:pt idx="0">
                  <c:v>2018</c:v>
                </c:pt>
              </c:strCache>
            </c:strRef>
          </c:tx>
          <c:dLbls>
            <c:numFmt formatCode="#,##0.0" sourceLinked="0"/>
            <c:showVal val="1"/>
          </c:dLbls>
          <c:cat>
            <c:strRef>
              <c:f>List1!$B$1:$E$1</c:f>
              <c:strCache>
                <c:ptCount val="4"/>
                <c:pt idx="0">
                  <c:v>Neperiodický tisk (knihy)</c:v>
                </c:pt>
                <c:pt idx="1">
                  <c:v>Periodický tisk (časopisy, noviny)</c:v>
                </c:pt>
                <c:pt idx="2">
                  <c:v>Rozhlas a televize (služby)</c:v>
                </c:pt>
                <c:pt idx="3">
                  <c:v>Film a hudba (fyzické nosiče)</c:v>
                </c:pt>
              </c:strCache>
            </c:strRef>
          </c:cat>
          <c:val>
            <c:numRef>
              <c:f>List1!$B$2:$E$2</c:f>
              <c:numCache>
                <c:formatCode>General</c:formatCode>
                <c:ptCount val="4"/>
                <c:pt idx="0">
                  <c:v>4.9400000000000004</c:v>
                </c:pt>
                <c:pt idx="1">
                  <c:v>6.7</c:v>
                </c:pt>
                <c:pt idx="2">
                  <c:v>12.360000000000024</c:v>
                </c:pt>
                <c:pt idx="3">
                  <c:v>1.71</c:v>
                </c:pt>
              </c:numCache>
            </c:numRef>
          </c:val>
        </c:ser>
        <c:ser>
          <c:idx val="1"/>
          <c:order val="1"/>
          <c:tx>
            <c:strRef>
              <c:f>List1!$A$3</c:f>
              <c:strCache>
                <c:ptCount val="1"/>
                <c:pt idx="0">
                  <c:v>2019</c:v>
                </c:pt>
              </c:strCache>
            </c:strRef>
          </c:tx>
          <c:dLbls>
            <c:numFmt formatCode="#,##0.0" sourceLinked="0"/>
            <c:showVal val="1"/>
          </c:dLbls>
          <c:cat>
            <c:strRef>
              <c:f>List1!$B$1:$E$1</c:f>
              <c:strCache>
                <c:ptCount val="4"/>
                <c:pt idx="0">
                  <c:v>Neperiodický tisk (knihy)</c:v>
                </c:pt>
                <c:pt idx="1">
                  <c:v>Periodický tisk (časopisy, noviny)</c:v>
                </c:pt>
                <c:pt idx="2">
                  <c:v>Rozhlas a televize (služby)</c:v>
                </c:pt>
                <c:pt idx="3">
                  <c:v>Film a hudba (fyzické nosiče)</c:v>
                </c:pt>
              </c:strCache>
            </c:strRef>
          </c:cat>
          <c:val>
            <c:numRef>
              <c:f>List1!$B$3:$E$3</c:f>
              <c:numCache>
                <c:formatCode>General</c:formatCode>
                <c:ptCount val="4"/>
                <c:pt idx="0">
                  <c:v>6.91</c:v>
                </c:pt>
                <c:pt idx="1">
                  <c:v>6.6899999999999995</c:v>
                </c:pt>
                <c:pt idx="2">
                  <c:v>15.48</c:v>
                </c:pt>
                <c:pt idx="3">
                  <c:v>1.51</c:v>
                </c:pt>
              </c:numCache>
            </c:numRef>
          </c:val>
        </c:ser>
        <c:axId val="188364288"/>
        <c:axId val="188426880"/>
      </c:barChart>
      <c:catAx>
        <c:axId val="188364288"/>
        <c:scaling>
          <c:orientation val="minMax"/>
        </c:scaling>
        <c:axPos val="b"/>
        <c:tickLblPos val="nextTo"/>
        <c:crossAx val="188426880"/>
        <c:crosses val="autoZero"/>
        <c:auto val="1"/>
        <c:lblAlgn val="ctr"/>
        <c:lblOffset val="100"/>
      </c:catAx>
      <c:valAx>
        <c:axId val="188426880"/>
        <c:scaling>
          <c:orientation val="minMax"/>
        </c:scaling>
        <c:delete val="1"/>
        <c:axPos val="l"/>
        <c:numFmt formatCode="General" sourceLinked="1"/>
        <c:tickLblPos val="none"/>
        <c:crossAx val="188364288"/>
        <c:crosses val="autoZero"/>
        <c:crossBetween val="between"/>
      </c:valAx>
    </c:plotArea>
    <c:legend>
      <c:legendPos val="t"/>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289766970618092E-2"/>
          <c:y val="0.14430380849696794"/>
          <c:w val="0.95542046605876463"/>
          <c:h val="0.71709783165072061"/>
        </c:manualLayout>
      </c:layout>
      <c:lineChart>
        <c:grouping val="standard"/>
        <c:ser>
          <c:idx val="0"/>
          <c:order val="0"/>
          <c:tx>
            <c:strRef>
              <c:f>APA!$B$4</c:f>
              <c:strCache>
                <c:ptCount val="1"/>
                <c:pt idx="0">
                  <c:v>česká produkce</c:v>
                </c:pt>
              </c:strCache>
            </c:strRef>
          </c:tx>
          <c:dLbls>
            <c:dLbl>
              <c:idx val="1"/>
              <c:layout>
                <c:manualLayout>
                  <c:x val="-3.4657352529542856E-2"/>
                  <c:y val="5.6030183727034118E-2"/>
                </c:manualLayout>
              </c:layout>
              <c:dLblPos val="r"/>
              <c:showVal val="1"/>
            </c:dLbl>
            <c:dLbl>
              <c:idx val="2"/>
              <c:layout>
                <c:manualLayout>
                  <c:x val="-3.2596559124081666E-2"/>
                  <c:y val="3.7511665208515642E-2"/>
                </c:manualLayout>
              </c:layout>
              <c:dLblPos val="r"/>
              <c:showVal val="1"/>
            </c:dLbl>
            <c:dLbl>
              <c:idx val="3"/>
              <c:layout>
                <c:manualLayout>
                  <c:x val="-3.0535765718621075E-2"/>
                  <c:y val="2.8252405949256338E-2"/>
                </c:manualLayout>
              </c:layout>
              <c:dLblPos val="r"/>
              <c:showVal val="1"/>
            </c:dLbl>
            <c:dLbl>
              <c:idx val="4"/>
              <c:layout>
                <c:manualLayout>
                  <c:x val="-3.2596559124081666E-2"/>
                  <c:y val="5.1400554097404488E-2"/>
                </c:manualLayout>
              </c:layout>
              <c:dLblPos val="r"/>
              <c:showVal val="1"/>
            </c:dLbl>
            <c:dLbl>
              <c:idx val="5"/>
              <c:layout>
                <c:manualLayout>
                  <c:x val="-3.2596559124081666E-2"/>
                  <c:y val="5.1400554097404488E-2"/>
                </c:manualLayout>
              </c:layout>
              <c:dLblPos val="r"/>
              <c:showVal val="1"/>
            </c:dLbl>
            <c:dLbl>
              <c:idx val="6"/>
              <c:layout>
                <c:manualLayout>
                  <c:x val="-3.2596559124081666E-2"/>
                  <c:y val="3.7511665208515642E-2"/>
                </c:manualLayout>
              </c:layout>
              <c:dLblPos val="r"/>
              <c:showVal val="1"/>
            </c:dLbl>
            <c:dLbl>
              <c:idx val="7"/>
              <c:layout>
                <c:manualLayout>
                  <c:x val="-3.2596559124081666E-2"/>
                  <c:y val="5.6030183727034118E-2"/>
                </c:manualLayout>
              </c:layout>
              <c:dLblPos val="r"/>
              <c:showVal val="1"/>
            </c:dLbl>
            <c:numFmt formatCode="#,##0.0" sourceLinked="0"/>
            <c:dLblPos val="b"/>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APA!$C$4:$N$4</c:f>
              <c:numCache>
                <c:formatCode>General</c:formatCode>
                <c:ptCount val="12"/>
                <c:pt idx="0">
                  <c:v>0.88</c:v>
                </c:pt>
                <c:pt idx="1">
                  <c:v>0.8</c:v>
                </c:pt>
                <c:pt idx="2">
                  <c:v>0.57700000000000062</c:v>
                </c:pt>
                <c:pt idx="3">
                  <c:v>0.62100000000000632</c:v>
                </c:pt>
                <c:pt idx="4">
                  <c:v>0.73900000000000265</c:v>
                </c:pt>
                <c:pt idx="5">
                  <c:v>0.79500000000000004</c:v>
                </c:pt>
                <c:pt idx="6">
                  <c:v>0.64600000000000712</c:v>
                </c:pt>
                <c:pt idx="7">
                  <c:v>0.85200000000000065</c:v>
                </c:pt>
                <c:pt idx="8">
                  <c:v>0.92100000000000004</c:v>
                </c:pt>
                <c:pt idx="9">
                  <c:v>1.04</c:v>
                </c:pt>
                <c:pt idx="10">
                  <c:v>1.522</c:v>
                </c:pt>
                <c:pt idx="11">
                  <c:v>1.2409999999999857</c:v>
                </c:pt>
              </c:numCache>
            </c:numRef>
          </c:val>
        </c:ser>
        <c:ser>
          <c:idx val="1"/>
          <c:order val="1"/>
          <c:tx>
            <c:strRef>
              <c:f>APA!$B$5</c:f>
              <c:strCache>
                <c:ptCount val="1"/>
                <c:pt idx="0">
                  <c:v>zahraniční produkce</c:v>
                </c:pt>
              </c:strCache>
            </c:strRef>
          </c:tx>
          <c:dLbls>
            <c:numFmt formatCode="#,##0.0" sourceLinked="0"/>
            <c:dLblPos val="t"/>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APA!$C$5:$N$5</c:f>
              <c:numCache>
                <c:formatCode>General</c:formatCode>
                <c:ptCount val="12"/>
                <c:pt idx="0">
                  <c:v>0.70500000000000063</c:v>
                </c:pt>
                <c:pt idx="1">
                  <c:v>0.74400000000000632</c:v>
                </c:pt>
                <c:pt idx="2">
                  <c:v>0.94299999999999995</c:v>
                </c:pt>
                <c:pt idx="3">
                  <c:v>1.036</c:v>
                </c:pt>
                <c:pt idx="4">
                  <c:v>1.5640000000000001</c:v>
                </c:pt>
                <c:pt idx="5">
                  <c:v>2.84</c:v>
                </c:pt>
                <c:pt idx="6">
                  <c:v>3.3539999999999988</c:v>
                </c:pt>
                <c:pt idx="7">
                  <c:v>3.7040000000000002</c:v>
                </c:pt>
                <c:pt idx="8">
                  <c:v>3.5749999999999997</c:v>
                </c:pt>
                <c:pt idx="9">
                  <c:v>3.1579999999999999</c:v>
                </c:pt>
                <c:pt idx="10">
                  <c:v>4.9260000000000002</c:v>
                </c:pt>
                <c:pt idx="11">
                  <c:v>6.3369999999999997</c:v>
                </c:pt>
              </c:numCache>
            </c:numRef>
          </c:val>
        </c:ser>
        <c:ser>
          <c:idx val="2"/>
          <c:order val="2"/>
          <c:tx>
            <c:strRef>
              <c:f>APA!$B$6</c:f>
              <c:strCache>
                <c:ptCount val="1"/>
                <c:pt idx="0">
                  <c:v>reklamní produkce</c:v>
                </c:pt>
              </c:strCache>
            </c:strRef>
          </c:tx>
          <c:dLbls>
            <c:dLbl>
              <c:idx val="4"/>
              <c:layout>
                <c:manualLayout>
                  <c:x val="-2.0231798691315458E-2"/>
                  <c:y val="5.5080927384076994E-2"/>
                </c:manualLayout>
              </c:layout>
              <c:dLblPos val="r"/>
              <c:showVal val="1"/>
            </c:dLbl>
            <c:dLbl>
              <c:idx val="9"/>
              <c:layout>
                <c:manualLayout>
                  <c:x val="-3.2596559124081666E-2"/>
                  <c:y val="-5.1400554097404488E-2"/>
                </c:manualLayout>
              </c:layout>
              <c:dLblPos val="r"/>
              <c:showVal val="1"/>
            </c:dLbl>
            <c:numFmt formatCode="#,##0.0" sourceLinked="0"/>
            <c:dLblPos val="t"/>
            <c:showVal val="1"/>
          </c:dLbls>
          <c:cat>
            <c:numRef>
              <c:f>APA!$C$3:$N$3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APA!$C$6:$N$6</c:f>
              <c:numCache>
                <c:formatCode>General</c:formatCode>
                <c:ptCount val="12"/>
                <c:pt idx="0">
                  <c:v>1.9370000000000001</c:v>
                </c:pt>
                <c:pt idx="1">
                  <c:v>1.4889999999999854</c:v>
                </c:pt>
                <c:pt idx="2">
                  <c:v>2.06</c:v>
                </c:pt>
                <c:pt idx="3">
                  <c:v>2.1619999999999999</c:v>
                </c:pt>
                <c:pt idx="4">
                  <c:v>1.772</c:v>
                </c:pt>
                <c:pt idx="5">
                  <c:v>1.3919999999999857</c:v>
                </c:pt>
                <c:pt idx="6">
                  <c:v>1.9600000000000126</c:v>
                </c:pt>
                <c:pt idx="7">
                  <c:v>2.2029999999999998</c:v>
                </c:pt>
                <c:pt idx="8">
                  <c:v>2.0270000000000001</c:v>
                </c:pt>
                <c:pt idx="9">
                  <c:v>2.2130999999999998</c:v>
                </c:pt>
                <c:pt idx="10">
                  <c:v>1.7529999999999857</c:v>
                </c:pt>
                <c:pt idx="11">
                  <c:v>1.8859999999999857</c:v>
                </c:pt>
              </c:numCache>
            </c:numRef>
          </c:val>
        </c:ser>
        <c:marker val="1"/>
        <c:axId val="118171520"/>
        <c:axId val="118173056"/>
      </c:lineChart>
      <c:catAx>
        <c:axId val="118171520"/>
        <c:scaling>
          <c:orientation val="minMax"/>
        </c:scaling>
        <c:axPos val="b"/>
        <c:numFmt formatCode="General" sourceLinked="1"/>
        <c:tickLblPos val="nextTo"/>
        <c:crossAx val="118173056"/>
        <c:crosses val="autoZero"/>
        <c:auto val="1"/>
        <c:lblAlgn val="ctr"/>
        <c:lblOffset val="100"/>
      </c:catAx>
      <c:valAx>
        <c:axId val="118173056"/>
        <c:scaling>
          <c:orientation val="minMax"/>
        </c:scaling>
        <c:delete val="1"/>
        <c:axPos val="l"/>
        <c:numFmt formatCode="General" sourceLinked="1"/>
        <c:tickLblPos val="none"/>
        <c:crossAx val="118171520"/>
        <c:crosses val="autoZero"/>
        <c:crossBetween val="between"/>
      </c:valAx>
    </c:plotArea>
    <c:legend>
      <c:legendPos val="t"/>
      <c:layout>
        <c:manualLayout>
          <c:xMode val="edge"/>
          <c:yMode val="edge"/>
          <c:x val="0"/>
          <c:y val="0"/>
          <c:w val="0.9"/>
          <c:h val="8.3717191601050026E-2"/>
        </c:manualLayout>
      </c:layout>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SBS!$A$21</c:f>
              <c:strCache>
                <c:ptCount val="1"/>
                <c:pt idx="0">
                  <c:v>zaměstnanci</c:v>
                </c:pt>
              </c:strCache>
            </c:strRef>
          </c:tx>
          <c:dLbls>
            <c:numFmt formatCode="#,##0.0" sourceLinked="0"/>
            <c:dLblPos val="t"/>
            <c:showVal val="1"/>
          </c:dLbls>
          <c:cat>
            <c:numRef>
              <c:f>SBS!$B$20:$M$20</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SBS!$B$21:$M$21</c:f>
              <c:numCache>
                <c:formatCode>General</c:formatCode>
                <c:ptCount val="12"/>
                <c:pt idx="0">
                  <c:v>2.19767252793</c:v>
                </c:pt>
                <c:pt idx="1">
                  <c:v>2.1621310281510451</c:v>
                </c:pt>
                <c:pt idx="2">
                  <c:v>2.0672210797485602</c:v>
                </c:pt>
                <c:pt idx="3">
                  <c:v>1.8584250111419003</c:v>
                </c:pt>
                <c:pt idx="4">
                  <c:v>1.59822837569325</c:v>
                </c:pt>
                <c:pt idx="5">
                  <c:v>1.5263756700859499</c:v>
                </c:pt>
                <c:pt idx="6">
                  <c:v>1.4642395122324814</c:v>
                </c:pt>
                <c:pt idx="7">
                  <c:v>1.4659473572345323</c:v>
                </c:pt>
                <c:pt idx="8">
                  <c:v>1.4430868561725998</c:v>
                </c:pt>
                <c:pt idx="9">
                  <c:v>1.4376777109483998</c:v>
                </c:pt>
                <c:pt idx="10">
                  <c:v>1.4611518413342499</c:v>
                </c:pt>
                <c:pt idx="11">
                  <c:v>1.5571416945172998</c:v>
                </c:pt>
              </c:numCache>
            </c:numRef>
          </c:val>
        </c:ser>
        <c:marker val="1"/>
        <c:axId val="118184960"/>
        <c:axId val="118186752"/>
      </c:lineChart>
      <c:catAx>
        <c:axId val="118184960"/>
        <c:scaling>
          <c:orientation val="minMax"/>
        </c:scaling>
        <c:axPos val="b"/>
        <c:numFmt formatCode="General" sourceLinked="1"/>
        <c:tickLblPos val="nextTo"/>
        <c:crossAx val="118186752"/>
        <c:crosses val="autoZero"/>
        <c:auto val="1"/>
        <c:lblAlgn val="ctr"/>
        <c:lblOffset val="100"/>
      </c:catAx>
      <c:valAx>
        <c:axId val="118186752"/>
        <c:scaling>
          <c:orientation val="minMax"/>
        </c:scaling>
        <c:delete val="1"/>
        <c:axPos val="l"/>
        <c:numFmt formatCode="General" sourceLinked="1"/>
        <c:tickLblPos val="none"/>
        <c:crossAx val="118184960"/>
        <c:crosses val="autoZero"/>
        <c:crossBetween val="between"/>
      </c:valAx>
    </c:plotArea>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200"/>
            </a:pPr>
            <a:r>
              <a:rPr lang="cs-CZ" sz="1200"/>
              <a:t>Osoby</a:t>
            </a:r>
            <a:r>
              <a:rPr lang="cs-CZ" sz="1200" baseline="0"/>
              <a:t> zaměstnané v oblasti filmu a videa</a:t>
            </a:r>
            <a:endParaRPr lang="cs-CZ" sz="1200"/>
          </a:p>
        </c:rich>
      </c:tx>
      <c:layout>
        <c:manualLayout>
          <c:xMode val="edge"/>
          <c:yMode val="edge"/>
          <c:x val="0.10639132918302567"/>
          <c:y val="4.2232277526395523E-2"/>
        </c:manualLayout>
      </c:layout>
    </c:title>
    <c:plotArea>
      <c:layout>
        <c:manualLayout>
          <c:layoutTarget val="inner"/>
          <c:xMode val="edge"/>
          <c:yMode val="edge"/>
          <c:x val="0.26474084356476718"/>
          <c:y val="0.36013016472488757"/>
          <c:w val="0.38956262698568173"/>
          <c:h val="0.6398698352751242"/>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List1!$B$2:$C$2</c:f>
              <c:strCache>
                <c:ptCount val="2"/>
                <c:pt idx="0">
                  <c:v>povolání kult. charakteru</c:v>
                </c:pt>
                <c:pt idx="1">
                  <c:v>povolání ne-kult. charakteru</c:v>
                </c:pt>
              </c:strCache>
            </c:strRef>
          </c:cat>
          <c:val>
            <c:numRef>
              <c:f>List1!$B$3:$C$3</c:f>
              <c:numCache>
                <c:formatCode>General</c:formatCode>
                <c:ptCount val="2"/>
                <c:pt idx="0">
                  <c:v>4.4000000000000004</c:v>
                </c:pt>
                <c:pt idx="1">
                  <c:v>3.7</c:v>
                </c:pt>
              </c:numCache>
            </c:numRef>
          </c:val>
        </c:ser>
        <c:firstSliceAng val="0"/>
        <c:holeSize val="50"/>
      </c:doughnutChart>
    </c:plotArea>
    <c:legend>
      <c:legendPos val="t"/>
      <c:layout>
        <c:manualLayout>
          <c:xMode val="edge"/>
          <c:yMode val="edge"/>
          <c:x val="0"/>
          <c:y val="0.20573627391598678"/>
          <c:w val="0.98103130755064449"/>
          <c:h val="0.10347876043391629"/>
        </c:manualLayout>
      </c:layout>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200"/>
            </a:pPr>
            <a:r>
              <a:rPr lang="cs-CZ" sz="1200"/>
              <a:t>Technici</a:t>
            </a:r>
            <a:r>
              <a:rPr lang="cs-CZ" sz="1200" baseline="0"/>
              <a:t> v oblasti </a:t>
            </a:r>
            <a:r>
              <a:rPr lang="cs-CZ" sz="1200" b="1" i="0" u="none" strike="noStrike" baseline="0"/>
              <a:t>vysílání a audiovizuálních záznamů</a:t>
            </a:r>
            <a:endParaRPr lang="cs-CZ" sz="1200"/>
          </a:p>
        </c:rich>
      </c:tx>
      <c:layout>
        <c:manualLayout>
          <c:xMode val="edge"/>
          <c:yMode val="edge"/>
          <c:x val="0.15006269499331451"/>
          <c:y val="0"/>
        </c:manualLayout>
      </c:layout>
    </c:title>
    <c:plotArea>
      <c:layout>
        <c:manualLayout>
          <c:layoutTarget val="inner"/>
          <c:xMode val="edge"/>
          <c:yMode val="edge"/>
          <c:x val="0.2726612192343883"/>
          <c:y val="0.34711406487033158"/>
          <c:w val="0.50306312430370659"/>
          <c:h val="0.64152086493775429"/>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List1!$J$1:$J$2</c:f>
              <c:strCache>
                <c:ptCount val="2"/>
                <c:pt idx="0">
                  <c:v>v kult. organizaci</c:v>
                </c:pt>
                <c:pt idx="1">
                  <c:v>mimo kult. organizaci</c:v>
                </c:pt>
              </c:strCache>
            </c:strRef>
          </c:cat>
          <c:val>
            <c:numRef>
              <c:f>List1!$K$1:$K$2</c:f>
              <c:numCache>
                <c:formatCode>General</c:formatCode>
                <c:ptCount val="2"/>
                <c:pt idx="0">
                  <c:v>5.6</c:v>
                </c:pt>
                <c:pt idx="1">
                  <c:v>0.60000000000000064</c:v>
                </c:pt>
              </c:numCache>
            </c:numRef>
          </c:val>
        </c:ser>
        <c:firstSliceAng val="0"/>
        <c:holeSize val="50"/>
      </c:doughnutChart>
    </c:plotArea>
    <c:legend>
      <c:legendPos val="t"/>
      <c:layout>
        <c:manualLayout>
          <c:xMode val="edge"/>
          <c:yMode val="edge"/>
          <c:x val="5.3902639528550032E-2"/>
          <c:y val="0.1945636623748212"/>
          <c:w val="0.9"/>
          <c:h val="0.11059885862890992"/>
        </c:manualLayout>
      </c:layout>
    </c:legend>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List1!$C$1</c:f>
              <c:strCache>
                <c:ptCount val="1"/>
                <c:pt idx="0">
                  <c:v>návštěvnost</c:v>
                </c:pt>
              </c:strCache>
            </c:strRef>
          </c:tx>
          <c:cat>
            <c:numRef>
              <c:f>List1!$B$2:$B$21</c:f>
              <c:numCache>
                <c:formatCode>General</c:formatCode>
                <c:ptCount val="20"/>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pt idx="16">
                  <c:v>2016</c:v>
                </c:pt>
                <c:pt idx="17">
                  <c:v>2017</c:v>
                </c:pt>
                <c:pt idx="18">
                  <c:v>2018</c:v>
                </c:pt>
                <c:pt idx="19">
                  <c:v>2019</c:v>
                </c:pt>
              </c:numCache>
            </c:numRef>
          </c:cat>
          <c:val>
            <c:numRef>
              <c:f>List1!$C$2:$C$21</c:f>
              <c:numCache>
                <c:formatCode>0.000</c:formatCode>
                <c:ptCount val="20"/>
                <c:pt idx="0">
                  <c:v>51.45252</c:v>
                </c:pt>
                <c:pt idx="1">
                  <c:v>29.897814000000135</c:v>
                </c:pt>
                <c:pt idx="2">
                  <c:v>21.898199999999989</c:v>
                </c:pt>
                <c:pt idx="3">
                  <c:v>9.2532139999999998</c:v>
                </c:pt>
                <c:pt idx="4">
                  <c:v>9.8150240000000046</c:v>
                </c:pt>
                <c:pt idx="5">
                  <c:v>8.370825</c:v>
                </c:pt>
                <c:pt idx="6">
                  <c:v>10.363336000000096</c:v>
                </c:pt>
                <c:pt idx="7">
                  <c:v>12.139638</c:v>
                </c:pt>
                <c:pt idx="8">
                  <c:v>9.4786320000000028</c:v>
                </c:pt>
                <c:pt idx="9">
                  <c:v>12.829513</c:v>
                </c:pt>
                <c:pt idx="10">
                  <c:v>12.469365</c:v>
                </c:pt>
                <c:pt idx="11">
                  <c:v>10.789760000000001</c:v>
                </c:pt>
                <c:pt idx="12">
                  <c:v>11.181850999999998</c:v>
                </c:pt>
                <c:pt idx="13">
                  <c:v>11.057559000000024</c:v>
                </c:pt>
                <c:pt idx="14">
                  <c:v>11.558586000000076</c:v>
                </c:pt>
                <c:pt idx="15">
                  <c:v>12.958099000000002</c:v>
                </c:pt>
                <c:pt idx="16">
                  <c:v>15.621922999999999</c:v>
                </c:pt>
                <c:pt idx="17">
                  <c:v>15.233432000000002</c:v>
                </c:pt>
                <c:pt idx="18">
                  <c:v>16.344483</c:v>
                </c:pt>
                <c:pt idx="19">
                  <c:v>18.319471000000135</c:v>
                </c:pt>
              </c:numCache>
            </c:numRef>
          </c:val>
        </c:ser>
        <c:marker val="1"/>
        <c:axId val="118283264"/>
        <c:axId val="118285056"/>
      </c:lineChart>
      <c:lineChart>
        <c:grouping val="standard"/>
        <c:ser>
          <c:idx val="1"/>
          <c:order val="1"/>
          <c:tx>
            <c:strRef>
              <c:f>List1!$D$1</c:f>
              <c:strCache>
                <c:ptCount val="1"/>
                <c:pt idx="0">
                  <c:v>tržby</c:v>
                </c:pt>
              </c:strCache>
            </c:strRef>
          </c:tx>
          <c:cat>
            <c:numRef>
              <c:f>List1!$B$2:$B$21</c:f>
              <c:numCache>
                <c:formatCode>General</c:formatCode>
                <c:ptCount val="20"/>
                <c:pt idx="0">
                  <c:v>1989</c:v>
                </c:pt>
                <c:pt idx="1">
                  <c:v>1991</c:v>
                </c:pt>
                <c:pt idx="2">
                  <c:v>1993</c:v>
                </c:pt>
                <c:pt idx="3">
                  <c:v>1995</c:v>
                </c:pt>
                <c:pt idx="4">
                  <c:v>1997</c:v>
                </c:pt>
                <c:pt idx="5">
                  <c:v>1999</c:v>
                </c:pt>
                <c:pt idx="6">
                  <c:v>2001</c:v>
                </c:pt>
                <c:pt idx="7">
                  <c:v>2003</c:v>
                </c:pt>
                <c:pt idx="8">
                  <c:v>2005</c:v>
                </c:pt>
                <c:pt idx="9">
                  <c:v>2007</c:v>
                </c:pt>
                <c:pt idx="10">
                  <c:v>2009</c:v>
                </c:pt>
                <c:pt idx="11">
                  <c:v>2011</c:v>
                </c:pt>
                <c:pt idx="12">
                  <c:v>2012</c:v>
                </c:pt>
                <c:pt idx="13">
                  <c:v>2013</c:v>
                </c:pt>
                <c:pt idx="14">
                  <c:v>2014</c:v>
                </c:pt>
                <c:pt idx="15">
                  <c:v>2015</c:v>
                </c:pt>
                <c:pt idx="16">
                  <c:v>2016</c:v>
                </c:pt>
                <c:pt idx="17">
                  <c:v>2017</c:v>
                </c:pt>
                <c:pt idx="18">
                  <c:v>2018</c:v>
                </c:pt>
                <c:pt idx="19">
                  <c:v>2019</c:v>
                </c:pt>
              </c:numCache>
            </c:numRef>
          </c:cat>
          <c:val>
            <c:numRef>
              <c:f>List1!$D$2:$D$21</c:f>
              <c:numCache>
                <c:formatCode>0.000</c:formatCode>
                <c:ptCount val="20"/>
                <c:pt idx="0">
                  <c:v>354.40432599999963</c:v>
                </c:pt>
                <c:pt idx="1">
                  <c:v>323.18650999999869</c:v>
                </c:pt>
                <c:pt idx="2">
                  <c:v>432.90459399999969</c:v>
                </c:pt>
                <c:pt idx="3">
                  <c:v>254.206096</c:v>
                </c:pt>
                <c:pt idx="4">
                  <c:v>436.96089000000001</c:v>
                </c:pt>
                <c:pt idx="5">
                  <c:v>496.06289299999997</c:v>
                </c:pt>
                <c:pt idx="6">
                  <c:v>817.68152499999997</c:v>
                </c:pt>
                <c:pt idx="7">
                  <c:v>1084.0099550000011</c:v>
                </c:pt>
                <c:pt idx="8">
                  <c:v>854.48562399999946</c:v>
                </c:pt>
                <c:pt idx="9">
                  <c:v>1200.0042249999869</c:v>
                </c:pt>
                <c:pt idx="10">
                  <c:v>1251.0653749999999</c:v>
                </c:pt>
                <c:pt idx="11">
                  <c:v>1209.8740869999881</c:v>
                </c:pt>
                <c:pt idx="12">
                  <c:v>1275.596489</c:v>
                </c:pt>
                <c:pt idx="13">
                  <c:v>1424.2456470000011</c:v>
                </c:pt>
                <c:pt idx="14">
                  <c:v>1462.6702329999837</c:v>
                </c:pt>
                <c:pt idx="15">
                  <c:v>1669.1765809999999</c:v>
                </c:pt>
                <c:pt idx="16">
                  <c:v>2011.0441979999998</c:v>
                </c:pt>
                <c:pt idx="17">
                  <c:v>2004.2451309999999</c:v>
                </c:pt>
                <c:pt idx="18">
                  <c:v>2268.9426229999999</c:v>
                </c:pt>
                <c:pt idx="19">
                  <c:v>2616.6036389999999</c:v>
                </c:pt>
              </c:numCache>
            </c:numRef>
          </c:val>
        </c:ser>
        <c:marker val="1"/>
        <c:axId val="118289152"/>
        <c:axId val="118286976"/>
      </c:lineChart>
      <c:catAx>
        <c:axId val="118283264"/>
        <c:scaling>
          <c:orientation val="minMax"/>
        </c:scaling>
        <c:axPos val="b"/>
        <c:numFmt formatCode="General" sourceLinked="1"/>
        <c:tickLblPos val="nextTo"/>
        <c:crossAx val="118285056"/>
        <c:crosses val="autoZero"/>
        <c:auto val="1"/>
        <c:lblAlgn val="ctr"/>
        <c:lblOffset val="100"/>
      </c:catAx>
      <c:valAx>
        <c:axId val="118285056"/>
        <c:scaling>
          <c:orientation val="minMax"/>
        </c:scaling>
        <c:axPos val="l"/>
        <c:majorGridlines/>
        <c:title>
          <c:tx>
            <c:rich>
              <a:bodyPr rot="-5400000" vert="horz"/>
              <a:lstStyle/>
              <a:p>
                <a:pPr>
                  <a:defRPr/>
                </a:pPr>
                <a:r>
                  <a:rPr lang="cs-CZ"/>
                  <a:t>Návštěvnost (mil. návštěv)</a:t>
                </a:r>
              </a:p>
            </c:rich>
          </c:tx>
        </c:title>
        <c:numFmt formatCode="0" sourceLinked="0"/>
        <c:tickLblPos val="nextTo"/>
        <c:crossAx val="118283264"/>
        <c:crosses val="autoZero"/>
        <c:crossBetween val="between"/>
      </c:valAx>
      <c:valAx>
        <c:axId val="118286976"/>
        <c:scaling>
          <c:orientation val="minMax"/>
        </c:scaling>
        <c:axPos val="r"/>
        <c:title>
          <c:tx>
            <c:rich>
              <a:bodyPr rot="-5400000" vert="horz"/>
              <a:lstStyle/>
              <a:p>
                <a:pPr>
                  <a:defRPr/>
                </a:pPr>
                <a:r>
                  <a:rPr lang="cs-CZ"/>
                  <a:t>Tržby (mil. Kč)</a:t>
                </a:r>
              </a:p>
            </c:rich>
          </c:tx>
        </c:title>
        <c:numFmt formatCode="0" sourceLinked="0"/>
        <c:tickLblPos val="nextTo"/>
        <c:crossAx val="118289152"/>
        <c:crosses val="max"/>
        <c:crossBetween val="between"/>
      </c:valAx>
      <c:catAx>
        <c:axId val="118289152"/>
        <c:scaling>
          <c:orientation val="minMax"/>
        </c:scaling>
        <c:delete val="1"/>
        <c:axPos val="b"/>
        <c:numFmt formatCode="General" sourceLinked="1"/>
        <c:tickLblPos val="none"/>
        <c:crossAx val="118286976"/>
        <c:crosses val="autoZero"/>
        <c:auto val="1"/>
        <c:lblAlgn val="ctr"/>
        <c:lblOffset val="100"/>
      </c:catAx>
    </c:plotArea>
    <c:legend>
      <c:legendPos val="t"/>
    </c:legend>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List2!$B$11:$B$12</c:f>
              <c:strCache>
                <c:ptCount val="1"/>
                <c:pt idx="0">
                  <c:v>2019 návštěvnost</c:v>
                </c:pt>
              </c:strCache>
            </c:strRef>
          </c:tx>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List2!$B$13:$B$20</c:f>
              <c:numCache>
                <c:formatCode>General</c:formatCode>
                <c:ptCount val="8"/>
                <c:pt idx="0">
                  <c:v>1.3174209999999877</c:v>
                </c:pt>
                <c:pt idx="1">
                  <c:v>1.957276</c:v>
                </c:pt>
                <c:pt idx="2">
                  <c:v>1.7972949999999845</c:v>
                </c:pt>
                <c:pt idx="3">
                  <c:v>1.520181</c:v>
                </c:pt>
                <c:pt idx="4">
                  <c:v>1.2770569999999999</c:v>
                </c:pt>
                <c:pt idx="5">
                  <c:v>0.91557899999999959</c:v>
                </c:pt>
                <c:pt idx="6">
                  <c:v>1.4269179999999999</c:v>
                </c:pt>
                <c:pt idx="7">
                  <c:v>1.6388580000000001</c:v>
                </c:pt>
              </c:numCache>
            </c:numRef>
          </c:val>
        </c:ser>
        <c:ser>
          <c:idx val="2"/>
          <c:order val="1"/>
          <c:tx>
            <c:strRef>
              <c:f>List2!$D$11:$D$12</c:f>
              <c:strCache>
                <c:ptCount val="1"/>
                <c:pt idx="0">
                  <c:v>2020 návštěvnost</c:v>
                </c:pt>
              </c:strCache>
            </c:strRef>
          </c:tx>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List2!$D$13:$D$20</c:f>
              <c:numCache>
                <c:formatCode>General</c:formatCode>
                <c:ptCount val="8"/>
                <c:pt idx="0">
                  <c:v>1.4418939999999798</c:v>
                </c:pt>
                <c:pt idx="1">
                  <c:v>1.42615</c:v>
                </c:pt>
                <c:pt idx="2">
                  <c:v>0.52429099999999951</c:v>
                </c:pt>
                <c:pt idx="3">
                  <c:v>3.016E-3</c:v>
                </c:pt>
                <c:pt idx="4">
                  <c:v>0.12235699999999998</c:v>
                </c:pt>
                <c:pt idx="5">
                  <c:v>0.29875000000000002</c:v>
                </c:pt>
                <c:pt idx="6">
                  <c:v>0.70922499999999999</c:v>
                </c:pt>
                <c:pt idx="7">
                  <c:v>0.95116899999999949</c:v>
                </c:pt>
              </c:numCache>
            </c:numRef>
          </c:val>
        </c:ser>
        <c:axId val="118303360"/>
        <c:axId val="118309248"/>
      </c:barChart>
      <c:lineChart>
        <c:grouping val="standard"/>
        <c:ser>
          <c:idx val="3"/>
          <c:order val="2"/>
          <c:tx>
            <c:strRef>
              <c:f>List2!$E$11:$E$12</c:f>
              <c:strCache>
                <c:ptCount val="1"/>
                <c:pt idx="0">
                  <c:v>2020 tržby</c:v>
                </c:pt>
              </c:strCache>
            </c:strRef>
          </c:tx>
          <c:spPr>
            <a:ln>
              <a:solidFill>
                <a:schemeClr val="accent6">
                  <a:lumMod val="60000"/>
                  <a:lumOff val="40000"/>
                </a:schemeClr>
              </a:solidFill>
            </a:ln>
          </c:spPr>
          <c:marker>
            <c:symbol val="none"/>
          </c:marker>
          <c:cat>
            <c:strRef>
              <c:f>List2!$A$13:$A$20</c:f>
              <c:strCache>
                <c:ptCount val="8"/>
                <c:pt idx="0">
                  <c:v>leden</c:v>
                </c:pt>
                <c:pt idx="1">
                  <c:v>únor</c:v>
                </c:pt>
                <c:pt idx="2">
                  <c:v>březen</c:v>
                </c:pt>
                <c:pt idx="3">
                  <c:v>duben</c:v>
                </c:pt>
                <c:pt idx="4">
                  <c:v>květen</c:v>
                </c:pt>
                <c:pt idx="5">
                  <c:v>červen</c:v>
                </c:pt>
                <c:pt idx="6">
                  <c:v>červenec</c:v>
                </c:pt>
                <c:pt idx="7">
                  <c:v>srpen</c:v>
                </c:pt>
              </c:strCache>
            </c:strRef>
          </c:cat>
          <c:val>
            <c:numRef>
              <c:f>List2!$E$13:$E$20</c:f>
              <c:numCache>
                <c:formatCode>General</c:formatCode>
                <c:ptCount val="8"/>
                <c:pt idx="0">
                  <c:v>210.24377899999786</c:v>
                </c:pt>
                <c:pt idx="1">
                  <c:v>211.28528900000001</c:v>
                </c:pt>
                <c:pt idx="2">
                  <c:v>75.682058999999015</c:v>
                </c:pt>
                <c:pt idx="3">
                  <c:v>0.26863600000000004</c:v>
                </c:pt>
                <c:pt idx="4">
                  <c:v>16.375664999999987</c:v>
                </c:pt>
                <c:pt idx="5">
                  <c:v>40.952905000000001</c:v>
                </c:pt>
                <c:pt idx="6">
                  <c:v>92.837199999999996</c:v>
                </c:pt>
                <c:pt idx="7">
                  <c:v>125.56381499999999</c:v>
                </c:pt>
              </c:numCache>
            </c:numRef>
          </c:val>
        </c:ser>
        <c:marker val="1"/>
        <c:axId val="118317440"/>
        <c:axId val="118311168"/>
      </c:lineChart>
      <c:catAx>
        <c:axId val="118303360"/>
        <c:scaling>
          <c:orientation val="minMax"/>
        </c:scaling>
        <c:axPos val="b"/>
        <c:tickLblPos val="nextTo"/>
        <c:crossAx val="118309248"/>
        <c:crosses val="autoZero"/>
        <c:auto val="1"/>
        <c:lblAlgn val="ctr"/>
        <c:lblOffset val="100"/>
      </c:catAx>
      <c:valAx>
        <c:axId val="118309248"/>
        <c:scaling>
          <c:orientation val="minMax"/>
        </c:scaling>
        <c:axPos val="l"/>
        <c:title>
          <c:tx>
            <c:rich>
              <a:bodyPr rot="-5400000" vert="horz"/>
              <a:lstStyle/>
              <a:p>
                <a:pPr>
                  <a:defRPr/>
                </a:pPr>
                <a:r>
                  <a:rPr lang="cs-CZ" b="0"/>
                  <a:t>Návštěvnost (mil. návštěv)</a:t>
                </a:r>
              </a:p>
            </c:rich>
          </c:tx>
        </c:title>
        <c:numFmt formatCode="General" sourceLinked="1"/>
        <c:tickLblPos val="nextTo"/>
        <c:crossAx val="118303360"/>
        <c:crosses val="autoZero"/>
        <c:crossBetween val="between"/>
      </c:valAx>
      <c:valAx>
        <c:axId val="118311168"/>
        <c:scaling>
          <c:orientation val="minMax"/>
        </c:scaling>
        <c:axPos val="r"/>
        <c:title>
          <c:tx>
            <c:rich>
              <a:bodyPr rot="-5400000" vert="horz"/>
              <a:lstStyle/>
              <a:p>
                <a:pPr>
                  <a:defRPr/>
                </a:pPr>
                <a:r>
                  <a:rPr lang="cs-CZ" b="0"/>
                  <a:t>Tržby (mil. Kč)</a:t>
                </a:r>
              </a:p>
            </c:rich>
          </c:tx>
        </c:title>
        <c:numFmt formatCode="General" sourceLinked="1"/>
        <c:tickLblPos val="nextTo"/>
        <c:crossAx val="118317440"/>
        <c:crosses val="max"/>
        <c:crossBetween val="between"/>
      </c:valAx>
      <c:catAx>
        <c:axId val="118317440"/>
        <c:scaling>
          <c:orientation val="minMax"/>
        </c:scaling>
        <c:delete val="1"/>
        <c:axPos val="b"/>
        <c:tickLblPos val="none"/>
        <c:crossAx val="118311168"/>
        <c:crosses val="autoZero"/>
        <c:auto val="1"/>
        <c:lblAlgn val="ctr"/>
        <c:lblOffset val="100"/>
      </c:catAx>
    </c:plotArea>
    <c:legend>
      <c:legendPos val="t"/>
    </c:legend>
    <c:plotVisOnly val="1"/>
    <c:dispBlanksAs val="gap"/>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1.0400416016640665E-2"/>
          <c:y val="0.13053368328958867"/>
          <c:w val="0.97936279025964157"/>
          <c:h val="0.55556324690182957"/>
        </c:manualLayout>
      </c:layout>
      <c:barChart>
        <c:barDir val="col"/>
        <c:grouping val="clustered"/>
        <c:ser>
          <c:idx val="0"/>
          <c:order val="0"/>
          <c:tx>
            <c:strRef>
              <c:f>'10.2,,3'!$N$5</c:f>
              <c:strCache>
                <c:ptCount val="1"/>
                <c:pt idx="0">
                  <c:v> Celkem (16–74 let)</c:v>
                </c:pt>
              </c:strCache>
            </c:strRef>
          </c:tx>
          <c:dPt>
            <c:idx val="9"/>
            <c:spPr>
              <a:solidFill>
                <a:srgbClr val="F79646">
                  <a:lumMod val="60000"/>
                  <a:lumOff val="40000"/>
                </a:srgbClr>
              </a:solidFill>
            </c:spPr>
            <c:extLst xmlns:c16r2="http://schemas.microsoft.com/office/drawing/2015/06/chart">
              <c:ext xmlns:c16="http://schemas.microsoft.com/office/drawing/2014/chart" uri="{C3380CC4-5D6E-409C-BE32-E72D297353CC}">
                <c16:uniqueId val="{00000001-472E-48C0-980F-CFFA01DB8831}"/>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E-472E-48C0-980F-CFFA01DB8831}"/>
              </c:ext>
            </c:extLst>
          </c:dPt>
          <c:dLbls>
            <c:numFmt formatCode="#,##0" sourceLinked="0"/>
            <c:showVal val="1"/>
          </c:dLbls>
          <c:cat>
            <c:strRef>
              <c:f>'10.2,,3'!$M$6:$M$34</c:f>
              <c:strCache>
                <c:ptCount val="29"/>
                <c:pt idx="0">
                  <c:v>Švédsko</c:v>
                </c:pt>
                <c:pt idx="1">
                  <c:v>Nizozemsko</c:v>
                </c:pt>
                <c:pt idx="2">
                  <c:v>Dánsko</c:v>
                </c:pt>
                <c:pt idx="3">
                  <c:v>Velká Británie</c:v>
                </c:pt>
                <c:pt idx="4">
                  <c:v>Finsko</c:v>
                </c:pt>
                <c:pt idx="5">
                  <c:v>Irsko</c:v>
                </c:pt>
                <c:pt idx="6">
                  <c:v>Malta</c:v>
                </c:pt>
                <c:pt idx="7">
                  <c:v>Španělsko</c:v>
                </c:pt>
                <c:pt idx="8">
                  <c:v>Německo</c:v>
                </c:pt>
                <c:pt idx="9">
                  <c:v>EU28 průměr</c:v>
                </c:pt>
                <c:pt idx="10">
                  <c:v>Rakousko</c:v>
                </c:pt>
                <c:pt idx="11">
                  <c:v>Estonsko</c:v>
                </c:pt>
                <c:pt idx="12">
                  <c:v>Lucembursko</c:v>
                </c:pt>
                <c:pt idx="13">
                  <c:v>Belgie</c:v>
                </c:pt>
                <c:pt idx="14">
                  <c:v>Francie</c:v>
                </c:pt>
                <c:pt idx="15">
                  <c:v>Chorvatsko</c:v>
                </c:pt>
                <c:pt idx="16">
                  <c:v>Itálie</c:v>
                </c:pt>
                <c:pt idx="17">
                  <c:v>Slovensko</c:v>
                </c:pt>
                <c:pt idx="18">
                  <c:v>Slovinsko</c:v>
                </c:pt>
                <c:pt idx="19">
                  <c:v>Lotyšsko</c:v>
                </c:pt>
                <c:pt idx="20">
                  <c:v>Litva</c:v>
                </c:pt>
                <c:pt idx="21">
                  <c:v>Polsko</c:v>
                </c:pt>
                <c:pt idx="22">
                  <c:v>Portugalsko</c:v>
                </c:pt>
                <c:pt idx="23">
                  <c:v>Kypr</c:v>
                </c:pt>
                <c:pt idx="24">
                  <c:v>Maďarsko</c:v>
                </c:pt>
                <c:pt idx="25">
                  <c:v>Řecko</c:v>
                </c:pt>
                <c:pt idx="26">
                  <c:v>Rumunsko</c:v>
                </c:pt>
                <c:pt idx="27">
                  <c:v>Bulharsko</c:v>
                </c:pt>
                <c:pt idx="28">
                  <c:v>Česko</c:v>
                </c:pt>
              </c:strCache>
            </c:strRef>
          </c:cat>
          <c:val>
            <c:numRef>
              <c:f>'10.2,,3'!$N$6:$N$34</c:f>
              <c:numCache>
                <c:formatCode>General</c:formatCode>
                <c:ptCount val="29"/>
                <c:pt idx="0">
                  <c:v>55.852200000000003</c:v>
                </c:pt>
                <c:pt idx="1">
                  <c:v>54.605100000000213</c:v>
                </c:pt>
                <c:pt idx="2">
                  <c:v>54.304699999999997</c:v>
                </c:pt>
                <c:pt idx="3">
                  <c:v>50.328400000000009</c:v>
                </c:pt>
                <c:pt idx="4">
                  <c:v>47.141500000000001</c:v>
                </c:pt>
                <c:pt idx="5">
                  <c:v>39.147300000000001</c:v>
                </c:pt>
                <c:pt idx="6">
                  <c:v>38.5137</c:v>
                </c:pt>
                <c:pt idx="7">
                  <c:v>33.895300000000013</c:v>
                </c:pt>
                <c:pt idx="8">
                  <c:v>28.357300000000031</c:v>
                </c:pt>
                <c:pt idx="9">
                  <c:v>26.487899999999989</c:v>
                </c:pt>
                <c:pt idx="10">
                  <c:v>24.5002</c:v>
                </c:pt>
                <c:pt idx="11">
                  <c:v>23.744799999999767</c:v>
                </c:pt>
                <c:pt idx="12">
                  <c:v>23.490099999999789</c:v>
                </c:pt>
                <c:pt idx="13">
                  <c:v>21.0124</c:v>
                </c:pt>
                <c:pt idx="14">
                  <c:v>19.8858</c:v>
                </c:pt>
                <c:pt idx="15">
                  <c:v>19.7639</c:v>
                </c:pt>
                <c:pt idx="16">
                  <c:v>17.386499999999774</c:v>
                </c:pt>
                <c:pt idx="17">
                  <c:v>13.2821</c:v>
                </c:pt>
                <c:pt idx="18">
                  <c:v>12.879700000000026</c:v>
                </c:pt>
                <c:pt idx="19">
                  <c:v>12.736600000000001</c:v>
                </c:pt>
                <c:pt idx="20">
                  <c:v>11.995400000000076</c:v>
                </c:pt>
                <c:pt idx="21">
                  <c:v>11.886400000000076</c:v>
                </c:pt>
                <c:pt idx="22">
                  <c:v>10.366100000000024</c:v>
                </c:pt>
                <c:pt idx="23">
                  <c:v>9.1689000000000025</c:v>
                </c:pt>
                <c:pt idx="24">
                  <c:v>8.3765000000000267</c:v>
                </c:pt>
                <c:pt idx="25">
                  <c:v>7.6540999999999855</c:v>
                </c:pt>
                <c:pt idx="26">
                  <c:v>7.2168999999999999</c:v>
                </c:pt>
                <c:pt idx="27">
                  <c:v>6.0815000000000001</c:v>
                </c:pt>
                <c:pt idx="28">
                  <c:v>4.3784000000000001</c:v>
                </c:pt>
              </c:numCache>
            </c:numRef>
          </c:val>
          <c:extLst xmlns:c16r2="http://schemas.microsoft.com/office/drawing/2015/06/chart">
            <c:ext xmlns:c16="http://schemas.microsoft.com/office/drawing/2014/chart" uri="{C3380CC4-5D6E-409C-BE32-E72D297353CC}">
              <c16:uniqueId val="{0000000F-472E-48C0-980F-CFFA01DB8831}"/>
            </c:ext>
          </c:extLst>
        </c:ser>
        <c:gapWidth val="75"/>
        <c:axId val="118556928"/>
        <c:axId val="119472128"/>
      </c:barChart>
      <c:scatterChart>
        <c:scatterStyle val="lineMarker"/>
        <c:ser>
          <c:idx val="1"/>
          <c:order val="1"/>
          <c:tx>
            <c:strRef>
              <c:f>'10.2,,3'!$O$5</c:f>
              <c:strCache>
                <c:ptCount val="1"/>
                <c:pt idx="0">
                  <c:v> 55–74 let</c:v>
                </c:pt>
              </c:strCache>
            </c:strRef>
          </c:tx>
          <c:spPr>
            <a:ln w="28575">
              <a:noFill/>
            </a:ln>
          </c:spPr>
          <c:marker>
            <c:symbol val="diamond"/>
            <c:size val="7"/>
            <c:spPr>
              <a:solidFill>
                <a:schemeClr val="accent6">
                  <a:lumMod val="60000"/>
                  <a:lumOff val="40000"/>
                </a:schemeClr>
              </a:solidFill>
            </c:spPr>
          </c:marker>
          <c:dPt>
            <c:idx val="9"/>
            <c:marker>
              <c:spPr>
                <a:solidFill>
                  <a:schemeClr val="accent1">
                    <a:lumMod val="75000"/>
                  </a:schemeClr>
                </a:solidFill>
              </c:spPr>
            </c:marker>
          </c:dPt>
          <c:dPt>
            <c:idx val="28"/>
            <c:marker>
              <c:spPr>
                <a:solidFill>
                  <a:schemeClr val="accent1">
                    <a:lumMod val="75000"/>
                  </a:schemeClr>
                </a:solidFill>
              </c:spPr>
            </c:marker>
          </c:dPt>
          <c:xVal>
            <c:strRef>
              <c:f>'10.2,,3'!$M$6:$M$34</c:f>
              <c:strCache>
                <c:ptCount val="29"/>
                <c:pt idx="0">
                  <c:v>Švédsko</c:v>
                </c:pt>
                <c:pt idx="1">
                  <c:v>Nizozemsko</c:v>
                </c:pt>
                <c:pt idx="2">
                  <c:v>Dánsko</c:v>
                </c:pt>
                <c:pt idx="3">
                  <c:v>Velká Británie</c:v>
                </c:pt>
                <c:pt idx="4">
                  <c:v>Finsko</c:v>
                </c:pt>
                <c:pt idx="5">
                  <c:v>Irsko</c:v>
                </c:pt>
                <c:pt idx="6">
                  <c:v>Malta</c:v>
                </c:pt>
                <c:pt idx="7">
                  <c:v>Španělsko</c:v>
                </c:pt>
                <c:pt idx="8">
                  <c:v>Německo</c:v>
                </c:pt>
                <c:pt idx="9">
                  <c:v>EU28 průměr</c:v>
                </c:pt>
                <c:pt idx="10">
                  <c:v>Rakousko</c:v>
                </c:pt>
                <c:pt idx="11">
                  <c:v>Estonsko</c:v>
                </c:pt>
                <c:pt idx="12">
                  <c:v>Lucembursko</c:v>
                </c:pt>
                <c:pt idx="13">
                  <c:v>Belgie</c:v>
                </c:pt>
                <c:pt idx="14">
                  <c:v>Francie</c:v>
                </c:pt>
                <c:pt idx="15">
                  <c:v>Chorvatsko</c:v>
                </c:pt>
                <c:pt idx="16">
                  <c:v>Itálie</c:v>
                </c:pt>
                <c:pt idx="17">
                  <c:v>Slovensko</c:v>
                </c:pt>
                <c:pt idx="18">
                  <c:v>Slovinsko</c:v>
                </c:pt>
                <c:pt idx="19">
                  <c:v>Lotyšsko</c:v>
                </c:pt>
                <c:pt idx="20">
                  <c:v>Litva</c:v>
                </c:pt>
                <c:pt idx="21">
                  <c:v>Polsko</c:v>
                </c:pt>
                <c:pt idx="22">
                  <c:v>Portugalsko</c:v>
                </c:pt>
                <c:pt idx="23">
                  <c:v>Kypr</c:v>
                </c:pt>
                <c:pt idx="24">
                  <c:v>Maďarsko</c:v>
                </c:pt>
                <c:pt idx="25">
                  <c:v>Řecko</c:v>
                </c:pt>
                <c:pt idx="26">
                  <c:v>Rumunsko</c:v>
                </c:pt>
                <c:pt idx="27">
                  <c:v>Bulharsko</c:v>
                </c:pt>
                <c:pt idx="28">
                  <c:v>Česko</c:v>
                </c:pt>
              </c:strCache>
            </c:strRef>
          </c:xVal>
          <c:yVal>
            <c:numRef>
              <c:f>'10.2,,3'!$O$6:$O$34</c:f>
              <c:numCache>
                <c:formatCode>General</c:formatCode>
                <c:ptCount val="29"/>
                <c:pt idx="0">
                  <c:v>32.725000000000399</c:v>
                </c:pt>
                <c:pt idx="1">
                  <c:v>28.64</c:v>
                </c:pt>
                <c:pt idx="2">
                  <c:v>21.609400000000001</c:v>
                </c:pt>
                <c:pt idx="3">
                  <c:v>24.1401</c:v>
                </c:pt>
                <c:pt idx="4">
                  <c:v>15.071200000000001</c:v>
                </c:pt>
                <c:pt idx="5">
                  <c:v>10.510300000000001</c:v>
                </c:pt>
                <c:pt idx="6">
                  <c:v>17.156600000000001</c:v>
                </c:pt>
                <c:pt idx="7">
                  <c:v>16.147200000000005</c:v>
                </c:pt>
                <c:pt idx="8">
                  <c:v>6.9875999999999996</c:v>
                </c:pt>
                <c:pt idx="9">
                  <c:v>9.8808000000000007</c:v>
                </c:pt>
                <c:pt idx="10">
                  <c:v>4.5303999999999993</c:v>
                </c:pt>
                <c:pt idx="11">
                  <c:v>8.588000000000001</c:v>
                </c:pt>
                <c:pt idx="12">
                  <c:v>11.616900000000001</c:v>
                </c:pt>
                <c:pt idx="13">
                  <c:v>5.0143999999999975</c:v>
                </c:pt>
                <c:pt idx="14">
                  <c:v>5.3422000000000001</c:v>
                </c:pt>
                <c:pt idx="15">
                  <c:v>7.9220999999999995</c:v>
                </c:pt>
                <c:pt idx="16">
                  <c:v>5.6939999999999955</c:v>
                </c:pt>
                <c:pt idx="17">
                  <c:v>3.4899999999999998</c:v>
                </c:pt>
                <c:pt idx="18">
                  <c:v>3.6745000000000001</c:v>
                </c:pt>
                <c:pt idx="19">
                  <c:v>4.4169</c:v>
                </c:pt>
                <c:pt idx="20">
                  <c:v>2.5324999999999767</c:v>
                </c:pt>
                <c:pt idx="21">
                  <c:v>2.6482000000000001</c:v>
                </c:pt>
                <c:pt idx="22">
                  <c:v>2.4091999999999998</c:v>
                </c:pt>
                <c:pt idx="23">
                  <c:v>3.0152999999999968</c:v>
                </c:pt>
                <c:pt idx="24">
                  <c:v>2.0369999999999977</c:v>
                </c:pt>
                <c:pt idx="25">
                  <c:v>2.8670999999999998</c:v>
                </c:pt>
                <c:pt idx="26">
                  <c:v>2.2169000000000003</c:v>
                </c:pt>
                <c:pt idx="27">
                  <c:v>1.1485000000000001</c:v>
                </c:pt>
                <c:pt idx="28">
                  <c:v>1.3097999999999852</c:v>
                </c:pt>
              </c:numCache>
            </c:numRef>
          </c:yVal>
          <c:extLst xmlns:c16r2="http://schemas.microsoft.com/office/drawing/2015/06/chart">
            <c:ext xmlns:c16="http://schemas.microsoft.com/office/drawing/2014/chart" uri="{C3380CC4-5D6E-409C-BE32-E72D297353CC}">
              <c16:uniqueId val="{00000010-472E-48C0-980F-CFFA01DB8831}"/>
            </c:ext>
          </c:extLst>
        </c:ser>
        <c:axId val="118556928"/>
        <c:axId val="119472128"/>
      </c:scatterChart>
      <c:catAx>
        <c:axId val="118556928"/>
        <c:scaling>
          <c:orientation val="minMax"/>
        </c:scaling>
        <c:axPos val="b"/>
        <c:numFmt formatCode="General" sourceLinked="0"/>
        <c:majorTickMark val="none"/>
        <c:tickLblPos val="nextTo"/>
        <c:txPr>
          <a:bodyPr rot="-5400000" vert="horz"/>
          <a:lstStyle/>
          <a:p>
            <a:pPr>
              <a:defRPr/>
            </a:pPr>
            <a:endParaRPr lang="cs-CZ"/>
          </a:p>
        </c:txPr>
        <c:crossAx val="119472128"/>
        <c:crosses val="autoZero"/>
        <c:auto val="1"/>
        <c:lblAlgn val="ctr"/>
        <c:lblOffset val="100"/>
      </c:catAx>
      <c:valAx>
        <c:axId val="119472128"/>
        <c:scaling>
          <c:orientation val="minMax"/>
          <c:max val="60"/>
        </c:scaling>
        <c:delete val="1"/>
        <c:axPos val="l"/>
        <c:numFmt formatCode="#,##0" sourceLinked="0"/>
        <c:tickLblPos val="none"/>
        <c:crossAx val="118556928"/>
        <c:crosses val="autoZero"/>
        <c:crossBetween val="between"/>
        <c:majorUnit val="10"/>
      </c:valAx>
    </c:plotArea>
    <c:legend>
      <c:legendPos val="t"/>
      <c:layout>
        <c:manualLayout>
          <c:xMode val="edge"/>
          <c:yMode val="edge"/>
          <c:x val="0.26708661417322832"/>
          <c:y val="5.4929672252506924E-2"/>
          <c:w val="0.31038844799189158"/>
          <c:h val="7.2679647354969526E-2"/>
        </c:manualLayout>
      </c:layout>
    </c:legend>
    <c:plotVisOnly val="1"/>
    <c:dispBlanksAs val="gap"/>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List1!$K$1</c:f>
              <c:strCache>
                <c:ptCount val="1"/>
                <c:pt idx="0">
                  <c:v>muži</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List1!$K$2:$K$8</c:f>
              <c:numCache>
                <c:formatCode>General</c:formatCode>
                <c:ptCount val="7"/>
                <c:pt idx="0">
                  <c:v>0.31093211324476805</c:v>
                </c:pt>
                <c:pt idx="1">
                  <c:v>0.16395454552089544</c:v>
                </c:pt>
                <c:pt idx="2">
                  <c:v>3.9616448572692142E-2</c:v>
                </c:pt>
                <c:pt idx="3">
                  <c:v>0.25161023702669061</c:v>
                </c:pt>
                <c:pt idx="4">
                  <c:v>7.352815472933838E-2</c:v>
                </c:pt>
                <c:pt idx="5">
                  <c:v>1.7515716944383936E-2</c:v>
                </c:pt>
                <c:pt idx="6">
                  <c:v>0.14284278396125891</c:v>
                </c:pt>
              </c:numCache>
            </c:numRef>
          </c:val>
          <c:extLst xmlns:c16r2="http://schemas.microsoft.com/office/drawing/2015/06/chart">
            <c:ext xmlns:c16="http://schemas.microsoft.com/office/drawing/2014/chart" uri="{C3380CC4-5D6E-409C-BE32-E72D297353CC}">
              <c16:uniqueId val="{00000000-F217-41AB-95E2-9E9D710BBFDB}"/>
            </c:ext>
          </c:extLst>
        </c:ser>
        <c:ser>
          <c:idx val="1"/>
          <c:order val="1"/>
          <c:tx>
            <c:strRef>
              <c:f>List1!$L$1</c:f>
              <c:strCache>
                <c:ptCount val="1"/>
                <c:pt idx="0">
                  <c:v>ženy</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List1!$J$2:$J$8</c:f>
              <c:strCache>
                <c:ptCount val="7"/>
                <c:pt idx="0">
                  <c:v>ano, 1-3 krát</c:v>
                </c:pt>
                <c:pt idx="1">
                  <c:v>ano, více než 3krát</c:v>
                </c:pt>
                <c:pt idx="2">
                  <c:v>ne, nemohl(a) jsem si to dovolit</c:v>
                </c:pt>
                <c:pt idx="3">
                  <c:v>ne, neměl(a) jsem zájem</c:v>
                </c:pt>
                <c:pt idx="4">
                  <c:v>ne, neměl(a) jsem čas</c:v>
                </c:pt>
                <c:pt idx="5">
                  <c:v>ne, nebyly v dostupné vzdálenosti</c:v>
                </c:pt>
                <c:pt idx="6">
                  <c:v>ne, z jiného důvodu</c:v>
                </c:pt>
              </c:strCache>
            </c:strRef>
          </c:cat>
          <c:val>
            <c:numRef>
              <c:f>List1!$L$2:$L$8</c:f>
              <c:numCache>
                <c:formatCode>General</c:formatCode>
                <c:ptCount val="7"/>
                <c:pt idx="0">
                  <c:v>0.31334521356217881</c:v>
                </c:pt>
                <c:pt idx="1">
                  <c:v>0.16718445595547171</c:v>
                </c:pt>
                <c:pt idx="2">
                  <c:v>5.7768637927745635E-2</c:v>
                </c:pt>
                <c:pt idx="3">
                  <c:v>0.20340135010500246</c:v>
                </c:pt>
                <c:pt idx="4">
                  <c:v>5.7305443397430184E-2</c:v>
                </c:pt>
                <c:pt idx="5">
                  <c:v>2.5937476899520882E-2</c:v>
                </c:pt>
                <c:pt idx="6">
                  <c:v>0.17505742215267611</c:v>
                </c:pt>
              </c:numCache>
            </c:numRef>
          </c:val>
          <c:extLst xmlns:c16r2="http://schemas.microsoft.com/office/drawing/2015/06/chart">
            <c:ext xmlns:c16="http://schemas.microsoft.com/office/drawing/2014/chart" uri="{C3380CC4-5D6E-409C-BE32-E72D297353CC}">
              <c16:uniqueId val="{00000001-F217-41AB-95E2-9E9D710BBFDB}"/>
            </c:ext>
          </c:extLst>
        </c:ser>
        <c:axId val="119487872"/>
        <c:axId val="119497856"/>
      </c:barChart>
      <c:catAx>
        <c:axId val="119487872"/>
        <c:scaling>
          <c:orientation val="minMax"/>
        </c:scaling>
        <c:axPos val="b"/>
        <c:numFmt formatCode="General" sourceLinked="0"/>
        <c:tickLblPos val="nextTo"/>
        <c:crossAx val="119497856"/>
        <c:crosses val="autoZero"/>
        <c:auto val="1"/>
        <c:lblAlgn val="ctr"/>
        <c:lblOffset val="100"/>
      </c:catAx>
      <c:valAx>
        <c:axId val="119497856"/>
        <c:scaling>
          <c:orientation val="minMax"/>
        </c:scaling>
        <c:delete val="1"/>
        <c:axPos val="l"/>
        <c:numFmt formatCode="0%" sourceLinked="0"/>
        <c:tickLblPos val="none"/>
        <c:crossAx val="119487872"/>
        <c:crosses val="autoZero"/>
        <c:crossBetween val="between"/>
      </c:valAx>
    </c:plotArea>
    <c:legend>
      <c:legendPos val="t"/>
    </c:legend>
    <c:plotVisOnly val="1"/>
    <c:dispBlanksAs val="gap"/>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bar"/>
        <c:grouping val="clustered"/>
        <c:ser>
          <c:idx val="0"/>
          <c:order val="0"/>
          <c:tx>
            <c:strRef>
              <c:f>List2!$C$18</c:f>
              <c:strCache>
                <c:ptCount val="1"/>
                <c:pt idx="0">
                  <c:v>navštívil</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List2!$D$17:$I$17</c:f>
              <c:strCache>
                <c:ptCount val="6"/>
                <c:pt idx="0">
                  <c:v>75+</c:v>
                </c:pt>
                <c:pt idx="1">
                  <c:v>65-74</c:v>
                </c:pt>
                <c:pt idx="2">
                  <c:v>50-64</c:v>
                </c:pt>
                <c:pt idx="3">
                  <c:v>35-49</c:v>
                </c:pt>
                <c:pt idx="4">
                  <c:v>25-34</c:v>
                </c:pt>
                <c:pt idx="5">
                  <c:v>16-24</c:v>
                </c:pt>
              </c:strCache>
            </c:strRef>
          </c:cat>
          <c:val>
            <c:numRef>
              <c:f>List2!$D$18:$I$18</c:f>
              <c:numCache>
                <c:formatCode>General</c:formatCode>
                <c:ptCount val="6"/>
                <c:pt idx="0">
                  <c:v>8.1067828611560727E-2</c:v>
                </c:pt>
                <c:pt idx="1">
                  <c:v>0.19292157702833837</c:v>
                </c:pt>
                <c:pt idx="2">
                  <c:v>0.31753597483072282</c:v>
                </c:pt>
                <c:pt idx="3">
                  <c:v>0.57328727189219852</c:v>
                </c:pt>
                <c:pt idx="4">
                  <c:v>0.71393476551168578</c:v>
                </c:pt>
                <c:pt idx="5">
                  <c:v>0.85495654572932656</c:v>
                </c:pt>
              </c:numCache>
            </c:numRef>
          </c:val>
          <c:extLst xmlns:c16r2="http://schemas.microsoft.com/office/drawing/2015/06/chart">
            <c:ext xmlns:c16="http://schemas.microsoft.com/office/drawing/2014/chart" uri="{C3380CC4-5D6E-409C-BE32-E72D297353CC}">
              <c16:uniqueId val="{00000000-E5F4-4D4F-A7BA-B9BBB599983F}"/>
            </c:ext>
          </c:extLst>
        </c:ser>
        <c:axId val="119526528"/>
        <c:axId val="119528064"/>
      </c:barChart>
      <c:catAx>
        <c:axId val="119526528"/>
        <c:scaling>
          <c:orientation val="minMax"/>
        </c:scaling>
        <c:axPos val="l"/>
        <c:numFmt formatCode="General" sourceLinked="0"/>
        <c:tickLblPos val="nextTo"/>
        <c:crossAx val="119528064"/>
        <c:crosses val="autoZero"/>
        <c:auto val="1"/>
        <c:lblAlgn val="ctr"/>
        <c:lblOffset val="100"/>
      </c:catAx>
      <c:valAx>
        <c:axId val="119528064"/>
        <c:scaling>
          <c:orientation val="minMax"/>
        </c:scaling>
        <c:delete val="1"/>
        <c:axPos val="b"/>
        <c:numFmt formatCode="General" sourceLinked="1"/>
        <c:tickLblPos val="none"/>
        <c:crossAx val="119526528"/>
        <c:crosses val="autoZero"/>
        <c:crossBetween val="between"/>
      </c:valAx>
    </c:plotArea>
    <c:plotVisOnly val="1"/>
    <c:dispBlanksAs val="gap"/>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alespoň jednou</c:v>
                </c:pt>
              </c:strCache>
            </c:strRef>
          </c:tx>
          <c:dPt>
            <c:idx val="10"/>
            <c:spPr>
              <a:solidFill>
                <a:schemeClr val="accent6">
                  <a:lumMod val="60000"/>
                  <a:lumOff val="40000"/>
                </a:schemeClr>
              </a:solidFill>
            </c:spPr>
          </c:dPt>
          <c:dLbls>
            <c:numFmt formatCode="#,##0" sourceLinked="0"/>
            <c:showVal val="1"/>
          </c:dLbls>
          <c:cat>
            <c:strRef>
              <c:f>List1!$A$2:$A$30</c:f>
              <c:strCache>
                <c:ptCount val="29"/>
                <c:pt idx="0">
                  <c:v>Dánsko</c:v>
                </c:pt>
                <c:pt idx="1">
                  <c:v>Švédsko</c:v>
                </c:pt>
                <c:pt idx="2">
                  <c:v>Nizozemsko</c:v>
                </c:pt>
                <c:pt idx="3">
                  <c:v>Francie</c:v>
                </c:pt>
                <c:pt idx="4">
                  <c:v>Lucembursko</c:v>
                </c:pt>
                <c:pt idx="5">
                  <c:v>Finsko</c:v>
                </c:pt>
                <c:pt idx="6">
                  <c:v>Spojené království</c:v>
                </c:pt>
                <c:pt idx="7">
                  <c:v>Belgie</c:v>
                </c:pt>
                <c:pt idx="8">
                  <c:v>Irsko</c:v>
                </c:pt>
                <c:pt idx="9">
                  <c:v>Estonsko</c:v>
                </c:pt>
                <c:pt idx="10">
                  <c:v>Česká republika</c:v>
                </c:pt>
                <c:pt idx="11">
                  <c:v>Rakousko</c:v>
                </c:pt>
                <c:pt idx="12">
                  <c:v>Německo</c:v>
                </c:pt>
                <c:pt idx="13">
                  <c:v>EU 28</c:v>
                </c:pt>
                <c:pt idx="14">
                  <c:v>Španělsko</c:v>
                </c:pt>
                <c:pt idx="15">
                  <c:v>Polsko</c:v>
                </c:pt>
                <c:pt idx="16">
                  <c:v>Itálie</c:v>
                </c:pt>
                <c:pt idx="17">
                  <c:v>Slovinsko</c:v>
                </c:pt>
                <c:pt idx="18">
                  <c:v>Slovensko</c:v>
                </c:pt>
                <c:pt idx="19">
                  <c:v>Litva</c:v>
                </c:pt>
                <c:pt idx="20">
                  <c:v>Malta</c:v>
                </c:pt>
                <c:pt idx="21">
                  <c:v>Řecko</c:v>
                </c:pt>
                <c:pt idx="22">
                  <c:v>Lotyšsko</c:v>
                </c:pt>
                <c:pt idx="23">
                  <c:v>Portugalsko</c:v>
                </c:pt>
                <c:pt idx="24">
                  <c:v>Maďarsko</c:v>
                </c:pt>
                <c:pt idx="25">
                  <c:v>Kypr</c:v>
                </c:pt>
                <c:pt idx="26">
                  <c:v>Chorvatsko</c:v>
                </c:pt>
                <c:pt idx="27">
                  <c:v>Bulharsko</c:v>
                </c:pt>
                <c:pt idx="28">
                  <c:v>Rumunsko</c:v>
                </c:pt>
              </c:strCache>
            </c:strRef>
          </c:cat>
          <c:val>
            <c:numRef>
              <c:f>List1!$B$2:$B$30</c:f>
              <c:numCache>
                <c:formatCode>General</c:formatCode>
                <c:ptCount val="29"/>
                <c:pt idx="0">
                  <c:v>66.5</c:v>
                </c:pt>
                <c:pt idx="1">
                  <c:v>61.1</c:v>
                </c:pt>
                <c:pt idx="2">
                  <c:v>59</c:v>
                </c:pt>
                <c:pt idx="3">
                  <c:v>58</c:v>
                </c:pt>
                <c:pt idx="4">
                  <c:v>55.500000000000007</c:v>
                </c:pt>
                <c:pt idx="5">
                  <c:v>55.2</c:v>
                </c:pt>
                <c:pt idx="6">
                  <c:v>52.5</c:v>
                </c:pt>
                <c:pt idx="7">
                  <c:v>50.3</c:v>
                </c:pt>
                <c:pt idx="8">
                  <c:v>49</c:v>
                </c:pt>
                <c:pt idx="9">
                  <c:v>48.2</c:v>
                </c:pt>
                <c:pt idx="10">
                  <c:v>47.8</c:v>
                </c:pt>
                <c:pt idx="11">
                  <c:v>47.6</c:v>
                </c:pt>
                <c:pt idx="12">
                  <c:v>46.6</c:v>
                </c:pt>
                <c:pt idx="13">
                  <c:v>45.9</c:v>
                </c:pt>
                <c:pt idx="14">
                  <c:v>45.9</c:v>
                </c:pt>
                <c:pt idx="15">
                  <c:v>41.1</c:v>
                </c:pt>
                <c:pt idx="16">
                  <c:v>37.5</c:v>
                </c:pt>
                <c:pt idx="17">
                  <c:v>36.700000000000003</c:v>
                </c:pt>
                <c:pt idx="18">
                  <c:v>35.1</c:v>
                </c:pt>
                <c:pt idx="19">
                  <c:v>34.9</c:v>
                </c:pt>
                <c:pt idx="20">
                  <c:v>33.9</c:v>
                </c:pt>
                <c:pt idx="21">
                  <c:v>32.800000000000004</c:v>
                </c:pt>
                <c:pt idx="22">
                  <c:v>31.8</c:v>
                </c:pt>
                <c:pt idx="23">
                  <c:v>31.8</c:v>
                </c:pt>
                <c:pt idx="24">
                  <c:v>30.8</c:v>
                </c:pt>
                <c:pt idx="25">
                  <c:v>30.5</c:v>
                </c:pt>
                <c:pt idx="26">
                  <c:v>24.9</c:v>
                </c:pt>
                <c:pt idx="27">
                  <c:v>21.7</c:v>
                </c:pt>
                <c:pt idx="28">
                  <c:v>19.3</c:v>
                </c:pt>
              </c:numCache>
            </c:numRef>
          </c:val>
        </c:ser>
        <c:gapWidth val="101"/>
        <c:axId val="119542528"/>
        <c:axId val="119544064"/>
      </c:barChart>
      <c:lineChart>
        <c:grouping val="standard"/>
        <c:ser>
          <c:idx val="1"/>
          <c:order val="1"/>
          <c:tx>
            <c:strRef>
              <c:f>List1!$C$1</c:f>
              <c:strCache>
                <c:ptCount val="1"/>
                <c:pt idx="0">
                  <c:v>čtyřikrát a více</c:v>
                </c:pt>
              </c:strCache>
            </c:strRef>
          </c:tx>
          <c:spPr>
            <a:ln>
              <a:noFill/>
            </a:ln>
          </c:spPr>
          <c:marker>
            <c:symbol val="diamond"/>
            <c:size val="7"/>
            <c:spPr>
              <a:solidFill>
                <a:schemeClr val="accent6">
                  <a:lumMod val="60000"/>
                  <a:lumOff val="40000"/>
                </a:schemeClr>
              </a:solidFill>
              <a:ln>
                <a:noFill/>
              </a:ln>
            </c:spPr>
          </c:marker>
          <c:dPt>
            <c:idx val="10"/>
            <c:marker>
              <c:spPr>
                <a:solidFill>
                  <a:schemeClr val="accent1">
                    <a:lumMod val="75000"/>
                  </a:schemeClr>
                </a:solidFill>
                <a:ln>
                  <a:noFill/>
                </a:ln>
              </c:spPr>
            </c:marker>
          </c:dPt>
          <c:cat>
            <c:strRef>
              <c:f>List1!$A$2:$A$30</c:f>
              <c:strCache>
                <c:ptCount val="29"/>
                <c:pt idx="0">
                  <c:v>Dánsko</c:v>
                </c:pt>
                <c:pt idx="1">
                  <c:v>Švédsko</c:v>
                </c:pt>
                <c:pt idx="2">
                  <c:v>Nizozemsko</c:v>
                </c:pt>
                <c:pt idx="3">
                  <c:v>Francie</c:v>
                </c:pt>
                <c:pt idx="4">
                  <c:v>Lucembursko</c:v>
                </c:pt>
                <c:pt idx="5">
                  <c:v>Finsko</c:v>
                </c:pt>
                <c:pt idx="6">
                  <c:v>Spojené království</c:v>
                </c:pt>
                <c:pt idx="7">
                  <c:v>Belgie</c:v>
                </c:pt>
                <c:pt idx="8">
                  <c:v>Irsko</c:v>
                </c:pt>
                <c:pt idx="9">
                  <c:v>Estonsko</c:v>
                </c:pt>
                <c:pt idx="10">
                  <c:v>Česká republika</c:v>
                </c:pt>
                <c:pt idx="11">
                  <c:v>Rakousko</c:v>
                </c:pt>
                <c:pt idx="12">
                  <c:v>Německo</c:v>
                </c:pt>
                <c:pt idx="13">
                  <c:v>EU 28</c:v>
                </c:pt>
                <c:pt idx="14">
                  <c:v>Španělsko</c:v>
                </c:pt>
                <c:pt idx="15">
                  <c:v>Polsko</c:v>
                </c:pt>
                <c:pt idx="16">
                  <c:v>Itálie</c:v>
                </c:pt>
                <c:pt idx="17">
                  <c:v>Slovinsko</c:v>
                </c:pt>
                <c:pt idx="18">
                  <c:v>Slovensko</c:v>
                </c:pt>
                <c:pt idx="19">
                  <c:v>Litva</c:v>
                </c:pt>
                <c:pt idx="20">
                  <c:v>Malta</c:v>
                </c:pt>
                <c:pt idx="21">
                  <c:v>Řecko</c:v>
                </c:pt>
                <c:pt idx="22">
                  <c:v>Lotyšsko</c:v>
                </c:pt>
                <c:pt idx="23">
                  <c:v>Portugalsko</c:v>
                </c:pt>
                <c:pt idx="24">
                  <c:v>Maďarsko</c:v>
                </c:pt>
                <c:pt idx="25">
                  <c:v>Kypr</c:v>
                </c:pt>
                <c:pt idx="26">
                  <c:v>Chorvatsko</c:v>
                </c:pt>
                <c:pt idx="27">
                  <c:v>Bulharsko</c:v>
                </c:pt>
                <c:pt idx="28">
                  <c:v>Rumunsko</c:v>
                </c:pt>
              </c:strCache>
            </c:strRef>
          </c:cat>
          <c:val>
            <c:numRef>
              <c:f>List1!$C$2:$C$30</c:f>
              <c:numCache>
                <c:formatCode>General</c:formatCode>
                <c:ptCount val="29"/>
                <c:pt idx="0">
                  <c:v>21.5</c:v>
                </c:pt>
                <c:pt idx="1">
                  <c:v>20.8</c:v>
                </c:pt>
                <c:pt idx="2">
                  <c:v>22.2</c:v>
                </c:pt>
                <c:pt idx="3">
                  <c:v>29.300000000000004</c:v>
                </c:pt>
                <c:pt idx="4">
                  <c:v>26.400000000000002</c:v>
                </c:pt>
                <c:pt idx="5">
                  <c:v>18.100000000000001</c:v>
                </c:pt>
                <c:pt idx="6">
                  <c:v>20.3</c:v>
                </c:pt>
                <c:pt idx="7">
                  <c:v>22.7</c:v>
                </c:pt>
                <c:pt idx="8">
                  <c:v>20</c:v>
                </c:pt>
                <c:pt idx="9">
                  <c:v>20.9</c:v>
                </c:pt>
                <c:pt idx="10">
                  <c:v>16.600000000000001</c:v>
                </c:pt>
                <c:pt idx="11">
                  <c:v>19.3</c:v>
                </c:pt>
                <c:pt idx="12">
                  <c:v>15.8</c:v>
                </c:pt>
                <c:pt idx="13">
                  <c:v>17.8</c:v>
                </c:pt>
                <c:pt idx="14">
                  <c:v>20.100000000000001</c:v>
                </c:pt>
                <c:pt idx="15">
                  <c:v>9.7000000000000011</c:v>
                </c:pt>
                <c:pt idx="16">
                  <c:v>15.3</c:v>
                </c:pt>
                <c:pt idx="17">
                  <c:v>11.9</c:v>
                </c:pt>
                <c:pt idx="18">
                  <c:v>12.5</c:v>
                </c:pt>
                <c:pt idx="19">
                  <c:v>9.6</c:v>
                </c:pt>
                <c:pt idx="20">
                  <c:v>14.100000000000001</c:v>
                </c:pt>
                <c:pt idx="21">
                  <c:v>6.2000000000000011</c:v>
                </c:pt>
                <c:pt idx="22">
                  <c:v>10.9</c:v>
                </c:pt>
                <c:pt idx="23">
                  <c:v>12.7</c:v>
                </c:pt>
                <c:pt idx="24">
                  <c:v>10.8</c:v>
                </c:pt>
                <c:pt idx="25">
                  <c:v>7.9</c:v>
                </c:pt>
                <c:pt idx="26">
                  <c:v>9.2000000000000011</c:v>
                </c:pt>
                <c:pt idx="27">
                  <c:v>8.6</c:v>
                </c:pt>
                <c:pt idx="28">
                  <c:v>7.1</c:v>
                </c:pt>
              </c:numCache>
            </c:numRef>
          </c:val>
        </c:ser>
        <c:marker val="1"/>
        <c:axId val="119542528"/>
        <c:axId val="119544064"/>
      </c:lineChart>
      <c:catAx>
        <c:axId val="119542528"/>
        <c:scaling>
          <c:orientation val="minMax"/>
        </c:scaling>
        <c:axPos val="b"/>
        <c:tickLblPos val="nextTo"/>
        <c:crossAx val="119544064"/>
        <c:crosses val="autoZero"/>
        <c:auto val="1"/>
        <c:lblAlgn val="ctr"/>
        <c:lblOffset val="100"/>
      </c:catAx>
      <c:valAx>
        <c:axId val="119544064"/>
        <c:scaling>
          <c:orientation val="minMax"/>
        </c:scaling>
        <c:delete val="1"/>
        <c:axPos val="l"/>
        <c:numFmt formatCode="General" sourceLinked="1"/>
        <c:tickLblPos val="none"/>
        <c:crossAx val="119542528"/>
        <c:crosses val="autoZero"/>
        <c:crossBetween val="between"/>
      </c:valAx>
    </c:plotArea>
    <c:legend>
      <c:legendPos val="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3.1406138472520377E-2"/>
          <c:y val="8.1031307550644568E-2"/>
          <c:w val="0.94566862686468101"/>
          <c:h val="0.57933336053200557"/>
        </c:manualLayout>
      </c:layout>
      <c:barChart>
        <c:barDir val="col"/>
        <c:grouping val="clustered"/>
        <c:ser>
          <c:idx val="0"/>
          <c:order val="0"/>
          <c:dLbls>
            <c:numFmt formatCode="0%" sourceLinked="0"/>
            <c:showVal val="1"/>
          </c:dLbls>
          <c:cat>
            <c:strRef>
              <c:f>List1!$B$4:$E$4</c:f>
              <c:strCache>
                <c:ptCount val="4"/>
                <c:pt idx="0">
                  <c:v>Čtení zpráv na internetu</c:v>
                </c:pt>
                <c:pt idx="1">
                  <c:v>Poslech rádia či přehrávání hudby</c:v>
                </c:pt>
                <c:pt idx="2">
                  <c:v>Nahrávání fotek,videí nebo hudby na internet</c:v>
                </c:pt>
                <c:pt idx="3">
                  <c:v>Sledování videí</c:v>
                </c:pt>
              </c:strCache>
            </c:strRef>
          </c:cat>
          <c:val>
            <c:numRef>
              <c:f>List1!$B$5:$E$5</c:f>
              <c:numCache>
                <c:formatCode>General</c:formatCode>
                <c:ptCount val="4"/>
                <c:pt idx="0">
                  <c:v>0.7440000000000011</c:v>
                </c:pt>
                <c:pt idx="1">
                  <c:v>0.46300000000000008</c:v>
                </c:pt>
                <c:pt idx="2">
                  <c:v>0.3780000000000005</c:v>
                </c:pt>
                <c:pt idx="3">
                  <c:v>0.505</c:v>
                </c:pt>
              </c:numCache>
            </c:numRef>
          </c:val>
        </c:ser>
        <c:axId val="189885056"/>
        <c:axId val="190188928"/>
      </c:barChart>
      <c:catAx>
        <c:axId val="189885056"/>
        <c:scaling>
          <c:orientation val="minMax"/>
        </c:scaling>
        <c:axPos val="b"/>
        <c:tickLblPos val="nextTo"/>
        <c:crossAx val="190188928"/>
        <c:crosses val="autoZero"/>
        <c:auto val="1"/>
        <c:lblAlgn val="ctr"/>
        <c:lblOffset val="100"/>
      </c:catAx>
      <c:valAx>
        <c:axId val="190188928"/>
        <c:scaling>
          <c:orientation val="minMax"/>
        </c:scaling>
        <c:delete val="1"/>
        <c:axPos val="l"/>
        <c:numFmt formatCode="General" sourceLinked="1"/>
        <c:tickLblPos val="none"/>
        <c:crossAx val="189885056"/>
        <c:crosses val="autoZero"/>
        <c:crossBetween val="between"/>
      </c:valAx>
      <c:spPr>
        <a:noFill/>
        <a:ln w="25400">
          <a:noFill/>
        </a:ln>
      </c:spPr>
    </c:plotArea>
    <c:plotVisOnly val="1"/>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List1!$B$1</c:f>
              <c:strCache>
                <c:ptCount val="1"/>
                <c:pt idx="0">
                  <c:v>CZ IFPI</c:v>
                </c:pt>
              </c:strCache>
            </c:strRef>
          </c:tx>
          <c:dLbls>
            <c:dLblPos val="t"/>
            <c:showVal val="1"/>
          </c:dLbls>
          <c:cat>
            <c:numRef>
              <c:f>List1!$A$2:$A$16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List1!$B$2:$B$16</c:f>
              <c:numCache>
                <c:formatCode>General</c:formatCode>
                <c:ptCount val="15"/>
                <c:pt idx="0">
                  <c:v>576</c:v>
                </c:pt>
                <c:pt idx="1">
                  <c:v>527</c:v>
                </c:pt>
                <c:pt idx="2">
                  <c:v>506</c:v>
                </c:pt>
                <c:pt idx="3">
                  <c:v>556</c:v>
                </c:pt>
                <c:pt idx="4">
                  <c:v>491</c:v>
                </c:pt>
                <c:pt idx="5">
                  <c:v>358</c:v>
                </c:pt>
                <c:pt idx="6">
                  <c:v>300</c:v>
                </c:pt>
                <c:pt idx="7">
                  <c:v>281</c:v>
                </c:pt>
                <c:pt idx="8">
                  <c:v>264</c:v>
                </c:pt>
                <c:pt idx="9">
                  <c:v>283</c:v>
                </c:pt>
                <c:pt idx="10">
                  <c:v>327</c:v>
                </c:pt>
                <c:pt idx="11">
                  <c:v>331</c:v>
                </c:pt>
                <c:pt idx="12">
                  <c:v>371</c:v>
                </c:pt>
                <c:pt idx="13">
                  <c:v>410</c:v>
                </c:pt>
                <c:pt idx="14">
                  <c:v>492</c:v>
                </c:pt>
              </c:numCache>
            </c:numRef>
          </c:val>
        </c:ser>
        <c:marker val="1"/>
        <c:axId val="119559296"/>
        <c:axId val="119560832"/>
      </c:lineChart>
      <c:catAx>
        <c:axId val="119559296"/>
        <c:scaling>
          <c:orientation val="minMax"/>
        </c:scaling>
        <c:axPos val="b"/>
        <c:numFmt formatCode="General" sourceLinked="1"/>
        <c:tickLblPos val="nextTo"/>
        <c:crossAx val="119560832"/>
        <c:crosses val="autoZero"/>
        <c:auto val="1"/>
        <c:lblAlgn val="ctr"/>
        <c:lblOffset val="100"/>
      </c:catAx>
      <c:valAx>
        <c:axId val="119560832"/>
        <c:scaling>
          <c:orientation val="minMax"/>
        </c:scaling>
        <c:delete val="1"/>
        <c:axPos val="l"/>
        <c:numFmt formatCode="General" sourceLinked="1"/>
        <c:tickLblPos val="none"/>
        <c:crossAx val="119559296"/>
        <c:crosses val="autoZero"/>
        <c:crossBetween val="between"/>
      </c:valAx>
    </c:plotArea>
    <c:plotVisOnly val="1"/>
  </c:chart>
  <c:spPr>
    <a:ln>
      <a:no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List1!$C$8</c:f>
              <c:strCache>
                <c:ptCount val="1"/>
                <c:pt idx="0">
                  <c:v>digitální služby</c:v>
                </c:pt>
              </c:strCache>
            </c:strRef>
          </c:tx>
          <c:dLbls>
            <c:dLbl>
              <c:idx val="5"/>
              <c:layout>
                <c:manualLayout>
                  <c:x val="-3.4244183223641804E-2"/>
                  <c:y val="7.0171274836564906E-2"/>
                </c:manualLayout>
              </c:layout>
              <c:dLblPos val="r"/>
              <c:showVal val="1"/>
            </c:dLbl>
            <c:dLbl>
              <c:idx val="6"/>
              <c:layout>
                <c:manualLayout>
                  <c:x val="-3.4244183223641735E-2"/>
                  <c:y val="7.0171274836564906E-2"/>
                </c:manualLayout>
              </c:layout>
              <c:dLblPos val="r"/>
              <c:showVal val="1"/>
            </c:dLbl>
            <c:dLbl>
              <c:idx val="7"/>
              <c:layout>
                <c:manualLayout>
                  <c:x val="-3.6370485583837431E-2"/>
                  <c:y val="5.9289882018284147E-2"/>
                </c:manualLayout>
              </c:layout>
              <c:dLblPos val="r"/>
              <c:showVal val="1"/>
            </c:dLbl>
            <c:numFmt formatCode="#,##0" sourceLinked="0"/>
            <c:dLblPos val="t"/>
            <c:showVal val="1"/>
          </c:dLbls>
          <c:cat>
            <c:numRef>
              <c:f>List1!$D$7:$M$7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List1!$D$8:$M$8</c:f>
              <c:numCache>
                <c:formatCode>General</c:formatCode>
                <c:ptCount val="10"/>
                <c:pt idx="0">
                  <c:v>25.11500000000003</c:v>
                </c:pt>
                <c:pt idx="1">
                  <c:v>35.655000000000001</c:v>
                </c:pt>
                <c:pt idx="2">
                  <c:v>57.980000000000004</c:v>
                </c:pt>
                <c:pt idx="3">
                  <c:v>70.579000000000008</c:v>
                </c:pt>
                <c:pt idx="4">
                  <c:v>102.727</c:v>
                </c:pt>
                <c:pt idx="5">
                  <c:v>132</c:v>
                </c:pt>
                <c:pt idx="6">
                  <c:v>136</c:v>
                </c:pt>
                <c:pt idx="7">
                  <c:v>176</c:v>
                </c:pt>
                <c:pt idx="8">
                  <c:v>238</c:v>
                </c:pt>
                <c:pt idx="9">
                  <c:v>307</c:v>
                </c:pt>
              </c:numCache>
            </c:numRef>
          </c:val>
        </c:ser>
        <c:ser>
          <c:idx val="1"/>
          <c:order val="1"/>
          <c:tx>
            <c:strRef>
              <c:f>List1!$C$9</c:f>
              <c:strCache>
                <c:ptCount val="1"/>
                <c:pt idx="0">
                  <c:v>fyzické nosiče</c:v>
                </c:pt>
              </c:strCache>
            </c:strRef>
          </c:tx>
          <c:dLbls>
            <c:numFmt formatCode="#,##0" sourceLinked="0"/>
            <c:dLblPos val="t"/>
            <c:showVal val="1"/>
          </c:dLbls>
          <c:cat>
            <c:numRef>
              <c:f>List1!$D$7:$M$7</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List1!$D$9:$M$9</c:f>
              <c:numCache>
                <c:formatCode>General</c:formatCode>
                <c:ptCount val="10"/>
                <c:pt idx="0">
                  <c:v>332.392</c:v>
                </c:pt>
                <c:pt idx="1">
                  <c:v>264.14000000000038</c:v>
                </c:pt>
                <c:pt idx="2">
                  <c:v>222.97800000000001</c:v>
                </c:pt>
                <c:pt idx="3">
                  <c:v>193.56300000000002</c:v>
                </c:pt>
                <c:pt idx="4">
                  <c:v>180.15700000000001</c:v>
                </c:pt>
                <c:pt idx="5">
                  <c:v>194</c:v>
                </c:pt>
                <c:pt idx="6">
                  <c:v>194</c:v>
                </c:pt>
                <c:pt idx="7">
                  <c:v>195</c:v>
                </c:pt>
                <c:pt idx="8">
                  <c:v>171</c:v>
                </c:pt>
                <c:pt idx="9">
                  <c:v>185</c:v>
                </c:pt>
              </c:numCache>
            </c:numRef>
          </c:val>
        </c:ser>
        <c:marker val="1"/>
        <c:axId val="119619968"/>
        <c:axId val="119621504"/>
      </c:lineChart>
      <c:catAx>
        <c:axId val="119619968"/>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cs-CZ"/>
          </a:p>
        </c:txPr>
        <c:crossAx val="119621504"/>
        <c:crosses val="autoZero"/>
        <c:auto val="1"/>
        <c:lblAlgn val="ctr"/>
        <c:lblOffset val="100"/>
      </c:catAx>
      <c:valAx>
        <c:axId val="119621504"/>
        <c:scaling>
          <c:orientation val="minMax"/>
        </c:scaling>
        <c:delete val="1"/>
        <c:axPos val="l"/>
        <c:numFmt formatCode="General" sourceLinked="1"/>
        <c:tickLblPos val="none"/>
        <c:crossAx val="119619968"/>
        <c:crosses val="autoZero"/>
        <c:crossBetween val="between"/>
      </c:valAx>
    </c:plotArea>
    <c:legend>
      <c:legendPos val="t"/>
      <c:txPr>
        <a:bodyPr/>
        <a:lstStyle/>
        <a:p>
          <a:pPr>
            <a:defRPr sz="920" b="0" i="0" u="none" strike="noStrike" baseline="0">
              <a:solidFill>
                <a:srgbClr val="000000"/>
              </a:solidFill>
              <a:latin typeface="Calibri"/>
              <a:ea typeface="Calibri"/>
              <a:cs typeface="Calibri"/>
            </a:defRPr>
          </a:pPr>
          <a:endParaRPr lang="cs-CZ"/>
        </a:p>
      </c:txPr>
    </c:legend>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cs-CZ"/>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List1!$A$15</c:f>
              <c:strCache>
                <c:ptCount val="1"/>
                <c:pt idx="0">
                  <c:v>zaměstnanost</c:v>
                </c:pt>
              </c:strCache>
            </c:strRef>
          </c:tx>
          <c:dLbls>
            <c:dLblPos val="t"/>
            <c:showVal val="1"/>
          </c:dLbls>
          <c:cat>
            <c:numRef>
              <c:f>List1!$C$14:$O$14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List1!$C$15:$O$15</c:f>
              <c:numCache>
                <c:formatCode>#,##0</c:formatCode>
                <c:ptCount val="13"/>
                <c:pt idx="0">
                  <c:v>520.81408287999989</c:v>
                </c:pt>
                <c:pt idx="1">
                  <c:v>479.64032595000003</c:v>
                </c:pt>
                <c:pt idx="2">
                  <c:v>439.42171474939619</c:v>
                </c:pt>
                <c:pt idx="3">
                  <c:v>398.01461901614999</c:v>
                </c:pt>
                <c:pt idx="4">
                  <c:v>350.73371014029595</c:v>
                </c:pt>
                <c:pt idx="5">
                  <c:v>314.92005491384964</c:v>
                </c:pt>
                <c:pt idx="6">
                  <c:v>306.53098498354996</c:v>
                </c:pt>
                <c:pt idx="7">
                  <c:v>307.83508622009964</c:v>
                </c:pt>
                <c:pt idx="8">
                  <c:v>267.47978638295001</c:v>
                </c:pt>
                <c:pt idx="9">
                  <c:v>248.3750753004</c:v>
                </c:pt>
                <c:pt idx="10">
                  <c:v>253.21482760230001</c:v>
                </c:pt>
                <c:pt idx="11" formatCode="General">
                  <c:v>224</c:v>
                </c:pt>
                <c:pt idx="12" formatCode="General">
                  <c:v>261</c:v>
                </c:pt>
              </c:numCache>
            </c:numRef>
          </c:val>
        </c:ser>
        <c:marker val="1"/>
        <c:axId val="119644544"/>
        <c:axId val="119646080"/>
      </c:lineChart>
      <c:catAx>
        <c:axId val="119644544"/>
        <c:scaling>
          <c:orientation val="minMax"/>
        </c:scaling>
        <c:axPos val="b"/>
        <c:numFmt formatCode="General" sourceLinked="1"/>
        <c:tickLblPos val="nextTo"/>
        <c:crossAx val="119646080"/>
        <c:crosses val="autoZero"/>
        <c:auto val="1"/>
        <c:lblAlgn val="ctr"/>
        <c:lblOffset val="100"/>
      </c:catAx>
      <c:valAx>
        <c:axId val="119646080"/>
        <c:scaling>
          <c:orientation val="minMax"/>
        </c:scaling>
        <c:delete val="1"/>
        <c:axPos val="l"/>
        <c:numFmt formatCode="#,##0" sourceLinked="1"/>
        <c:tickLblPos val="none"/>
        <c:crossAx val="119644544"/>
        <c:crosses val="autoZero"/>
        <c:crossBetween val="between"/>
      </c:valAx>
    </c:plotArea>
    <c:plotVisOnly val="1"/>
  </c:chart>
  <c:spPr>
    <a:ln>
      <a:no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sz="1200" b="1"/>
            </a:pPr>
            <a:r>
              <a:rPr lang="cs-CZ" sz="1200" b="1"/>
              <a:t>Osoby zaměstnané v oblasti hudby</a:t>
            </a:r>
          </a:p>
        </c:rich>
      </c:tx>
      <c:layout>
        <c:manualLayout>
          <c:xMode val="edge"/>
          <c:yMode val="edge"/>
          <c:x val="0.15239044099079613"/>
          <c:y val="2.0434227330779056E-2"/>
        </c:manualLayout>
      </c:layout>
    </c:title>
    <c:plotArea>
      <c:layout>
        <c:manualLayout>
          <c:layoutTarget val="inner"/>
          <c:xMode val="edge"/>
          <c:yMode val="edge"/>
          <c:x val="0.31923203477116374"/>
          <c:y val="0.3449828541547274"/>
          <c:w val="0.49759004614219143"/>
          <c:h val="0.65392101849339035"/>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dLbl>
              <c:idx val="1"/>
              <c:layout>
                <c:manualLayout>
                  <c:x val="-3.8872691933916422E-3"/>
                  <c:y val="-0.13282247765006386"/>
                </c:manualLayout>
              </c:layout>
              <c:showVal val="1"/>
            </c:dLbl>
            <c:numFmt formatCode="#,##0.0&quot; tis.&quot;" sourceLinked="0"/>
            <c:showVal val="1"/>
            <c:showLeaderLines val="1"/>
          </c:dLbls>
          <c:cat>
            <c:strRef>
              <c:f>List1!$A$6:$A$7</c:f>
              <c:strCache>
                <c:ptCount val="2"/>
                <c:pt idx="0">
                  <c:v>povolání kult. charakteru</c:v>
                </c:pt>
                <c:pt idx="1">
                  <c:v>povolání nekult. charakteru</c:v>
                </c:pt>
              </c:strCache>
            </c:strRef>
          </c:cat>
          <c:val>
            <c:numRef>
              <c:f>List1!$B$6:$B$7</c:f>
              <c:numCache>
                <c:formatCode>General</c:formatCode>
                <c:ptCount val="2"/>
                <c:pt idx="0">
                  <c:v>1</c:v>
                </c:pt>
                <c:pt idx="1">
                  <c:v>0.1</c:v>
                </c:pt>
              </c:numCache>
            </c:numRef>
          </c:val>
        </c:ser>
        <c:firstSliceAng val="0"/>
        <c:holeSize val="50"/>
      </c:doughnutChart>
      <c:spPr>
        <a:noFill/>
        <a:ln w="25400">
          <a:noFill/>
        </a:ln>
      </c:spPr>
    </c:plotArea>
    <c:legend>
      <c:legendPos val="t"/>
      <c:layout>
        <c:manualLayout>
          <c:xMode val="edge"/>
          <c:yMode val="edge"/>
          <c:x val="6.5257148978826703E-4"/>
          <c:y val="0.1123882503192848"/>
          <c:w val="0.92839313453165251"/>
          <c:h val="0.16176667571725947"/>
        </c:manualLayout>
      </c:layout>
    </c:legend>
    <c:plotVisOnly val="1"/>
  </c:chart>
  <c:spPr>
    <a:ln>
      <a:no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cs-CZ"/>
  <c:style val="3"/>
  <c:chart>
    <c:title>
      <c:tx>
        <c:rich>
          <a:bodyPr/>
          <a:lstStyle/>
          <a:p>
            <a:pPr>
              <a:defRPr/>
            </a:pPr>
            <a:r>
              <a:rPr lang="cs-CZ" sz="1200"/>
              <a:t>Hudebníci,</a:t>
            </a:r>
            <a:r>
              <a:rPr lang="cs-CZ" sz="1200" baseline="0"/>
              <a:t> zpěváci a skladatelé</a:t>
            </a:r>
            <a:endParaRPr lang="cs-CZ" sz="1200"/>
          </a:p>
        </c:rich>
      </c:tx>
      <c:layout>
        <c:manualLayout>
          <c:xMode val="edge"/>
          <c:yMode val="edge"/>
          <c:x val="0.12140096618357489"/>
          <c:y val="0"/>
        </c:manualLayout>
      </c:layout>
    </c:title>
    <c:plotArea>
      <c:layout>
        <c:manualLayout>
          <c:layoutTarget val="inner"/>
          <c:xMode val="edge"/>
          <c:yMode val="edge"/>
          <c:x val="0.24822777587584174"/>
          <c:y val="0.35286253280839897"/>
          <c:w val="0.60016280573623371"/>
          <c:h val="0.64705052493438364"/>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List1!$A$3:$A$4</c:f>
              <c:strCache>
                <c:ptCount val="2"/>
                <c:pt idx="0">
                  <c:v>v kult. organizaci</c:v>
                </c:pt>
                <c:pt idx="1">
                  <c:v>v ne-kult. organizaci</c:v>
                </c:pt>
              </c:strCache>
            </c:strRef>
          </c:cat>
          <c:val>
            <c:numRef>
              <c:f>List1!$B$3:$B$4</c:f>
              <c:numCache>
                <c:formatCode>General</c:formatCode>
                <c:ptCount val="2"/>
                <c:pt idx="0">
                  <c:v>5.7</c:v>
                </c:pt>
                <c:pt idx="1">
                  <c:v>0.60000000000000064</c:v>
                </c:pt>
              </c:numCache>
            </c:numRef>
          </c:val>
        </c:ser>
        <c:firstSliceAng val="0"/>
        <c:holeSize val="50"/>
      </c:doughnutChart>
    </c:plotArea>
    <c:legend>
      <c:legendPos val="t"/>
      <c:layout>
        <c:manualLayout>
          <c:xMode val="edge"/>
          <c:yMode val="edge"/>
          <c:x val="0.05"/>
          <c:y val="0.13359375000000001"/>
          <c:w val="0.9"/>
          <c:h val="9.4181840551181228E-2"/>
        </c:manualLayout>
      </c:layout>
    </c:legend>
    <c:plotVisOnly val="1"/>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27001031767581057"/>
          <c:y val="7.407407407407407E-2"/>
          <c:w val="0.6615913355658195"/>
          <c:h val="0.83309419655876915"/>
        </c:manualLayout>
      </c:layout>
      <c:barChart>
        <c:barDir val="bar"/>
        <c:grouping val="clustered"/>
        <c:ser>
          <c:idx val="0"/>
          <c:order val="0"/>
          <c:dLbls>
            <c:numFmt formatCode="0.0%" sourceLinked="0"/>
            <c:showVal val="1"/>
          </c:dLbls>
          <c:cat>
            <c:strRef>
              <c:f>List1!$A$2:$F$2</c:f>
              <c:strCache>
                <c:ptCount val="6"/>
                <c:pt idx="0">
                  <c:v>práva k nahrávkám</c:v>
                </c:pt>
                <c:pt idx="1">
                  <c:v>vinyl</c:v>
                </c:pt>
                <c:pt idx="2">
                  <c:v>cd/dvd</c:v>
                </c:pt>
                <c:pt idx="3">
                  <c:v>download</c:v>
                </c:pt>
                <c:pt idx="4">
                  <c:v>streaming</c:v>
                </c:pt>
                <c:pt idx="5">
                  <c:v>ostatní</c:v>
                </c:pt>
              </c:strCache>
            </c:strRef>
          </c:cat>
          <c:val>
            <c:numRef>
              <c:f>List1!$A$3:$F$3</c:f>
              <c:numCache>
                <c:formatCode>General</c:formatCode>
                <c:ptCount val="6"/>
                <c:pt idx="0">
                  <c:v>0.39500000000000063</c:v>
                </c:pt>
                <c:pt idx="1">
                  <c:v>6.0000000000000032E-2</c:v>
                </c:pt>
                <c:pt idx="2">
                  <c:v>0.14500000000000021</c:v>
                </c:pt>
                <c:pt idx="3">
                  <c:v>2.5000000000000001E-2</c:v>
                </c:pt>
                <c:pt idx="4">
                  <c:v>0.35500000000000032</c:v>
                </c:pt>
                <c:pt idx="5">
                  <c:v>2.0000000000000011E-2</c:v>
                </c:pt>
              </c:numCache>
            </c:numRef>
          </c:val>
        </c:ser>
        <c:axId val="119702272"/>
        <c:axId val="119700480"/>
      </c:barChart>
      <c:valAx>
        <c:axId val="119700480"/>
        <c:scaling>
          <c:orientation val="minMax"/>
        </c:scaling>
        <c:delete val="1"/>
        <c:axPos val="b"/>
        <c:numFmt formatCode="General" sourceLinked="1"/>
        <c:tickLblPos val="none"/>
        <c:crossAx val="119702272"/>
        <c:crosses val="autoZero"/>
        <c:crossBetween val="between"/>
      </c:valAx>
      <c:catAx>
        <c:axId val="119702272"/>
        <c:scaling>
          <c:orientation val="minMax"/>
        </c:scaling>
        <c:axPos val="l"/>
        <c:tickLblPos val="nextTo"/>
        <c:crossAx val="119700480"/>
        <c:crosses val="autoZero"/>
        <c:auto val="1"/>
        <c:lblAlgn val="ctr"/>
        <c:lblOffset val="100"/>
      </c:catAx>
    </c:plotArea>
    <c:plotVisOnly val="1"/>
  </c:chart>
  <c:spPr>
    <a:ln>
      <a:noFill/>
    </a:ln>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5507246376811652E-2"/>
          <c:y val="0.2136719004798957"/>
          <c:w val="0.95362318840579763"/>
          <c:h val="0.58868191771886502"/>
        </c:manualLayout>
      </c:layout>
      <c:barChart>
        <c:barDir val="col"/>
        <c:grouping val="percentStacked"/>
        <c:ser>
          <c:idx val="0"/>
          <c:order val="0"/>
          <c:tx>
            <c:strRef>
              <c:f>List1!$A$6</c:f>
              <c:strCache>
                <c:ptCount val="1"/>
                <c:pt idx="0">
                  <c:v>digitální</c:v>
                </c:pt>
              </c:strCache>
            </c:strRef>
          </c:tx>
          <c:dLbls>
            <c:numFmt formatCode="0%" sourceLinked="0"/>
            <c:txPr>
              <a:bodyPr/>
              <a:lstStyle/>
              <a:p>
                <a:pPr>
                  <a:defRPr>
                    <a:solidFill>
                      <a:schemeClr val="accent6">
                        <a:lumMod val="60000"/>
                        <a:lumOff val="40000"/>
                      </a:schemeClr>
                    </a:solidFill>
                  </a:defRPr>
                </a:pPr>
                <a:endParaRPr lang="cs-CZ"/>
              </a:p>
            </c:txPr>
            <c:showVal val="1"/>
          </c:dLbls>
          <c:cat>
            <c:numRef>
              <c:f>List1!$B$5:$H$5</c:f>
              <c:numCache>
                <c:formatCode>General</c:formatCode>
                <c:ptCount val="7"/>
                <c:pt idx="0">
                  <c:v>2013</c:v>
                </c:pt>
                <c:pt idx="1">
                  <c:v>2014</c:v>
                </c:pt>
                <c:pt idx="2">
                  <c:v>2015</c:v>
                </c:pt>
                <c:pt idx="3">
                  <c:v>2016</c:v>
                </c:pt>
                <c:pt idx="4">
                  <c:v>2017</c:v>
                </c:pt>
                <c:pt idx="5">
                  <c:v>2018</c:v>
                </c:pt>
                <c:pt idx="6">
                  <c:v>2019</c:v>
                </c:pt>
              </c:numCache>
            </c:numRef>
          </c:cat>
          <c:val>
            <c:numRef>
              <c:f>List1!$B$6:$H$6</c:f>
              <c:numCache>
                <c:formatCode>General</c:formatCode>
                <c:ptCount val="7"/>
                <c:pt idx="0">
                  <c:v>0.27</c:v>
                </c:pt>
                <c:pt idx="1">
                  <c:v>0.36000000000000032</c:v>
                </c:pt>
                <c:pt idx="2">
                  <c:v>0.4</c:v>
                </c:pt>
                <c:pt idx="3">
                  <c:v>0.44</c:v>
                </c:pt>
                <c:pt idx="4">
                  <c:v>0.51</c:v>
                </c:pt>
                <c:pt idx="5">
                  <c:v>0.61000000000000065</c:v>
                </c:pt>
                <c:pt idx="6">
                  <c:v>0.66000000000000503</c:v>
                </c:pt>
              </c:numCache>
            </c:numRef>
          </c:val>
        </c:ser>
        <c:ser>
          <c:idx val="1"/>
          <c:order val="1"/>
          <c:tx>
            <c:strRef>
              <c:f>List1!$A$7</c:f>
              <c:strCache>
                <c:ptCount val="1"/>
                <c:pt idx="0">
                  <c:v>fyzické</c:v>
                </c:pt>
              </c:strCache>
            </c:strRef>
          </c:tx>
          <c:dLbls>
            <c:numFmt formatCode="0%" sourceLinked="0"/>
            <c:showVal val="1"/>
          </c:dLbls>
          <c:cat>
            <c:numRef>
              <c:f>List1!$B$5:$H$5</c:f>
              <c:numCache>
                <c:formatCode>General</c:formatCode>
                <c:ptCount val="7"/>
                <c:pt idx="0">
                  <c:v>2013</c:v>
                </c:pt>
                <c:pt idx="1">
                  <c:v>2014</c:v>
                </c:pt>
                <c:pt idx="2">
                  <c:v>2015</c:v>
                </c:pt>
                <c:pt idx="3">
                  <c:v>2016</c:v>
                </c:pt>
                <c:pt idx="4">
                  <c:v>2017</c:v>
                </c:pt>
                <c:pt idx="5">
                  <c:v>2018</c:v>
                </c:pt>
                <c:pt idx="6">
                  <c:v>2019</c:v>
                </c:pt>
              </c:numCache>
            </c:numRef>
          </c:cat>
          <c:val>
            <c:numRef>
              <c:f>List1!$B$7:$H$7</c:f>
              <c:numCache>
                <c:formatCode>General</c:formatCode>
                <c:ptCount val="7"/>
                <c:pt idx="0">
                  <c:v>0.73000000000000065</c:v>
                </c:pt>
                <c:pt idx="1">
                  <c:v>0.64000000000000434</c:v>
                </c:pt>
                <c:pt idx="2">
                  <c:v>0.60000000000000064</c:v>
                </c:pt>
                <c:pt idx="3">
                  <c:v>0.56000000000000005</c:v>
                </c:pt>
                <c:pt idx="4">
                  <c:v>0.49000000000000032</c:v>
                </c:pt>
                <c:pt idx="5">
                  <c:v>0.39000000000000218</c:v>
                </c:pt>
                <c:pt idx="6">
                  <c:v>0.34</c:v>
                </c:pt>
              </c:numCache>
            </c:numRef>
          </c:val>
        </c:ser>
        <c:overlap val="100"/>
        <c:axId val="119728384"/>
        <c:axId val="119742464"/>
      </c:barChart>
      <c:catAx>
        <c:axId val="119728384"/>
        <c:scaling>
          <c:orientation val="minMax"/>
        </c:scaling>
        <c:axPos val="b"/>
        <c:numFmt formatCode="General" sourceLinked="1"/>
        <c:tickLblPos val="nextTo"/>
        <c:crossAx val="119742464"/>
        <c:crosses val="autoZero"/>
        <c:auto val="1"/>
        <c:lblAlgn val="ctr"/>
        <c:lblOffset val="100"/>
      </c:catAx>
      <c:valAx>
        <c:axId val="119742464"/>
        <c:scaling>
          <c:orientation val="minMax"/>
        </c:scaling>
        <c:delete val="1"/>
        <c:axPos val="l"/>
        <c:numFmt formatCode="0%" sourceLinked="1"/>
        <c:tickLblPos val="none"/>
        <c:crossAx val="119728384"/>
        <c:crosses val="autoZero"/>
        <c:crossBetween val="between"/>
      </c:valAx>
    </c:plotArea>
    <c:legend>
      <c:legendPos val="t"/>
      <c:layout>
        <c:manualLayout>
          <c:xMode val="edge"/>
          <c:yMode val="edge"/>
          <c:x val="0.38580997375328518"/>
          <c:y val="0"/>
          <c:w val="0.22837986990756587"/>
          <c:h val="0.14266598332013244"/>
        </c:manualLayout>
      </c:layout>
    </c:legend>
    <c:plotVisOnly val="1"/>
  </c:chart>
  <c:spPr>
    <a:ln>
      <a:noFill/>
    </a:ln>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2.5000000000000001E-2"/>
          <c:y val="0.124372080608568"/>
          <c:w val="0.95389182106514014"/>
          <c:h val="0.72574936607500906"/>
        </c:manualLayout>
      </c:layout>
      <c:barChart>
        <c:barDir val="col"/>
        <c:grouping val="clustered"/>
        <c:ser>
          <c:idx val="0"/>
          <c:order val="0"/>
          <c:tx>
            <c:strRef>
              <c:f>List1!$S$4</c:f>
              <c:strCache>
                <c:ptCount val="1"/>
                <c:pt idx="0">
                  <c:v>poslech hudby</c:v>
                </c:pt>
              </c:strCache>
            </c:strRef>
          </c:tx>
          <c:dLbls>
            <c:numFmt formatCode="0%" sourceLinked="0"/>
            <c:showVal val="1"/>
          </c:dLbls>
          <c:cat>
            <c:strRef>
              <c:f>List1!$R$5:$R$10</c:f>
              <c:strCache>
                <c:ptCount val="6"/>
                <c:pt idx="0">
                  <c:v>16-24</c:v>
                </c:pt>
                <c:pt idx="1">
                  <c:v>25-34</c:v>
                </c:pt>
                <c:pt idx="2">
                  <c:v>35-44</c:v>
                </c:pt>
                <c:pt idx="3">
                  <c:v>45-54</c:v>
                </c:pt>
                <c:pt idx="4">
                  <c:v>55-64</c:v>
                </c:pt>
                <c:pt idx="5">
                  <c:v>65+</c:v>
                </c:pt>
              </c:strCache>
            </c:strRef>
          </c:cat>
          <c:val>
            <c:numRef>
              <c:f>List1!$S$5:$S$10</c:f>
              <c:numCache>
                <c:formatCode>General</c:formatCode>
                <c:ptCount val="6"/>
                <c:pt idx="0">
                  <c:v>0.89400000000000013</c:v>
                </c:pt>
                <c:pt idx="1">
                  <c:v>0.77400000000000435</c:v>
                </c:pt>
                <c:pt idx="2">
                  <c:v>0.59299999999999997</c:v>
                </c:pt>
                <c:pt idx="3">
                  <c:v>0.377000000000002</c:v>
                </c:pt>
                <c:pt idx="4">
                  <c:v>0.23100000000000001</c:v>
                </c:pt>
                <c:pt idx="5">
                  <c:v>0.13000000000000003</c:v>
                </c:pt>
              </c:numCache>
            </c:numRef>
          </c:val>
        </c:ser>
        <c:axId val="119768192"/>
        <c:axId val="119769728"/>
      </c:barChart>
      <c:lineChart>
        <c:grouping val="standard"/>
        <c:ser>
          <c:idx val="1"/>
          <c:order val="1"/>
          <c:tx>
            <c:strRef>
              <c:f>List1!$T$4</c:f>
              <c:strCache>
                <c:ptCount val="1"/>
                <c:pt idx="0">
                  <c:v>poslech hudby přes placené stránky či aplikace</c:v>
                </c:pt>
              </c:strCache>
            </c:strRef>
          </c:tx>
          <c:spPr>
            <a:ln>
              <a:noFill/>
            </a:ln>
          </c:spPr>
          <c:marker>
            <c:symbol val="diamond"/>
            <c:size val="7"/>
            <c:spPr>
              <a:solidFill>
                <a:schemeClr val="accent6">
                  <a:lumMod val="60000"/>
                  <a:lumOff val="40000"/>
                </a:schemeClr>
              </a:solidFill>
              <a:ln>
                <a:noFill/>
              </a:ln>
            </c:spPr>
          </c:marker>
          <c:dLbls>
            <c:numFmt formatCode="0%" sourceLinked="0"/>
            <c:txPr>
              <a:bodyPr/>
              <a:lstStyle/>
              <a:p>
                <a:pPr>
                  <a:defRPr>
                    <a:solidFill>
                      <a:schemeClr val="accent6">
                        <a:lumMod val="60000"/>
                        <a:lumOff val="40000"/>
                      </a:schemeClr>
                    </a:solidFill>
                  </a:defRPr>
                </a:pPr>
                <a:endParaRPr lang="cs-CZ"/>
              </a:p>
            </c:txPr>
            <c:dLblPos val="t"/>
            <c:showVal val="1"/>
          </c:dLbls>
          <c:cat>
            <c:strRef>
              <c:f>List1!$R$5:$R$10</c:f>
              <c:strCache>
                <c:ptCount val="6"/>
                <c:pt idx="0">
                  <c:v>16-24</c:v>
                </c:pt>
                <c:pt idx="1">
                  <c:v>25-34</c:v>
                </c:pt>
                <c:pt idx="2">
                  <c:v>35-44</c:v>
                </c:pt>
                <c:pt idx="3">
                  <c:v>45-54</c:v>
                </c:pt>
                <c:pt idx="4">
                  <c:v>55-64</c:v>
                </c:pt>
                <c:pt idx="5">
                  <c:v>65+</c:v>
                </c:pt>
              </c:strCache>
            </c:strRef>
          </c:cat>
          <c:val>
            <c:numRef>
              <c:f>List1!$T$5:$T$10</c:f>
              <c:numCache>
                <c:formatCode>General</c:formatCode>
                <c:ptCount val="6"/>
                <c:pt idx="0">
                  <c:v>6.2000000000000034E-2</c:v>
                </c:pt>
                <c:pt idx="1">
                  <c:v>8.6000000000000021E-2</c:v>
                </c:pt>
                <c:pt idx="2">
                  <c:v>3.3000000000000002E-2</c:v>
                </c:pt>
                <c:pt idx="3">
                  <c:v>1.3700000000000104E-2</c:v>
                </c:pt>
                <c:pt idx="4">
                  <c:v>8.7000000000000046E-3</c:v>
                </c:pt>
                <c:pt idx="5">
                  <c:v>1.0000000000000041E-3</c:v>
                </c:pt>
              </c:numCache>
            </c:numRef>
          </c:val>
        </c:ser>
        <c:marker val="1"/>
        <c:axId val="119768192"/>
        <c:axId val="119769728"/>
      </c:lineChart>
      <c:catAx>
        <c:axId val="119768192"/>
        <c:scaling>
          <c:orientation val="minMax"/>
        </c:scaling>
        <c:axPos val="b"/>
        <c:tickLblPos val="nextTo"/>
        <c:crossAx val="119769728"/>
        <c:crosses val="autoZero"/>
        <c:auto val="1"/>
        <c:lblAlgn val="ctr"/>
        <c:lblOffset val="100"/>
      </c:catAx>
      <c:valAx>
        <c:axId val="119769728"/>
        <c:scaling>
          <c:orientation val="minMax"/>
        </c:scaling>
        <c:delete val="1"/>
        <c:axPos val="l"/>
        <c:numFmt formatCode="General" sourceLinked="1"/>
        <c:tickLblPos val="none"/>
        <c:crossAx val="119768192"/>
        <c:crosses val="autoZero"/>
        <c:crossBetween val="between"/>
      </c:valAx>
    </c:plotArea>
    <c:legend>
      <c:legendPos val="t"/>
      <c:layout>
        <c:manualLayout>
          <c:xMode val="edge"/>
          <c:yMode val="edge"/>
          <c:x val="0.15756897417371821"/>
          <c:y val="0"/>
          <c:w val="0.67242037202581995"/>
          <c:h val="0.10216335246229873"/>
        </c:manualLayout>
      </c:layout>
    </c:legend>
    <c:plotVisOnly val="1"/>
    <c:dispBlanksAs val="gap"/>
  </c:chart>
  <c:spPr>
    <a:ln>
      <a:noFill/>
    </a:ln>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List1!$B$3</c:f>
              <c:strCache>
                <c:ptCount val="1"/>
                <c:pt idx="0">
                  <c:v>provozovatelé televizního vysílání</c:v>
                </c:pt>
              </c:strCache>
            </c:strRef>
          </c:tx>
          <c:dLbls>
            <c:dLblPos val="t"/>
            <c:showVal val="1"/>
          </c:dLbls>
          <c:cat>
            <c:numRef>
              <c:f>List1!$C$2:$O$2</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List1!$C$3:$O$3</c:f>
              <c:numCache>
                <c:formatCode>General</c:formatCode>
                <c:ptCount val="13"/>
                <c:pt idx="0">
                  <c:v>153</c:v>
                </c:pt>
                <c:pt idx="1">
                  <c:v>169</c:v>
                </c:pt>
                <c:pt idx="2">
                  <c:v>159</c:v>
                </c:pt>
                <c:pt idx="3">
                  <c:v>153</c:v>
                </c:pt>
                <c:pt idx="4">
                  <c:v>148</c:v>
                </c:pt>
                <c:pt idx="5">
                  <c:v>137</c:v>
                </c:pt>
                <c:pt idx="6">
                  <c:v>135</c:v>
                </c:pt>
                <c:pt idx="7">
                  <c:v>144</c:v>
                </c:pt>
                <c:pt idx="8">
                  <c:v>150</c:v>
                </c:pt>
                <c:pt idx="9">
                  <c:v>126</c:v>
                </c:pt>
                <c:pt idx="10">
                  <c:v>133</c:v>
                </c:pt>
                <c:pt idx="11">
                  <c:v>130</c:v>
                </c:pt>
                <c:pt idx="12">
                  <c:v>130</c:v>
                </c:pt>
              </c:numCache>
            </c:numRef>
          </c:val>
        </c:ser>
        <c:ser>
          <c:idx val="1"/>
          <c:order val="1"/>
          <c:tx>
            <c:strRef>
              <c:f>List1!$B$4</c:f>
              <c:strCache>
                <c:ptCount val="1"/>
                <c:pt idx="0">
                  <c:v>provozovatelé rozhlasového vysílání</c:v>
                </c:pt>
              </c:strCache>
            </c:strRef>
          </c:tx>
          <c:dLbls>
            <c:dLblPos val="t"/>
            <c:showVal val="1"/>
          </c:dLbls>
          <c:cat>
            <c:numRef>
              <c:f>List1!$C$2:$O$2</c:f>
              <c:numCache>
                <c:formatCode>General</c:formatCode>
                <c:ptCount val="13"/>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numCache>
            </c:numRef>
          </c:cat>
          <c:val>
            <c:numRef>
              <c:f>List1!$C$4:$O$4</c:f>
              <c:numCache>
                <c:formatCode>General</c:formatCode>
                <c:ptCount val="13"/>
                <c:pt idx="0">
                  <c:v>79</c:v>
                </c:pt>
                <c:pt idx="1">
                  <c:v>76</c:v>
                </c:pt>
                <c:pt idx="2">
                  <c:v>78</c:v>
                </c:pt>
                <c:pt idx="3">
                  <c:v>57</c:v>
                </c:pt>
                <c:pt idx="4">
                  <c:v>59</c:v>
                </c:pt>
                <c:pt idx="5">
                  <c:v>63</c:v>
                </c:pt>
                <c:pt idx="6">
                  <c:v>60</c:v>
                </c:pt>
                <c:pt idx="7">
                  <c:v>56</c:v>
                </c:pt>
                <c:pt idx="8">
                  <c:v>56</c:v>
                </c:pt>
                <c:pt idx="9">
                  <c:v>53</c:v>
                </c:pt>
                <c:pt idx="10">
                  <c:v>52</c:v>
                </c:pt>
                <c:pt idx="11">
                  <c:v>49</c:v>
                </c:pt>
                <c:pt idx="12">
                  <c:v>48</c:v>
                </c:pt>
              </c:numCache>
            </c:numRef>
          </c:val>
        </c:ser>
        <c:marker val="1"/>
        <c:axId val="119802112"/>
        <c:axId val="119808000"/>
      </c:lineChart>
      <c:catAx>
        <c:axId val="119802112"/>
        <c:scaling>
          <c:orientation val="minMax"/>
        </c:scaling>
        <c:axPos val="b"/>
        <c:numFmt formatCode="General" sourceLinked="1"/>
        <c:tickLblPos val="nextTo"/>
        <c:crossAx val="119808000"/>
        <c:crosses val="autoZero"/>
        <c:auto val="1"/>
        <c:lblAlgn val="ctr"/>
        <c:lblOffset val="100"/>
      </c:catAx>
      <c:valAx>
        <c:axId val="119808000"/>
        <c:scaling>
          <c:orientation val="minMax"/>
        </c:scaling>
        <c:delete val="1"/>
        <c:axPos val="l"/>
        <c:numFmt formatCode="General" sourceLinked="1"/>
        <c:tickLblPos val="none"/>
        <c:crossAx val="119802112"/>
        <c:crosses val="autoZero"/>
        <c:crossBetween val="between"/>
      </c:valAx>
    </c:plotArea>
    <c:legend>
      <c:legendPos val="t"/>
    </c:legend>
    <c:plotVisOnly val="1"/>
  </c:chart>
  <c:spPr>
    <a:ln>
      <a:noFill/>
    </a:ln>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List1!$A$2</c:f>
              <c:strCache>
                <c:ptCount val="1"/>
                <c:pt idx="0">
                  <c:v>výdaje</c:v>
                </c:pt>
              </c:strCache>
            </c:strRef>
          </c:tx>
          <c:dLbls>
            <c:numFmt formatCode="#,##0.0" sourceLinked="0"/>
            <c:dLblPos val="t"/>
            <c:showVal val="1"/>
          </c:dLbls>
          <c:cat>
            <c:numRef>
              <c:f>List1!$B$1:$J$1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List1!$B$2:$J$2</c:f>
              <c:numCache>
                <c:formatCode>General</c:formatCode>
                <c:ptCount val="9"/>
                <c:pt idx="0">
                  <c:v>15.2</c:v>
                </c:pt>
                <c:pt idx="1">
                  <c:v>15.7</c:v>
                </c:pt>
                <c:pt idx="2">
                  <c:v>16.7</c:v>
                </c:pt>
                <c:pt idx="3">
                  <c:v>16.7</c:v>
                </c:pt>
                <c:pt idx="4">
                  <c:v>17</c:v>
                </c:pt>
                <c:pt idx="5">
                  <c:v>16.899999999999999</c:v>
                </c:pt>
                <c:pt idx="6">
                  <c:v>17.8</c:v>
                </c:pt>
                <c:pt idx="7">
                  <c:v>19.899999999999999</c:v>
                </c:pt>
                <c:pt idx="8">
                  <c:v>22.5</c:v>
                </c:pt>
              </c:numCache>
            </c:numRef>
          </c:val>
        </c:ser>
        <c:marker val="1"/>
        <c:axId val="119815552"/>
        <c:axId val="119837824"/>
      </c:lineChart>
      <c:catAx>
        <c:axId val="119815552"/>
        <c:scaling>
          <c:orientation val="minMax"/>
        </c:scaling>
        <c:axPos val="b"/>
        <c:numFmt formatCode="General" sourceLinked="1"/>
        <c:tickLblPos val="nextTo"/>
        <c:crossAx val="119837824"/>
        <c:crosses val="autoZero"/>
        <c:auto val="1"/>
        <c:lblAlgn val="ctr"/>
        <c:lblOffset val="100"/>
      </c:catAx>
      <c:valAx>
        <c:axId val="119837824"/>
        <c:scaling>
          <c:orientation val="minMax"/>
        </c:scaling>
        <c:delete val="1"/>
        <c:axPos val="l"/>
        <c:numFmt formatCode="General" sourceLinked="1"/>
        <c:tickLblPos val="none"/>
        <c:crossAx val="119815552"/>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
          <c:y val="0.15387242713081919"/>
          <c:w val="1"/>
          <c:h val="0.70465119491642492"/>
        </c:manualLayout>
      </c:layout>
      <c:barChart>
        <c:barDir val="col"/>
        <c:grouping val="clustered"/>
        <c:ser>
          <c:idx val="0"/>
          <c:order val="0"/>
          <c:tx>
            <c:strRef>
              <c:f>List1!$B$1</c:f>
              <c:strCache>
                <c:ptCount val="1"/>
                <c:pt idx="0">
                  <c:v>18-24</c:v>
                </c:pt>
              </c:strCache>
            </c:strRef>
          </c:tx>
          <c:dLbls>
            <c:dLbl>
              <c:idx val="4"/>
              <c:layout>
                <c:manualLayout>
                  <c:x val="-6.0060060060060094E-3"/>
                  <c:y val="8.77192982456140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B41-4172-B371-5168E424B6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Online média (vč. sociálních sítí)</c:v>
                </c:pt>
                <c:pt idx="1">
                  <c:v>Sociální sítě</c:v>
                </c:pt>
                <c:pt idx="2">
                  <c:v>Rádio</c:v>
                </c:pt>
                <c:pt idx="3">
                  <c:v>Tištěná periodika</c:v>
                </c:pt>
                <c:pt idx="4">
                  <c:v>Televize</c:v>
                </c:pt>
              </c:strCache>
            </c:strRef>
          </c:cat>
          <c:val>
            <c:numRef>
              <c:f>List1!$B$2:$B$6</c:f>
              <c:numCache>
                <c:formatCode>General</c:formatCode>
                <c:ptCount val="5"/>
                <c:pt idx="0">
                  <c:v>0.64000000000002377</c:v>
                </c:pt>
                <c:pt idx="1">
                  <c:v>0.33000000000001256</c:v>
                </c:pt>
                <c:pt idx="2">
                  <c:v>4.0000000000000022E-2</c:v>
                </c:pt>
                <c:pt idx="3">
                  <c:v>0.05</c:v>
                </c:pt>
                <c:pt idx="4">
                  <c:v>0.24000000000000021</c:v>
                </c:pt>
              </c:numCache>
            </c:numRef>
          </c:val>
          <c:extLst xmlns:c16r2="http://schemas.microsoft.com/office/drawing/2015/06/chart">
            <c:ext xmlns:c16="http://schemas.microsoft.com/office/drawing/2014/chart" uri="{C3380CC4-5D6E-409C-BE32-E72D297353CC}">
              <c16:uniqueId val="{00000000-AD98-46E2-916A-5BB59B169C92}"/>
            </c:ext>
          </c:extLst>
        </c:ser>
        <c:ser>
          <c:idx val="1"/>
          <c:order val="1"/>
          <c:tx>
            <c:strRef>
              <c:f>List1!$C$1</c:f>
              <c:strCache>
                <c:ptCount val="1"/>
                <c:pt idx="0">
                  <c:v>25-34</c:v>
                </c:pt>
              </c:strCache>
            </c:strRef>
          </c:tx>
          <c:dLbls>
            <c:dLbl>
              <c:idx val="0"/>
              <c:layout>
                <c:manualLayout>
                  <c:x val="4.0040040040040074E-3"/>
                  <c:y val="4.38596491228070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41-4172-B371-5168E424B63C}"/>
                </c:ext>
              </c:extLst>
            </c:dLbl>
            <c:dLbl>
              <c:idx val="4"/>
              <c:layout>
                <c:manualLayout>
                  <c:x val="-6.006006006006009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B41-4172-B371-5168E424B6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Online média (vč. sociálních sítí)</c:v>
                </c:pt>
                <c:pt idx="1">
                  <c:v>Sociální sítě</c:v>
                </c:pt>
                <c:pt idx="2">
                  <c:v>Rádio</c:v>
                </c:pt>
                <c:pt idx="3">
                  <c:v>Tištěná periodika</c:v>
                </c:pt>
                <c:pt idx="4">
                  <c:v>Televize</c:v>
                </c:pt>
              </c:strCache>
            </c:strRef>
          </c:cat>
          <c:val>
            <c:numRef>
              <c:f>List1!$C$2:$C$6</c:f>
              <c:numCache>
                <c:formatCode>General</c:formatCode>
                <c:ptCount val="5"/>
                <c:pt idx="0">
                  <c:v>0.58000000000000007</c:v>
                </c:pt>
                <c:pt idx="1">
                  <c:v>0.21000000000000021</c:v>
                </c:pt>
                <c:pt idx="2">
                  <c:v>0.05</c:v>
                </c:pt>
                <c:pt idx="3">
                  <c:v>0.05</c:v>
                </c:pt>
                <c:pt idx="4">
                  <c:v>0.29000000000000031</c:v>
                </c:pt>
              </c:numCache>
            </c:numRef>
          </c:val>
          <c:extLst xmlns:c16r2="http://schemas.microsoft.com/office/drawing/2015/06/chart">
            <c:ext xmlns:c16="http://schemas.microsoft.com/office/drawing/2014/chart" uri="{C3380CC4-5D6E-409C-BE32-E72D297353CC}">
              <c16:uniqueId val="{00000001-AD98-46E2-916A-5BB59B169C92}"/>
            </c:ext>
          </c:extLst>
        </c:ser>
        <c:ser>
          <c:idx val="2"/>
          <c:order val="2"/>
          <c:tx>
            <c:strRef>
              <c:f>List1!$D$1</c:f>
              <c:strCache>
                <c:ptCount val="1"/>
                <c:pt idx="0">
                  <c:v>35-44</c:v>
                </c:pt>
              </c:strCache>
            </c:strRef>
          </c:tx>
          <c:dLbls>
            <c:dLbl>
              <c:idx val="0"/>
              <c:layout>
                <c:manualLayout>
                  <c:x val="2.0020020020020042E-3"/>
                  <c:y val="4.38596491228070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41-4172-B371-5168E424B63C}"/>
                </c:ext>
              </c:extLst>
            </c:dLbl>
            <c:dLbl>
              <c:idx val="4"/>
              <c:layout>
                <c:manualLayout>
                  <c:x val="-6.0060060060060094E-3"/>
                  <c:y val="4.3859649122807015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B41-4172-B371-5168E424B6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Online média (vč. sociálních sítí)</c:v>
                </c:pt>
                <c:pt idx="1">
                  <c:v>Sociální sítě</c:v>
                </c:pt>
                <c:pt idx="2">
                  <c:v>Rádio</c:v>
                </c:pt>
                <c:pt idx="3">
                  <c:v>Tištěná periodika</c:v>
                </c:pt>
                <c:pt idx="4">
                  <c:v>Televize</c:v>
                </c:pt>
              </c:strCache>
            </c:strRef>
          </c:cat>
          <c:val>
            <c:numRef>
              <c:f>List1!$D$2:$D$6</c:f>
              <c:numCache>
                <c:formatCode>General</c:formatCode>
                <c:ptCount val="5"/>
                <c:pt idx="0">
                  <c:v>0.49000000000000032</c:v>
                </c:pt>
                <c:pt idx="1">
                  <c:v>0.15000000000000024</c:v>
                </c:pt>
                <c:pt idx="2">
                  <c:v>6.0000000000000032E-2</c:v>
                </c:pt>
                <c:pt idx="3">
                  <c:v>6.0000000000000032E-2</c:v>
                </c:pt>
                <c:pt idx="4">
                  <c:v>0.37000000000000038</c:v>
                </c:pt>
              </c:numCache>
            </c:numRef>
          </c:val>
          <c:extLst xmlns:c16r2="http://schemas.microsoft.com/office/drawing/2015/06/chart">
            <c:ext xmlns:c16="http://schemas.microsoft.com/office/drawing/2014/chart" uri="{C3380CC4-5D6E-409C-BE32-E72D297353CC}">
              <c16:uniqueId val="{00000002-AD98-46E2-916A-5BB59B169C92}"/>
            </c:ext>
          </c:extLst>
        </c:ser>
        <c:ser>
          <c:idx val="3"/>
          <c:order val="3"/>
          <c:tx>
            <c:strRef>
              <c:f>List1!$E$1</c:f>
              <c:strCache>
                <c:ptCount val="1"/>
                <c:pt idx="0">
                  <c:v>45-54</c:v>
                </c:pt>
              </c:strCache>
            </c:strRef>
          </c:tx>
          <c:dLbls>
            <c:dLbl>
              <c:idx val="0"/>
              <c:layout>
                <c:manualLayout>
                  <c:x val="2.0020020020020042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B41-4172-B371-5168E424B63C}"/>
                </c:ext>
              </c:extLst>
            </c:dLbl>
            <c:dLbl>
              <c:idx val="4"/>
              <c:layout>
                <c:manualLayout>
                  <c:x val="-4.004004004004007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B41-4172-B371-5168E424B63C}"/>
                </c:ext>
              </c:extLst>
            </c:dLbl>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Online média (vč. sociálních sítí)</c:v>
                </c:pt>
                <c:pt idx="1">
                  <c:v>Sociální sítě</c:v>
                </c:pt>
                <c:pt idx="2">
                  <c:v>Rádio</c:v>
                </c:pt>
                <c:pt idx="3">
                  <c:v>Tištěná periodika</c:v>
                </c:pt>
                <c:pt idx="4">
                  <c:v>Televize</c:v>
                </c:pt>
              </c:strCache>
            </c:strRef>
          </c:cat>
          <c:val>
            <c:numRef>
              <c:f>List1!$E$2:$E$6</c:f>
              <c:numCache>
                <c:formatCode>General</c:formatCode>
                <c:ptCount val="5"/>
                <c:pt idx="0">
                  <c:v>0.39000000000001234</c:v>
                </c:pt>
                <c:pt idx="1">
                  <c:v>0.1</c:v>
                </c:pt>
                <c:pt idx="2">
                  <c:v>7.0000000000000021E-2</c:v>
                </c:pt>
                <c:pt idx="3">
                  <c:v>7.0000000000000021E-2</c:v>
                </c:pt>
                <c:pt idx="4">
                  <c:v>0.45</c:v>
                </c:pt>
              </c:numCache>
            </c:numRef>
          </c:val>
          <c:extLst xmlns:c16r2="http://schemas.microsoft.com/office/drawing/2015/06/chart">
            <c:ext xmlns:c16="http://schemas.microsoft.com/office/drawing/2014/chart" uri="{C3380CC4-5D6E-409C-BE32-E72D297353CC}">
              <c16:uniqueId val="{00000003-AD98-46E2-916A-5BB59B169C92}"/>
            </c:ext>
          </c:extLst>
        </c:ser>
        <c:ser>
          <c:idx val="4"/>
          <c:order val="4"/>
          <c:tx>
            <c:strRef>
              <c:f>List1!$F$1</c:f>
              <c:strCache>
                <c:ptCount val="1"/>
                <c:pt idx="0">
                  <c:v>55+</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List1!$A$2:$A$6</c:f>
              <c:strCache>
                <c:ptCount val="5"/>
                <c:pt idx="0">
                  <c:v>Online média (vč. sociálních sítí)</c:v>
                </c:pt>
                <c:pt idx="1">
                  <c:v>Sociální sítě</c:v>
                </c:pt>
                <c:pt idx="2">
                  <c:v>Rádio</c:v>
                </c:pt>
                <c:pt idx="3">
                  <c:v>Tištěná periodika</c:v>
                </c:pt>
                <c:pt idx="4">
                  <c:v>Televize</c:v>
                </c:pt>
              </c:strCache>
            </c:strRef>
          </c:cat>
          <c:val>
            <c:numRef>
              <c:f>List1!$F$2:$F$6</c:f>
              <c:numCache>
                <c:formatCode>General</c:formatCode>
                <c:ptCount val="5"/>
                <c:pt idx="0">
                  <c:v>0.28000000000000008</c:v>
                </c:pt>
                <c:pt idx="1">
                  <c:v>7.0000000000000021E-2</c:v>
                </c:pt>
                <c:pt idx="2">
                  <c:v>7.0000000000000021E-2</c:v>
                </c:pt>
                <c:pt idx="3">
                  <c:v>0.11</c:v>
                </c:pt>
                <c:pt idx="4">
                  <c:v>0.51</c:v>
                </c:pt>
              </c:numCache>
            </c:numRef>
          </c:val>
          <c:extLst xmlns:c16r2="http://schemas.microsoft.com/office/drawing/2015/06/chart">
            <c:ext xmlns:c16="http://schemas.microsoft.com/office/drawing/2014/chart" uri="{C3380CC4-5D6E-409C-BE32-E72D297353CC}">
              <c16:uniqueId val="{00000004-AD98-46E2-916A-5BB59B169C92}"/>
            </c:ext>
          </c:extLst>
        </c:ser>
        <c:axId val="194233472"/>
        <c:axId val="194235008"/>
      </c:barChart>
      <c:catAx>
        <c:axId val="194233472"/>
        <c:scaling>
          <c:orientation val="minMax"/>
        </c:scaling>
        <c:axPos val="b"/>
        <c:numFmt formatCode="General" sourceLinked="0"/>
        <c:tickLblPos val="nextTo"/>
        <c:crossAx val="194235008"/>
        <c:crosses val="autoZero"/>
        <c:auto val="1"/>
        <c:lblAlgn val="ctr"/>
        <c:lblOffset val="100"/>
      </c:catAx>
      <c:valAx>
        <c:axId val="194235008"/>
        <c:scaling>
          <c:orientation val="minMax"/>
        </c:scaling>
        <c:delete val="1"/>
        <c:axPos val="l"/>
        <c:majorGridlines>
          <c:spPr>
            <a:ln>
              <a:solidFill>
                <a:schemeClr val="bg1"/>
              </a:solidFill>
            </a:ln>
          </c:spPr>
        </c:majorGridlines>
        <c:numFmt formatCode="0%" sourceLinked="0"/>
        <c:tickLblPos val="none"/>
        <c:crossAx val="194233472"/>
        <c:crosses val="autoZero"/>
        <c:crossBetween val="between"/>
      </c:valAx>
      <c:spPr>
        <a:noFill/>
        <a:ln w="25400">
          <a:noFill/>
        </a:ln>
      </c:spPr>
    </c:plotArea>
    <c:legend>
      <c:legendPos val="t"/>
    </c:legend>
    <c:plotVisOnly val="1"/>
    <c:dispBlanksAs val="gap"/>
  </c:chart>
  <c:spPr>
    <a:ln>
      <a:noFill/>
    </a:ln>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cs-CZ"/>
  <c:style val="3"/>
  <c:chart>
    <c:autoTitleDeleted val="1"/>
    <c:plotArea>
      <c:layout>
        <c:manualLayout>
          <c:layoutTarget val="inner"/>
          <c:xMode val="edge"/>
          <c:yMode val="edge"/>
          <c:x val="0.34198425196850674"/>
          <c:y val="0.19403507615941321"/>
          <c:w val="0.38825371828521432"/>
          <c:h val="0.77975642166068704"/>
        </c:manualLayout>
      </c:layout>
      <c:doughnutChart>
        <c:varyColors val="1"/>
        <c:ser>
          <c:idx val="0"/>
          <c:order val="0"/>
          <c:tx>
            <c:strRef>
              <c:f>List2!$A$9</c:f>
              <c:strCache>
                <c:ptCount val="1"/>
                <c:pt idx="0">
                  <c:v>2019</c:v>
                </c:pt>
              </c:strCache>
            </c:strRef>
          </c:tx>
          <c:dLbls>
            <c:dLbl>
              <c:idx val="0"/>
              <c:numFmt formatCode="0%" sourceLinked="0"/>
              <c:spPr/>
              <c:txPr>
                <a:bodyPr/>
                <a:lstStyle/>
                <a:p>
                  <a:pPr>
                    <a:defRPr>
                      <a:solidFill>
                        <a:schemeClr val="accent6">
                          <a:lumMod val="60000"/>
                          <a:lumOff val="40000"/>
                        </a:schemeClr>
                      </a:solidFill>
                    </a:defRPr>
                  </a:pPr>
                  <a:endParaRPr lang="cs-CZ"/>
                </a:p>
              </c:txPr>
            </c:dLbl>
            <c:numFmt formatCode="0%" sourceLinked="0"/>
            <c:showVal val="1"/>
            <c:showLeaderLines val="1"/>
          </c:dLbls>
          <c:cat>
            <c:strRef>
              <c:f>List2!$B$8:$E$8</c:f>
              <c:strCache>
                <c:ptCount val="4"/>
                <c:pt idx="0">
                  <c:v>MEDIA CLUB</c:v>
                </c:pt>
                <c:pt idx="1">
                  <c:v>RADIOHOUSE</c:v>
                </c:pt>
                <c:pt idx="2">
                  <c:v>Čro</c:v>
                </c:pt>
                <c:pt idx="3">
                  <c:v>Nezastupované</c:v>
                </c:pt>
              </c:strCache>
            </c:strRef>
          </c:cat>
          <c:val>
            <c:numRef>
              <c:f>List2!$B$9:$E$9</c:f>
              <c:numCache>
                <c:formatCode>General</c:formatCode>
                <c:ptCount val="4"/>
                <c:pt idx="0">
                  <c:v>0.44183364566815625</c:v>
                </c:pt>
                <c:pt idx="1">
                  <c:v>0.30906732016721938</c:v>
                </c:pt>
                <c:pt idx="2">
                  <c:v>0.23050309932247498</c:v>
                </c:pt>
                <c:pt idx="3">
                  <c:v>1.8595934842150785E-2</c:v>
                </c:pt>
              </c:numCache>
            </c:numRef>
          </c:val>
        </c:ser>
        <c:firstSliceAng val="0"/>
        <c:holeSize val="50"/>
      </c:doughnutChart>
    </c:plotArea>
    <c:legend>
      <c:legendPos val="t"/>
    </c:legend>
    <c:plotVisOnly val="1"/>
  </c:chart>
  <c:spPr>
    <a:ln>
      <a:noFill/>
    </a:ln>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numFmt formatCode="#,##0.00" sourceLinked="0"/>
            <c:showVal val="1"/>
          </c:dLbls>
          <c:cat>
            <c:multiLvlStrRef>
              <c:f>List3!$A$24:$D$25</c:f>
              <c:multiLvlStrCache>
                <c:ptCount val="4"/>
                <c:lvl>
                  <c:pt idx="0">
                    <c:v>veřejnoprávní</c:v>
                  </c:pt>
                  <c:pt idx="1">
                    <c:v>soukromé</c:v>
                  </c:pt>
                  <c:pt idx="2">
                    <c:v>veřejnoprávní</c:v>
                  </c:pt>
                  <c:pt idx="3">
                    <c:v>soukromé</c:v>
                  </c:pt>
                </c:lvl>
                <c:lvl>
                  <c:pt idx="0">
                    <c:v>celoplošné</c:v>
                  </c:pt>
                  <c:pt idx="2">
                    <c:v>regionální</c:v>
                  </c:pt>
                </c:lvl>
              </c:multiLvlStrCache>
            </c:multiLvlStrRef>
          </c:cat>
          <c:val>
            <c:numRef>
              <c:f>List3!$A$26:$D$26</c:f>
              <c:numCache>
                <c:formatCode>General</c:formatCode>
                <c:ptCount val="4"/>
                <c:pt idx="0">
                  <c:v>1.4049999999999874</c:v>
                </c:pt>
                <c:pt idx="1">
                  <c:v>2.5309999999999997</c:v>
                </c:pt>
                <c:pt idx="2">
                  <c:v>0.16400000000000001</c:v>
                </c:pt>
                <c:pt idx="3">
                  <c:v>3.0460000000000003</c:v>
                </c:pt>
              </c:numCache>
            </c:numRef>
          </c:val>
        </c:ser>
        <c:axId val="119872128"/>
        <c:axId val="119873920"/>
      </c:barChart>
      <c:catAx>
        <c:axId val="119872128"/>
        <c:scaling>
          <c:orientation val="minMax"/>
        </c:scaling>
        <c:axPos val="b"/>
        <c:tickLblPos val="nextTo"/>
        <c:crossAx val="119873920"/>
        <c:crosses val="autoZero"/>
        <c:auto val="1"/>
        <c:lblAlgn val="ctr"/>
        <c:lblOffset val="100"/>
      </c:catAx>
      <c:valAx>
        <c:axId val="119873920"/>
        <c:scaling>
          <c:orientation val="minMax"/>
        </c:scaling>
        <c:delete val="1"/>
        <c:axPos val="l"/>
        <c:numFmt formatCode="General" sourceLinked="1"/>
        <c:tickLblPos val="none"/>
        <c:crossAx val="119872128"/>
        <c:crosses val="autoZero"/>
        <c:crossBetween val="between"/>
      </c:valAx>
    </c:plotArea>
    <c:plotVisOnly val="1"/>
  </c:chart>
  <c:spPr>
    <a:ln>
      <a:noFill/>
    </a:ln>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a!$B$27</c:f>
              <c:strCache>
                <c:ptCount val="1"/>
                <c:pt idx="0">
                  <c:v>veřejnoprávní</c:v>
                </c:pt>
              </c:strCache>
            </c:strRef>
          </c:tx>
          <c:dLbls>
            <c:numFmt formatCode="0%" sourceLinked="0"/>
            <c:showVal val="1"/>
          </c:dLbls>
          <c:cat>
            <c:strRef>
              <c:f>a!$A$28:$A$31</c:f>
              <c:strCache>
                <c:ptCount val="4"/>
                <c:pt idx="0">
                  <c:v>hudební</c:v>
                </c:pt>
                <c:pt idx="1">
                  <c:v>zpravodajské, publicistické, dramatické a zábavné</c:v>
                </c:pt>
                <c:pt idx="2">
                  <c:v>obchodní sdělení a upoutávky</c:v>
                </c:pt>
                <c:pt idx="3">
                  <c:v>ostatní</c:v>
                </c:pt>
              </c:strCache>
            </c:strRef>
          </c:cat>
          <c:val>
            <c:numRef>
              <c:f>a!$B$28:$B$31</c:f>
              <c:numCache>
                <c:formatCode>#,##0.000_ ;\-#,##0.000\ </c:formatCode>
                <c:ptCount val="4"/>
                <c:pt idx="0">
                  <c:v>0.56676181414525861</c:v>
                </c:pt>
                <c:pt idx="1">
                  <c:v>0.31969552806850621</c:v>
                </c:pt>
                <c:pt idx="2">
                  <c:v>1.3003488740881813E-2</c:v>
                </c:pt>
                <c:pt idx="3">
                  <c:v>0.10053916904535361</c:v>
                </c:pt>
              </c:numCache>
            </c:numRef>
          </c:val>
        </c:ser>
        <c:ser>
          <c:idx val="1"/>
          <c:order val="1"/>
          <c:tx>
            <c:strRef>
              <c:f>a!$C$27</c:f>
              <c:strCache>
                <c:ptCount val="1"/>
                <c:pt idx="0">
                  <c:v>soukromé</c:v>
                </c:pt>
              </c:strCache>
            </c:strRef>
          </c:tx>
          <c:dLbls>
            <c:numFmt formatCode="0%" sourceLinked="0"/>
            <c:showVal val="1"/>
          </c:dLbls>
          <c:cat>
            <c:strRef>
              <c:f>a!$A$28:$A$31</c:f>
              <c:strCache>
                <c:ptCount val="4"/>
                <c:pt idx="0">
                  <c:v>hudební</c:v>
                </c:pt>
                <c:pt idx="1">
                  <c:v>zpravodajské, publicistické, dramatické a zábavné</c:v>
                </c:pt>
                <c:pt idx="2">
                  <c:v>obchodní sdělení a upoutávky</c:v>
                </c:pt>
                <c:pt idx="3">
                  <c:v>ostatní</c:v>
                </c:pt>
              </c:strCache>
            </c:strRef>
          </c:cat>
          <c:val>
            <c:numRef>
              <c:f>a!$C$28:$C$31</c:f>
              <c:numCache>
                <c:formatCode>#,##0.000_ ;\-#,##0.000\ </c:formatCode>
                <c:ptCount val="4"/>
                <c:pt idx="0">
                  <c:v>0.79146211361080721</c:v>
                </c:pt>
                <c:pt idx="1">
                  <c:v>5.8919921435339827E-2</c:v>
                </c:pt>
                <c:pt idx="2">
                  <c:v>4.3187780299357763E-2</c:v>
                </c:pt>
                <c:pt idx="3">
                  <c:v>0.10643018465441646</c:v>
                </c:pt>
              </c:numCache>
            </c:numRef>
          </c:val>
        </c:ser>
        <c:axId val="119894784"/>
        <c:axId val="119896320"/>
      </c:barChart>
      <c:catAx>
        <c:axId val="119894784"/>
        <c:scaling>
          <c:orientation val="minMax"/>
        </c:scaling>
        <c:axPos val="b"/>
        <c:tickLblPos val="nextTo"/>
        <c:crossAx val="119896320"/>
        <c:crosses val="autoZero"/>
        <c:auto val="1"/>
        <c:lblAlgn val="ctr"/>
        <c:lblOffset val="100"/>
      </c:catAx>
      <c:valAx>
        <c:axId val="119896320"/>
        <c:scaling>
          <c:orientation val="minMax"/>
        </c:scaling>
        <c:delete val="1"/>
        <c:axPos val="l"/>
        <c:numFmt formatCode="#,##0.000_ ;\-#,##0.000\ " sourceLinked="1"/>
        <c:tickLblPos val="none"/>
        <c:crossAx val="119894784"/>
        <c:crosses val="autoZero"/>
        <c:crossBetween val="between"/>
      </c:valAx>
    </c:plotArea>
    <c:legend>
      <c:legendPos val="t"/>
    </c:legend>
    <c:plotVisOnly val="1"/>
  </c:chart>
  <c:spPr>
    <a:ln>
      <a:noFill/>
    </a:ln>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numFmt formatCode="0%" sourceLinked="0"/>
            <c:showVal val="1"/>
          </c:dLbls>
          <c:cat>
            <c:strRef>
              <c:f>Sheet0!$I$148:$I$155</c:f>
              <c:strCache>
                <c:ptCount val="8"/>
                <c:pt idx="0">
                  <c:v>do roku 1959</c:v>
                </c:pt>
                <c:pt idx="1">
                  <c:v>1960–1969</c:v>
                </c:pt>
                <c:pt idx="2">
                  <c:v>1970–1979</c:v>
                </c:pt>
                <c:pt idx="3">
                  <c:v>1980–1989</c:v>
                </c:pt>
                <c:pt idx="4">
                  <c:v>1990–1999</c:v>
                </c:pt>
                <c:pt idx="5">
                  <c:v>2000–2009</c:v>
                </c:pt>
                <c:pt idx="6">
                  <c:v>2010-2017</c:v>
                </c:pt>
                <c:pt idx="7">
                  <c:v>2018-2019</c:v>
                </c:pt>
              </c:strCache>
            </c:strRef>
          </c:cat>
          <c:val>
            <c:numRef>
              <c:f>Sheet0!$J$148:$J$155</c:f>
              <c:numCache>
                <c:formatCode>General</c:formatCode>
                <c:ptCount val="8"/>
                <c:pt idx="0">
                  <c:v>9.1169043677575036E-3</c:v>
                </c:pt>
                <c:pt idx="1">
                  <c:v>3.9319665987410012E-2</c:v>
                </c:pt>
                <c:pt idx="2">
                  <c:v>6.7586579376623504E-2</c:v>
                </c:pt>
                <c:pt idx="3">
                  <c:v>0.15010086233589001</c:v>
                </c:pt>
                <c:pt idx="4">
                  <c:v>0.18745780554392319</c:v>
                </c:pt>
                <c:pt idx="5">
                  <c:v>0.15029622588152236</c:v>
                </c:pt>
                <c:pt idx="6">
                  <c:v>0.19586899759052312</c:v>
                </c:pt>
                <c:pt idx="7">
                  <c:v>0.20025295891635592</c:v>
                </c:pt>
              </c:numCache>
            </c:numRef>
          </c:val>
        </c:ser>
        <c:axId val="119936896"/>
        <c:axId val="119943168"/>
      </c:barChart>
      <c:catAx>
        <c:axId val="119936896"/>
        <c:scaling>
          <c:orientation val="minMax"/>
        </c:scaling>
        <c:axPos val="b"/>
        <c:title>
          <c:tx>
            <c:rich>
              <a:bodyPr/>
              <a:lstStyle/>
              <a:p>
                <a:pPr>
                  <a:defRPr/>
                </a:pPr>
                <a:r>
                  <a:rPr lang="cs-CZ"/>
                  <a:t>Datum vydání skladby</a:t>
                </a:r>
              </a:p>
            </c:rich>
          </c:tx>
        </c:title>
        <c:tickLblPos val="nextTo"/>
        <c:crossAx val="119943168"/>
        <c:crosses val="autoZero"/>
        <c:auto val="1"/>
        <c:lblAlgn val="ctr"/>
        <c:lblOffset val="100"/>
      </c:catAx>
      <c:valAx>
        <c:axId val="119943168"/>
        <c:scaling>
          <c:orientation val="minMax"/>
        </c:scaling>
        <c:delete val="1"/>
        <c:axPos val="l"/>
        <c:numFmt formatCode="General" sourceLinked="1"/>
        <c:tickLblPos val="none"/>
        <c:crossAx val="119936896"/>
        <c:crosses val="autoZero"/>
        <c:crossBetween val="between"/>
      </c:valAx>
    </c:plotArea>
    <c:plotVisOnly val="1"/>
  </c:chart>
  <c:spPr>
    <a:ln>
      <a:noFill/>
    </a:ln>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percentStacked"/>
        <c:ser>
          <c:idx val="0"/>
          <c:order val="0"/>
          <c:tx>
            <c:strRef>
              <c:f>Sheet0!$J$195</c:f>
              <c:strCache>
                <c:ptCount val="1"/>
                <c:pt idx="0">
                  <c:v>skladby českých interpretů</c:v>
                </c:pt>
              </c:strCache>
            </c:strRef>
          </c:tx>
          <c:dLbls>
            <c:numFmt formatCode="0%" sourceLinked="0"/>
            <c:txPr>
              <a:bodyPr/>
              <a:lstStyle/>
              <a:p>
                <a:pPr>
                  <a:defRPr>
                    <a:solidFill>
                      <a:schemeClr val="accent6">
                        <a:lumMod val="60000"/>
                        <a:lumOff val="40000"/>
                      </a:schemeClr>
                    </a:solidFill>
                  </a:defRPr>
                </a:pPr>
                <a:endParaRPr lang="cs-CZ"/>
              </a:p>
            </c:txPr>
            <c:showVal val="1"/>
          </c:dLbls>
          <c:cat>
            <c:strRef>
              <c:f>Sheet0!$I$196:$I$203</c:f>
              <c:strCache>
                <c:ptCount val="8"/>
                <c:pt idx="0">
                  <c:v>do roku 1959</c:v>
                </c:pt>
                <c:pt idx="1">
                  <c:v>1960–1969</c:v>
                </c:pt>
                <c:pt idx="2">
                  <c:v>1970–1979</c:v>
                </c:pt>
                <c:pt idx="3">
                  <c:v>1980–1989</c:v>
                </c:pt>
                <c:pt idx="4">
                  <c:v>1990–1999</c:v>
                </c:pt>
                <c:pt idx="5">
                  <c:v>2000–2009</c:v>
                </c:pt>
                <c:pt idx="6">
                  <c:v>2010-2017</c:v>
                </c:pt>
                <c:pt idx="7">
                  <c:v>2018-2019</c:v>
                </c:pt>
              </c:strCache>
            </c:strRef>
          </c:cat>
          <c:val>
            <c:numRef>
              <c:f>Sheet0!$J$196:$J$203</c:f>
              <c:numCache>
                <c:formatCode>General</c:formatCode>
                <c:ptCount val="8"/>
                <c:pt idx="0">
                  <c:v>0.53490115113855863</c:v>
                </c:pt>
                <c:pt idx="1">
                  <c:v>0.63252783846094562</c:v>
                </c:pt>
                <c:pt idx="2">
                  <c:v>0.55131755795392756</c:v>
                </c:pt>
                <c:pt idx="3">
                  <c:v>0.46381544963799631</c:v>
                </c:pt>
                <c:pt idx="4">
                  <c:v>0.41786318345463297</c:v>
                </c:pt>
                <c:pt idx="5">
                  <c:v>0.34764374602142573</c:v>
                </c:pt>
                <c:pt idx="6">
                  <c:v>0.27742557827396763</c:v>
                </c:pt>
                <c:pt idx="7">
                  <c:v>0.24298641807665394</c:v>
                </c:pt>
              </c:numCache>
            </c:numRef>
          </c:val>
        </c:ser>
        <c:ser>
          <c:idx val="1"/>
          <c:order val="1"/>
          <c:tx>
            <c:strRef>
              <c:f>Sheet0!$K$195</c:f>
              <c:strCache>
                <c:ptCount val="1"/>
                <c:pt idx="0">
                  <c:v>skladby zahraničních interpretů</c:v>
                </c:pt>
              </c:strCache>
            </c:strRef>
          </c:tx>
          <c:dLbls>
            <c:numFmt formatCode="0%" sourceLinked="0"/>
            <c:showVal val="1"/>
          </c:dLbls>
          <c:cat>
            <c:strRef>
              <c:f>Sheet0!$I$196:$I$203</c:f>
              <c:strCache>
                <c:ptCount val="8"/>
                <c:pt idx="0">
                  <c:v>do roku 1959</c:v>
                </c:pt>
                <c:pt idx="1">
                  <c:v>1960–1969</c:v>
                </c:pt>
                <c:pt idx="2">
                  <c:v>1970–1979</c:v>
                </c:pt>
                <c:pt idx="3">
                  <c:v>1980–1989</c:v>
                </c:pt>
                <c:pt idx="4">
                  <c:v>1990–1999</c:v>
                </c:pt>
                <c:pt idx="5">
                  <c:v>2000–2009</c:v>
                </c:pt>
                <c:pt idx="6">
                  <c:v>2010-2017</c:v>
                </c:pt>
                <c:pt idx="7">
                  <c:v>2018-2019</c:v>
                </c:pt>
              </c:strCache>
            </c:strRef>
          </c:cat>
          <c:val>
            <c:numRef>
              <c:f>Sheet0!$K$196:$K$203</c:f>
              <c:numCache>
                <c:formatCode>General</c:formatCode>
                <c:ptCount val="8"/>
                <c:pt idx="0">
                  <c:v>0.46509884886144132</c:v>
                </c:pt>
                <c:pt idx="1">
                  <c:v>0.36747216153906076</c:v>
                </c:pt>
                <c:pt idx="2">
                  <c:v>0.44868244204607233</c:v>
                </c:pt>
                <c:pt idx="3">
                  <c:v>0.53618455036200396</c:v>
                </c:pt>
                <c:pt idx="4">
                  <c:v>0.58213681654537064</c:v>
                </c:pt>
                <c:pt idx="5">
                  <c:v>0.65235625397858288</c:v>
                </c:pt>
                <c:pt idx="6">
                  <c:v>0.72257442172603459</c:v>
                </c:pt>
                <c:pt idx="7">
                  <c:v>0.75701358192334556</c:v>
                </c:pt>
              </c:numCache>
            </c:numRef>
          </c:val>
        </c:ser>
        <c:overlap val="100"/>
        <c:axId val="119969280"/>
        <c:axId val="119971200"/>
      </c:barChart>
      <c:catAx>
        <c:axId val="119969280"/>
        <c:scaling>
          <c:orientation val="minMax"/>
        </c:scaling>
        <c:axPos val="b"/>
        <c:title>
          <c:tx>
            <c:rich>
              <a:bodyPr/>
              <a:lstStyle/>
              <a:p>
                <a:pPr>
                  <a:defRPr/>
                </a:pPr>
                <a:r>
                  <a:rPr lang="cs-CZ"/>
                  <a:t>Datum vydání skladby</a:t>
                </a:r>
              </a:p>
            </c:rich>
          </c:tx>
        </c:title>
        <c:tickLblPos val="nextTo"/>
        <c:crossAx val="119971200"/>
        <c:crosses val="autoZero"/>
        <c:auto val="1"/>
        <c:lblAlgn val="ctr"/>
        <c:lblOffset val="100"/>
      </c:catAx>
      <c:valAx>
        <c:axId val="119971200"/>
        <c:scaling>
          <c:orientation val="minMax"/>
        </c:scaling>
        <c:delete val="1"/>
        <c:axPos val="l"/>
        <c:numFmt formatCode="0%" sourceLinked="1"/>
        <c:tickLblPos val="none"/>
        <c:crossAx val="119969280"/>
        <c:crosses val="autoZero"/>
        <c:crossBetween val="between"/>
      </c:valAx>
    </c:plotArea>
    <c:legend>
      <c:legendPos val="t"/>
    </c:legend>
    <c:plotVisOnly val="1"/>
  </c:chart>
  <c:spPr>
    <a:ln>
      <a:noFill/>
    </a:ln>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List1!$A$2</c:f>
              <c:strCache>
                <c:ptCount val="1"/>
                <c:pt idx="0">
                  <c:v>příjmy (mld. Kč)</c:v>
                </c:pt>
              </c:strCache>
            </c:strRef>
          </c:tx>
          <c:dLbls>
            <c:dLblPos val="t"/>
            <c:showVal val="1"/>
          </c:dLbls>
          <c:cat>
            <c:numRef>
              <c:f>List1!$B$1:$I$1</c:f>
              <c:numCache>
                <c:formatCode>General</c:formatCode>
                <c:ptCount val="8"/>
                <c:pt idx="0">
                  <c:v>2012</c:v>
                </c:pt>
                <c:pt idx="1">
                  <c:v>2013</c:v>
                </c:pt>
                <c:pt idx="2">
                  <c:v>2014</c:v>
                </c:pt>
                <c:pt idx="3">
                  <c:v>2015</c:v>
                </c:pt>
                <c:pt idx="4">
                  <c:v>2016</c:v>
                </c:pt>
                <c:pt idx="5">
                  <c:v>2017</c:v>
                </c:pt>
                <c:pt idx="6">
                  <c:v>2018</c:v>
                </c:pt>
                <c:pt idx="7">
                  <c:v>2019</c:v>
                </c:pt>
              </c:numCache>
            </c:numRef>
          </c:cat>
          <c:val>
            <c:numRef>
              <c:f>List1!$B$2:$I$2</c:f>
              <c:numCache>
                <c:formatCode>General</c:formatCode>
                <c:ptCount val="8"/>
                <c:pt idx="0">
                  <c:v>5</c:v>
                </c:pt>
                <c:pt idx="1">
                  <c:v>4.9000000000000004</c:v>
                </c:pt>
                <c:pt idx="2">
                  <c:v>4.7</c:v>
                </c:pt>
                <c:pt idx="3">
                  <c:v>4.7</c:v>
                </c:pt>
                <c:pt idx="4">
                  <c:v>4.4000000000000004</c:v>
                </c:pt>
                <c:pt idx="5">
                  <c:v>4.5</c:v>
                </c:pt>
                <c:pt idx="6">
                  <c:v>4.5999999999999996</c:v>
                </c:pt>
                <c:pt idx="7">
                  <c:v>4.2</c:v>
                </c:pt>
              </c:numCache>
            </c:numRef>
          </c:val>
        </c:ser>
        <c:ser>
          <c:idx val="1"/>
          <c:order val="1"/>
          <c:tx>
            <c:strRef>
              <c:f>List1!$A$3</c:f>
              <c:strCache>
                <c:ptCount val="1"/>
                <c:pt idx="0">
                  <c:v>počet zaměstnanců (v tis. osob, přepočteno na plné prac. úvazky)</c:v>
                </c:pt>
              </c:strCache>
            </c:strRef>
          </c:tx>
          <c:dLbls>
            <c:numFmt formatCode="#,##0.0" sourceLinked="0"/>
            <c:dLblPos val="t"/>
            <c:showVal val="1"/>
          </c:dLbls>
          <c:cat>
            <c:numRef>
              <c:f>List1!$B$1:$I$1</c:f>
              <c:numCache>
                <c:formatCode>General</c:formatCode>
                <c:ptCount val="8"/>
                <c:pt idx="0">
                  <c:v>2012</c:v>
                </c:pt>
                <c:pt idx="1">
                  <c:v>2013</c:v>
                </c:pt>
                <c:pt idx="2">
                  <c:v>2014</c:v>
                </c:pt>
                <c:pt idx="3">
                  <c:v>2015</c:v>
                </c:pt>
                <c:pt idx="4">
                  <c:v>2016</c:v>
                </c:pt>
                <c:pt idx="5">
                  <c:v>2017</c:v>
                </c:pt>
                <c:pt idx="6">
                  <c:v>2018</c:v>
                </c:pt>
                <c:pt idx="7">
                  <c:v>2019</c:v>
                </c:pt>
              </c:numCache>
            </c:numRef>
          </c:cat>
          <c:val>
            <c:numRef>
              <c:f>List1!$B$3:$I$3</c:f>
              <c:numCache>
                <c:formatCode>General</c:formatCode>
                <c:ptCount val="8"/>
                <c:pt idx="0">
                  <c:v>1.8</c:v>
                </c:pt>
                <c:pt idx="1">
                  <c:v>1.8</c:v>
                </c:pt>
                <c:pt idx="2">
                  <c:v>1.9000000000000001</c:v>
                </c:pt>
                <c:pt idx="3">
                  <c:v>1.9000000000000001</c:v>
                </c:pt>
                <c:pt idx="4">
                  <c:v>1.9000000000000001</c:v>
                </c:pt>
                <c:pt idx="5">
                  <c:v>2</c:v>
                </c:pt>
                <c:pt idx="6">
                  <c:v>2.1</c:v>
                </c:pt>
                <c:pt idx="7">
                  <c:v>1.9000000000000001</c:v>
                </c:pt>
              </c:numCache>
            </c:numRef>
          </c:val>
        </c:ser>
        <c:marker val="1"/>
        <c:axId val="119958528"/>
        <c:axId val="120013568"/>
      </c:lineChart>
      <c:catAx>
        <c:axId val="119958528"/>
        <c:scaling>
          <c:orientation val="minMax"/>
        </c:scaling>
        <c:axPos val="b"/>
        <c:numFmt formatCode="General" sourceLinked="1"/>
        <c:tickLblPos val="nextTo"/>
        <c:crossAx val="120013568"/>
        <c:crosses val="autoZero"/>
        <c:auto val="1"/>
        <c:lblAlgn val="ctr"/>
        <c:lblOffset val="100"/>
      </c:catAx>
      <c:valAx>
        <c:axId val="120013568"/>
        <c:scaling>
          <c:orientation val="minMax"/>
        </c:scaling>
        <c:delete val="1"/>
        <c:axPos val="l"/>
        <c:numFmt formatCode="General" sourceLinked="1"/>
        <c:tickLblPos val="none"/>
        <c:crossAx val="119958528"/>
        <c:crosses val="autoZero"/>
        <c:crossBetween val="between"/>
      </c:valAx>
    </c:plotArea>
    <c:legend>
      <c:legendPos val="t"/>
    </c:legend>
    <c:plotVisOnly val="1"/>
  </c:chart>
  <c:spPr>
    <a:ln>
      <a:noFill/>
    </a:ln>
  </c:spPr>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32807984848761901"/>
          <c:y val="0.2530116714134138"/>
          <c:w val="0.40880525665150325"/>
          <c:h val="0.74698832858659192"/>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showVal val="1"/>
            </c:dLbl>
            <c:dLbl>
              <c:idx val="1"/>
              <c:showVal val="1"/>
            </c:dLbl>
            <c:delete val="1"/>
            <c:numFmt formatCode="#,##0.0&quot; tis.&quot;" sourceLinked="0"/>
          </c:dLbls>
          <c:cat>
            <c:strRef>
              <c:f>List1!$B$2:$C$2</c:f>
              <c:strCache>
                <c:ptCount val="2"/>
                <c:pt idx="0">
                  <c:v>povolání kult. charakteru</c:v>
                </c:pt>
                <c:pt idx="1">
                  <c:v>povolání ne-kult. charakteru</c:v>
                </c:pt>
              </c:strCache>
            </c:strRef>
          </c:cat>
          <c:val>
            <c:numRef>
              <c:f>List1!$B$3:$C$3</c:f>
              <c:numCache>
                <c:formatCode>General</c:formatCode>
                <c:ptCount val="2"/>
                <c:pt idx="0">
                  <c:v>2.298</c:v>
                </c:pt>
                <c:pt idx="1">
                  <c:v>1.1970000000000001</c:v>
                </c:pt>
              </c:numCache>
            </c:numRef>
          </c:val>
        </c:ser>
        <c:firstSliceAng val="0"/>
        <c:holeSize val="50"/>
      </c:doughnutChart>
    </c:plotArea>
    <c:legend>
      <c:legendPos val="t"/>
    </c:legend>
    <c:plotVisOnly val="1"/>
  </c:chart>
  <c:spPr>
    <a:ln>
      <a:noFill/>
    </a:ln>
  </c:spPr>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doughnutChart>
        <c:varyColors val="1"/>
        <c:ser>
          <c:idx val="0"/>
          <c:order val="0"/>
          <c:dLbls>
            <c:dLbl>
              <c:idx val="0"/>
              <c:layout>
                <c:manualLayout>
                  <c:x val="0.125"/>
                  <c:y val="-0.11574074074074139"/>
                </c:manualLayout>
              </c:layout>
              <c:showVal val="1"/>
              <c:showCatName val="1"/>
            </c:dLbl>
            <c:dLbl>
              <c:idx val="1"/>
              <c:layout>
                <c:manualLayout>
                  <c:x val="0.166460163553937"/>
                  <c:y val="0.12217597281667689"/>
                </c:manualLayout>
              </c:layout>
              <c:showVal val="1"/>
              <c:showCatName val="1"/>
            </c:dLbl>
            <c:dLbl>
              <c:idx val="2"/>
              <c:layout>
                <c:manualLayout>
                  <c:x val="-0.12222222222222355"/>
                  <c:y val="0.125"/>
                </c:manualLayout>
              </c:layout>
              <c:showVal val="1"/>
              <c:showCatName val="1"/>
            </c:dLbl>
            <c:dLbl>
              <c:idx val="3"/>
              <c:layout>
                <c:manualLayout>
                  <c:x val="-0.14166666666666666"/>
                  <c:y val="4.1666666666666664E-2"/>
                </c:manualLayout>
              </c:layout>
              <c:showVal val="1"/>
              <c:showCatName val="1"/>
            </c:dLbl>
            <c:dLbl>
              <c:idx val="4"/>
              <c:layout>
                <c:manualLayout>
                  <c:x val="-0.13055555555555537"/>
                  <c:y val="-4.1666666666666664E-2"/>
                </c:manualLayout>
              </c:layout>
              <c:showVal val="1"/>
              <c:showCatName val="1"/>
            </c:dLbl>
            <c:dLbl>
              <c:idx val="5"/>
              <c:layout>
                <c:manualLayout>
                  <c:x val="-9.1666666666667618E-2"/>
                  <c:y val="-0.14814814814814894"/>
                </c:manualLayout>
              </c:layout>
              <c:showVal val="1"/>
              <c:showCatName val="1"/>
            </c:dLbl>
            <c:numFmt formatCode="0%" sourceLinked="0"/>
            <c:showVal val="1"/>
            <c:showCatName val="1"/>
            <c:showLeaderLines val="1"/>
          </c:dLbls>
          <c:cat>
            <c:strRef>
              <c:f>List1!$C$24:$C$29</c:f>
              <c:strCache>
                <c:ptCount val="6"/>
                <c:pt idx="0">
                  <c:v>Zaměstnání (mimo domov)</c:v>
                </c:pt>
                <c:pt idx="1">
                  <c:v>Domácí práce (péče o děti)</c:v>
                </c:pt>
                <c:pt idx="2">
                  <c:v>Cestování autem</c:v>
                </c:pt>
                <c:pt idx="3">
                  <c:v>Volný čas/koníčky doma</c:v>
                </c:pt>
                <c:pt idx="4">
                  <c:v>Stravování doma</c:v>
                </c:pt>
                <c:pt idx="5">
                  <c:v>Ostatní</c:v>
                </c:pt>
              </c:strCache>
            </c:strRef>
          </c:cat>
          <c:val>
            <c:numRef>
              <c:f>List1!$D$24:$D$29</c:f>
              <c:numCache>
                <c:formatCode>General</c:formatCode>
                <c:ptCount val="6"/>
                <c:pt idx="0">
                  <c:v>0.34</c:v>
                </c:pt>
                <c:pt idx="1">
                  <c:v>0.2</c:v>
                </c:pt>
                <c:pt idx="2">
                  <c:v>0.13</c:v>
                </c:pt>
                <c:pt idx="3">
                  <c:v>0.11</c:v>
                </c:pt>
                <c:pt idx="4">
                  <c:v>0.05</c:v>
                </c:pt>
                <c:pt idx="5">
                  <c:v>0.16</c:v>
                </c:pt>
              </c:numCache>
            </c:numRef>
          </c:val>
        </c:ser>
        <c:firstSliceAng val="0"/>
        <c:holeSize val="50"/>
      </c:doughnutChart>
    </c:plotArea>
    <c:plotVisOnly val="1"/>
  </c:chart>
  <c:spPr>
    <a:ln>
      <a:noFill/>
    </a:ln>
  </c:spPr>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List2!$B$8</c:f>
              <c:strCache>
                <c:ptCount val="1"/>
                <c:pt idx="0">
                  <c:v>únor</c:v>
                </c:pt>
              </c:strCache>
            </c:strRef>
          </c:tx>
          <c:dLbls>
            <c:numFmt formatCode="0%" sourceLinked="0"/>
            <c:showVal val="1"/>
          </c:dLbls>
          <c:cat>
            <c:strRef>
              <c:f>List2!$C$7:$D$7</c:f>
              <c:strCache>
                <c:ptCount val="2"/>
                <c:pt idx="0">
                  <c:v>Čro Radiožurnál</c:v>
                </c:pt>
                <c:pt idx="1">
                  <c:v>iROZHLAS.cz + aplikace Český rozhlas</c:v>
                </c:pt>
              </c:strCache>
            </c:strRef>
          </c:cat>
          <c:val>
            <c:numRef>
              <c:f>List2!$C$8:$D$8</c:f>
              <c:numCache>
                <c:formatCode>General</c:formatCode>
                <c:ptCount val="2"/>
                <c:pt idx="0">
                  <c:v>0.19700000000000001</c:v>
                </c:pt>
                <c:pt idx="1">
                  <c:v>3.500000000000001E-2</c:v>
                </c:pt>
              </c:numCache>
            </c:numRef>
          </c:val>
        </c:ser>
        <c:ser>
          <c:idx val="1"/>
          <c:order val="1"/>
          <c:tx>
            <c:strRef>
              <c:f>List2!$B$9</c:f>
              <c:strCache>
                <c:ptCount val="1"/>
                <c:pt idx="0">
                  <c:v>březen</c:v>
                </c:pt>
              </c:strCache>
            </c:strRef>
          </c:tx>
          <c:dLbls>
            <c:numFmt formatCode="0%" sourceLinked="0"/>
            <c:showVal val="1"/>
          </c:dLbls>
          <c:cat>
            <c:strRef>
              <c:f>List2!$C$7:$D$7</c:f>
              <c:strCache>
                <c:ptCount val="2"/>
                <c:pt idx="0">
                  <c:v>Čro Radiožurnál</c:v>
                </c:pt>
                <c:pt idx="1">
                  <c:v>iROZHLAS.cz + aplikace Český rozhlas</c:v>
                </c:pt>
              </c:strCache>
            </c:strRef>
          </c:cat>
          <c:val>
            <c:numRef>
              <c:f>List2!$C$9:$D$9</c:f>
              <c:numCache>
                <c:formatCode>General</c:formatCode>
                <c:ptCount val="2"/>
                <c:pt idx="0">
                  <c:v>0.23600000000000004</c:v>
                </c:pt>
                <c:pt idx="1">
                  <c:v>8.2000000000000003E-2</c:v>
                </c:pt>
              </c:numCache>
            </c:numRef>
          </c:val>
        </c:ser>
        <c:axId val="120087680"/>
        <c:axId val="120089216"/>
      </c:barChart>
      <c:catAx>
        <c:axId val="120087680"/>
        <c:scaling>
          <c:orientation val="minMax"/>
        </c:scaling>
        <c:axPos val="b"/>
        <c:tickLblPos val="nextTo"/>
        <c:crossAx val="120089216"/>
        <c:crosses val="autoZero"/>
        <c:auto val="1"/>
        <c:lblAlgn val="ctr"/>
        <c:lblOffset val="100"/>
      </c:catAx>
      <c:valAx>
        <c:axId val="120089216"/>
        <c:scaling>
          <c:orientation val="minMax"/>
        </c:scaling>
        <c:delete val="1"/>
        <c:axPos val="l"/>
        <c:numFmt formatCode="General" sourceLinked="1"/>
        <c:tickLblPos val="none"/>
        <c:crossAx val="120087680"/>
        <c:crosses val="autoZero"/>
        <c:crossBetween val="between"/>
      </c:valAx>
    </c:plotArea>
    <c:legend>
      <c:legendPos val="t"/>
    </c:legend>
    <c:plotVisOnly val="1"/>
  </c:chart>
  <c:spPr>
    <a:ln>
      <a:noFill/>
    </a:ln>
  </c:spPr>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numFmt formatCode="0%" sourceLinked="0"/>
            <c:showVal val="1"/>
          </c:dLbls>
          <c:cat>
            <c:strRef>
              <c:f>List1!$E$12:$E$18</c:f>
              <c:strCache>
                <c:ptCount val="7"/>
                <c:pt idx="0">
                  <c:v>16–24 let</c:v>
                </c:pt>
                <c:pt idx="1">
                  <c:v>25–34 let</c:v>
                </c:pt>
                <c:pt idx="2">
                  <c:v>35–44 let</c:v>
                </c:pt>
                <c:pt idx="3">
                  <c:v>45–54 let</c:v>
                </c:pt>
                <c:pt idx="4">
                  <c:v>55–64 let</c:v>
                </c:pt>
                <c:pt idx="5">
                  <c:v>65–74 let</c:v>
                </c:pt>
                <c:pt idx="6">
                  <c:v>75+</c:v>
                </c:pt>
              </c:strCache>
            </c:strRef>
          </c:cat>
          <c:val>
            <c:numRef>
              <c:f>List1!$F$12:$F$18</c:f>
              <c:numCache>
                <c:formatCode>General</c:formatCode>
                <c:ptCount val="7"/>
                <c:pt idx="0">
                  <c:v>0.35600000000000032</c:v>
                </c:pt>
                <c:pt idx="1">
                  <c:v>0.32100000000000234</c:v>
                </c:pt>
                <c:pt idx="2">
                  <c:v>0.30100000000000032</c:v>
                </c:pt>
                <c:pt idx="3">
                  <c:v>0.20800000000000021</c:v>
                </c:pt>
                <c:pt idx="4">
                  <c:v>0.13200000000000001</c:v>
                </c:pt>
                <c:pt idx="5">
                  <c:v>7.5999999999999998E-2</c:v>
                </c:pt>
                <c:pt idx="6">
                  <c:v>2.0000000000000011E-2</c:v>
                </c:pt>
              </c:numCache>
            </c:numRef>
          </c:val>
        </c:ser>
        <c:axId val="120101120"/>
        <c:axId val="120111104"/>
      </c:barChart>
      <c:catAx>
        <c:axId val="120101120"/>
        <c:scaling>
          <c:orientation val="minMax"/>
        </c:scaling>
        <c:axPos val="b"/>
        <c:tickLblPos val="nextTo"/>
        <c:crossAx val="120111104"/>
        <c:crosses val="autoZero"/>
        <c:auto val="1"/>
        <c:lblAlgn val="ctr"/>
        <c:lblOffset val="100"/>
      </c:catAx>
      <c:valAx>
        <c:axId val="120111104"/>
        <c:scaling>
          <c:orientation val="minMax"/>
        </c:scaling>
        <c:delete val="1"/>
        <c:axPos val="l"/>
        <c:numFmt formatCode="General" sourceLinked="1"/>
        <c:tickLblPos val="none"/>
        <c:crossAx val="120101120"/>
        <c:crosses val="autoZero"/>
        <c:crossBetween val="between"/>
      </c:valAx>
    </c:plotArea>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List1!$A$8</c:f>
              <c:strCache>
                <c:ptCount val="1"/>
                <c:pt idx="0">
                  <c:v>příjmy</c:v>
                </c:pt>
              </c:strCache>
            </c:strRef>
          </c:tx>
          <c:dLbls>
            <c:dLblPos val="t"/>
            <c:showVal val="1"/>
          </c:dLbls>
          <c:cat>
            <c:numRef>
              <c:f>List1!$B$7:$O$7</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List1!$B$8:$O$8</c:f>
              <c:numCache>
                <c:formatCode>0.0</c:formatCode>
                <c:ptCount val="14"/>
                <c:pt idx="0">
                  <c:v>45.515200259572595</c:v>
                </c:pt>
                <c:pt idx="1">
                  <c:v>48.507487347378294</c:v>
                </c:pt>
                <c:pt idx="2">
                  <c:v>50.904804646405999</c:v>
                </c:pt>
                <c:pt idx="3">
                  <c:v>52.410189467394616</c:v>
                </c:pt>
                <c:pt idx="4">
                  <c:v>47.24951239001858</c:v>
                </c:pt>
                <c:pt idx="5">
                  <c:v>47.538192232480817</c:v>
                </c:pt>
                <c:pt idx="6">
                  <c:v>45.519984420451934</c:v>
                </c:pt>
                <c:pt idx="7">
                  <c:v>42.650294511011154</c:v>
                </c:pt>
                <c:pt idx="8">
                  <c:v>40.245633899250464</c:v>
                </c:pt>
                <c:pt idx="9">
                  <c:v>40.044939386340737</c:v>
                </c:pt>
                <c:pt idx="10">
                  <c:v>39.870926104176817</c:v>
                </c:pt>
                <c:pt idx="11">
                  <c:v>40.796567010688122</c:v>
                </c:pt>
                <c:pt idx="12">
                  <c:v>39.239366308033233</c:v>
                </c:pt>
                <c:pt idx="13">
                  <c:v>40.500691513530874</c:v>
                </c:pt>
              </c:numCache>
            </c:numRef>
          </c:val>
        </c:ser>
        <c:marker val="1"/>
        <c:axId val="194542592"/>
        <c:axId val="194679552"/>
      </c:lineChart>
      <c:catAx>
        <c:axId val="194542592"/>
        <c:scaling>
          <c:orientation val="minMax"/>
        </c:scaling>
        <c:axPos val="b"/>
        <c:numFmt formatCode="General" sourceLinked="1"/>
        <c:tickLblPos val="nextTo"/>
        <c:crossAx val="194679552"/>
        <c:crosses val="autoZero"/>
        <c:auto val="1"/>
        <c:lblAlgn val="ctr"/>
        <c:lblOffset val="100"/>
      </c:catAx>
      <c:valAx>
        <c:axId val="194679552"/>
        <c:scaling>
          <c:orientation val="minMax"/>
        </c:scaling>
        <c:delete val="1"/>
        <c:axPos val="l"/>
        <c:numFmt formatCode="0.0" sourceLinked="1"/>
        <c:tickLblPos val="none"/>
        <c:crossAx val="194542592"/>
        <c:crosses val="autoZero"/>
        <c:crossBetween val="between"/>
      </c:valAx>
    </c:plotArea>
    <c:plotVisOnly val="1"/>
  </c:chart>
  <c:spPr>
    <a:noFill/>
    <a:ln>
      <a:noFill/>
    </a:ln>
  </c:spPr>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34784890081758413"/>
          <c:y val="0.2530116714134138"/>
          <c:w val="0.331680490657356"/>
          <c:h val="0.68735488914949461"/>
        </c:manualLayout>
      </c:layout>
      <c:doughnutChart>
        <c:varyColors val="1"/>
        <c:ser>
          <c:idx val="0"/>
          <c:order val="0"/>
          <c:dLbls>
            <c:dLbl>
              <c:idx val="0"/>
              <c:numFmt formatCode="0%" sourceLinked="0"/>
              <c:spPr/>
              <c:txPr>
                <a:bodyPr/>
                <a:lstStyle/>
                <a:p>
                  <a:pPr>
                    <a:defRPr>
                      <a:solidFill>
                        <a:schemeClr val="accent6">
                          <a:lumMod val="60000"/>
                          <a:lumOff val="40000"/>
                        </a:schemeClr>
                      </a:solidFill>
                    </a:defRPr>
                  </a:pPr>
                  <a:endParaRPr lang="cs-CZ"/>
                </a:p>
              </c:txPr>
            </c:dLbl>
            <c:numFmt formatCode="0%" sourceLinked="0"/>
            <c:showVal val="1"/>
            <c:showLeaderLines val="1"/>
          </c:dLbls>
          <c:cat>
            <c:strRef>
              <c:f>List1!$A$1:$B$1</c:f>
              <c:strCache>
                <c:ptCount val="2"/>
                <c:pt idx="0">
                  <c:v>veřejnoprávní vysílání (Česká televize)</c:v>
                </c:pt>
                <c:pt idx="1">
                  <c:v>ostatní vysílání</c:v>
                </c:pt>
              </c:strCache>
            </c:strRef>
          </c:cat>
          <c:val>
            <c:numRef>
              <c:f>List1!$A$2:$B$2</c:f>
              <c:numCache>
                <c:formatCode>General</c:formatCode>
                <c:ptCount val="2"/>
                <c:pt idx="0">
                  <c:v>0.2888000000000005</c:v>
                </c:pt>
                <c:pt idx="1">
                  <c:v>0.71120000000000005</c:v>
                </c:pt>
              </c:numCache>
            </c:numRef>
          </c:val>
        </c:ser>
        <c:firstSliceAng val="0"/>
        <c:holeSize val="50"/>
      </c:doughnutChart>
    </c:plotArea>
    <c:legend>
      <c:legendPos val="t"/>
    </c:legend>
    <c:plotVisOnly val="1"/>
  </c:chart>
  <c:spPr>
    <a:ln>
      <a:noFill/>
    </a:ln>
  </c:spPr>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289766970618092E-2"/>
          <c:y val="0.15235433070866186"/>
          <c:w val="0.94934143870314291"/>
          <c:h val="0.47713188976377952"/>
        </c:manualLayout>
      </c:layout>
      <c:barChart>
        <c:barDir val="col"/>
        <c:grouping val="clustered"/>
        <c:ser>
          <c:idx val="0"/>
          <c:order val="0"/>
          <c:tx>
            <c:strRef>
              <c:f>List1!$B$1</c:f>
              <c:strCache>
                <c:ptCount val="1"/>
                <c:pt idx="0">
                  <c:v>veřejnoprávní</c:v>
                </c:pt>
              </c:strCache>
            </c:strRef>
          </c:tx>
          <c:dLbls>
            <c:numFmt formatCode="0%" sourceLinked="0"/>
            <c:showVal val="1"/>
          </c:dLbls>
          <c:cat>
            <c:strRef>
              <c:f>List1!$A$2:$A$9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List1!$B$2:$B$9</c:f>
              <c:numCache>
                <c:formatCode>General</c:formatCode>
                <c:ptCount val="8"/>
                <c:pt idx="0">
                  <c:v>0.22703447652614037</c:v>
                </c:pt>
                <c:pt idx="1">
                  <c:v>0</c:v>
                </c:pt>
                <c:pt idx="2">
                  <c:v>0.20561655596222544</c:v>
                </c:pt>
                <c:pt idx="3">
                  <c:v>7.2522705706926954E-2</c:v>
                </c:pt>
                <c:pt idx="4">
                  <c:v>0.16912927567665265</c:v>
                </c:pt>
                <c:pt idx="5">
                  <c:v>0.18548642176133134</c:v>
                </c:pt>
                <c:pt idx="6">
                  <c:v>7.2070850842709516E-3</c:v>
                </c:pt>
                <c:pt idx="7">
                  <c:v>0.13300347928245448</c:v>
                </c:pt>
              </c:numCache>
            </c:numRef>
          </c:val>
        </c:ser>
        <c:ser>
          <c:idx val="1"/>
          <c:order val="1"/>
          <c:tx>
            <c:strRef>
              <c:f>List1!$C$1</c:f>
              <c:strCache>
                <c:ptCount val="1"/>
                <c:pt idx="0">
                  <c:v>soukromé</c:v>
                </c:pt>
              </c:strCache>
            </c:strRef>
          </c:tx>
          <c:dLbls>
            <c:numFmt formatCode="0%" sourceLinked="0"/>
            <c:showVal val="1"/>
          </c:dLbls>
          <c:cat>
            <c:strRef>
              <c:f>List1!$A$2:$A$9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List1!$C$2:$C$9</c:f>
              <c:numCache>
                <c:formatCode>General</c:formatCode>
                <c:ptCount val="8"/>
                <c:pt idx="0">
                  <c:v>0.31039429878360286</c:v>
                </c:pt>
                <c:pt idx="1">
                  <c:v>0.16199732483668874</c:v>
                </c:pt>
                <c:pt idx="2">
                  <c:v>0.2266731967509345</c:v>
                </c:pt>
                <c:pt idx="3">
                  <c:v>0.14981860339570771</c:v>
                </c:pt>
                <c:pt idx="4">
                  <c:v>5.1260213799691527E-2</c:v>
                </c:pt>
                <c:pt idx="5">
                  <c:v>6.1956337214270171E-2</c:v>
                </c:pt>
                <c:pt idx="6">
                  <c:v>0.12390554662213572</c:v>
                </c:pt>
                <c:pt idx="7">
                  <c:v>7.5991803433658633E-2</c:v>
                </c:pt>
              </c:numCache>
            </c:numRef>
          </c:val>
        </c:ser>
        <c:axId val="120150656"/>
        <c:axId val="120160640"/>
      </c:barChart>
      <c:catAx>
        <c:axId val="120150656"/>
        <c:scaling>
          <c:orientation val="minMax"/>
        </c:scaling>
        <c:axPos val="b"/>
        <c:numFmt formatCode="General" sourceLinked="1"/>
        <c:tickLblPos val="nextTo"/>
        <c:crossAx val="120160640"/>
        <c:crosses val="autoZero"/>
        <c:auto val="1"/>
        <c:lblAlgn val="ctr"/>
        <c:lblOffset val="100"/>
      </c:catAx>
      <c:valAx>
        <c:axId val="120160640"/>
        <c:scaling>
          <c:orientation val="minMax"/>
        </c:scaling>
        <c:delete val="1"/>
        <c:axPos val="l"/>
        <c:numFmt formatCode="General" sourceLinked="1"/>
        <c:tickLblPos val="none"/>
        <c:crossAx val="120150656"/>
        <c:crosses val="autoZero"/>
        <c:crossBetween val="between"/>
      </c:valAx>
    </c:plotArea>
    <c:legend>
      <c:legendPos val="t"/>
      <c:layout>
        <c:manualLayout>
          <c:xMode val="edge"/>
          <c:yMode val="edge"/>
          <c:x val="0.35513805455169123"/>
          <c:y val="0"/>
          <c:w val="0.28972389089661682"/>
          <c:h val="0.1681180690110072"/>
        </c:manualLayout>
      </c:layout>
    </c:legend>
    <c:plotVisOnly val="1"/>
    <c:dispBlanksAs val="gap"/>
  </c:chart>
  <c:spPr>
    <a:ln>
      <a:noFill/>
    </a:ln>
  </c:spPr>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2633744855967201E-2"/>
          <c:y val="0.22531341670526522"/>
          <c:w val="0.95061728395061729"/>
          <c:h val="0.33878801914466816"/>
        </c:manualLayout>
      </c:layout>
      <c:barChart>
        <c:barDir val="col"/>
        <c:grouping val="clustered"/>
        <c:ser>
          <c:idx val="0"/>
          <c:order val="0"/>
          <c:tx>
            <c:strRef>
              <c:f>List1!$B$23</c:f>
              <c:strCache>
                <c:ptCount val="1"/>
                <c:pt idx="0">
                  <c:v>2017</c:v>
                </c:pt>
              </c:strCache>
            </c:strRef>
          </c:tx>
          <c:dLbls>
            <c:numFmt formatCode="0%" sourceLinked="0"/>
            <c:showVal val="1"/>
          </c:dLbls>
          <c:cat>
            <c:strRef>
              <c:f>List1!$A$24:$A$30</c:f>
              <c:strCache>
                <c:ptCount val="7"/>
                <c:pt idx="0">
                  <c:v>filmy a seriály</c:v>
                </c:pt>
                <c:pt idx="1">
                  <c:v>zpravodajství a publicistika</c:v>
                </c:pt>
                <c:pt idx="2">
                  <c:v>dokumenty, vzdělávací pořady</c:v>
                </c:pt>
                <c:pt idx="3">
                  <c:v>zábava, lifestyle, magazíny</c:v>
                </c:pt>
                <c:pt idx="4">
                  <c:v>hudba</c:v>
                </c:pt>
                <c:pt idx="5">
                  <c:v>sport</c:v>
                </c:pt>
                <c:pt idx="6">
                  <c:v>ostatní videa</c:v>
                </c:pt>
              </c:strCache>
            </c:strRef>
          </c:cat>
          <c:val>
            <c:numRef>
              <c:f>List1!$B$24:$B$30</c:f>
              <c:numCache>
                <c:formatCode>General</c:formatCode>
                <c:ptCount val="7"/>
                <c:pt idx="0">
                  <c:v>9.0280085181944691E-2</c:v>
                </c:pt>
                <c:pt idx="1">
                  <c:v>0.31465842266979782</c:v>
                </c:pt>
                <c:pt idx="2">
                  <c:v>1.3195239495038541E-2</c:v>
                </c:pt>
                <c:pt idx="3">
                  <c:v>0.40803597825186338</c:v>
                </c:pt>
                <c:pt idx="4">
                  <c:v>3.2008504726534692E-3</c:v>
                </c:pt>
                <c:pt idx="5">
                  <c:v>5.4015248724032704E-2</c:v>
                </c:pt>
                <c:pt idx="6">
                  <c:v>0.11661417520467048</c:v>
                </c:pt>
              </c:numCache>
            </c:numRef>
          </c:val>
        </c:ser>
        <c:ser>
          <c:idx val="1"/>
          <c:order val="1"/>
          <c:tx>
            <c:strRef>
              <c:f>List1!$C$23</c:f>
              <c:strCache>
                <c:ptCount val="1"/>
                <c:pt idx="0">
                  <c:v>2019</c:v>
                </c:pt>
              </c:strCache>
            </c:strRef>
          </c:tx>
          <c:dLbls>
            <c:numFmt formatCode="0%" sourceLinked="0"/>
            <c:spPr>
              <a:ln>
                <a:noFill/>
              </a:ln>
            </c:spPr>
            <c:showVal val="1"/>
          </c:dLbls>
          <c:cat>
            <c:strRef>
              <c:f>List1!$A$24:$A$30</c:f>
              <c:strCache>
                <c:ptCount val="7"/>
                <c:pt idx="0">
                  <c:v>filmy a seriály</c:v>
                </c:pt>
                <c:pt idx="1">
                  <c:v>zpravodajství a publicistika</c:v>
                </c:pt>
                <c:pt idx="2">
                  <c:v>dokumenty, vzdělávací pořady</c:v>
                </c:pt>
                <c:pt idx="3">
                  <c:v>zábava, lifestyle, magazíny</c:v>
                </c:pt>
                <c:pt idx="4">
                  <c:v>hudba</c:v>
                </c:pt>
                <c:pt idx="5">
                  <c:v>sport</c:v>
                </c:pt>
                <c:pt idx="6">
                  <c:v>ostatní videa</c:v>
                </c:pt>
              </c:strCache>
            </c:strRef>
          </c:cat>
          <c:val>
            <c:numRef>
              <c:f>List1!$C$24:$C$30</c:f>
              <c:numCache>
                <c:formatCode>General</c:formatCode>
                <c:ptCount val="7"/>
                <c:pt idx="0">
                  <c:v>0.26542402635571288</c:v>
                </c:pt>
                <c:pt idx="1">
                  <c:v>0.25586712244956639</c:v>
                </c:pt>
                <c:pt idx="2">
                  <c:v>3.6905086624677091E-2</c:v>
                </c:pt>
                <c:pt idx="3">
                  <c:v>0.32828557066830782</c:v>
                </c:pt>
                <c:pt idx="4">
                  <c:v>7.0465027084952404E-3</c:v>
                </c:pt>
                <c:pt idx="5">
                  <c:v>5.7388682370352967E-2</c:v>
                </c:pt>
                <c:pt idx="6">
                  <c:v>4.9083008822887533E-2</c:v>
                </c:pt>
              </c:numCache>
            </c:numRef>
          </c:val>
        </c:ser>
        <c:axId val="120194176"/>
        <c:axId val="120195712"/>
      </c:barChart>
      <c:catAx>
        <c:axId val="120194176"/>
        <c:scaling>
          <c:orientation val="minMax"/>
        </c:scaling>
        <c:axPos val="b"/>
        <c:tickLblPos val="nextTo"/>
        <c:crossAx val="120195712"/>
        <c:crosses val="autoZero"/>
        <c:auto val="1"/>
        <c:lblAlgn val="ctr"/>
        <c:lblOffset val="100"/>
      </c:catAx>
      <c:valAx>
        <c:axId val="120195712"/>
        <c:scaling>
          <c:orientation val="minMax"/>
        </c:scaling>
        <c:delete val="1"/>
        <c:axPos val="l"/>
        <c:numFmt formatCode="General" sourceLinked="1"/>
        <c:tickLblPos val="none"/>
        <c:crossAx val="120194176"/>
        <c:crosses val="autoZero"/>
        <c:crossBetween val="between"/>
      </c:valAx>
    </c:plotArea>
    <c:legend>
      <c:legendPos val="t"/>
      <c:layout>
        <c:manualLayout>
          <c:xMode val="edge"/>
          <c:yMode val="edge"/>
          <c:x val="0.28494361815884217"/>
          <c:y val="0"/>
          <c:w val="0.41776692265318677"/>
          <c:h val="0.16947660954145441"/>
        </c:manualLayout>
      </c:layout>
    </c:legend>
    <c:plotVisOnly val="1"/>
  </c:chart>
  <c:spPr>
    <a:ln>
      <a:noFill/>
    </a:ln>
  </c:spPr>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Zaměstnanci v oblasti televizního vysílání a AVMS</a:t>
            </a:r>
          </a:p>
        </c:rich>
      </c:tx>
      <c:layout>
        <c:manualLayout>
          <c:xMode val="edge"/>
          <c:yMode val="edge"/>
          <c:x val="0.13730513570861114"/>
          <c:y val="0"/>
        </c:manualLayout>
      </c:layout>
    </c:title>
    <c:plotArea>
      <c:layout>
        <c:manualLayout>
          <c:layoutTarget val="inner"/>
          <c:xMode val="edge"/>
          <c:yMode val="edge"/>
          <c:x val="0.21054711595394021"/>
          <c:y val="0.37660612987892866"/>
          <c:w val="0.53401238986540001"/>
          <c:h val="0.62339387012107972"/>
        </c:manualLayout>
      </c:layout>
      <c:doughnutChart>
        <c:varyColors val="1"/>
        <c:ser>
          <c:idx val="0"/>
          <c:order val="0"/>
          <c:explosion val="25"/>
          <c:dPt>
            <c:idx val="0"/>
            <c:explosion val="11"/>
          </c:dPt>
          <c:dPt>
            <c:idx val="1"/>
            <c:explosion val="0"/>
          </c:dPt>
          <c:dPt>
            <c:idx val="2"/>
            <c:explosion val="0"/>
          </c:dPt>
          <c:dLbls>
            <c:dLbl>
              <c:idx val="0"/>
              <c:numFmt formatCode="0.0%" sourceLinked="0"/>
              <c:spPr/>
              <c:txPr>
                <a:bodyPr/>
                <a:lstStyle/>
                <a:p>
                  <a:pPr>
                    <a:defRPr>
                      <a:solidFill>
                        <a:schemeClr val="accent6">
                          <a:lumMod val="60000"/>
                          <a:lumOff val="40000"/>
                        </a:schemeClr>
                      </a:solidFill>
                    </a:defRPr>
                  </a:pPr>
                  <a:endParaRPr lang="cs-CZ"/>
                </a:p>
              </c:txPr>
            </c:dLbl>
            <c:dLbl>
              <c:idx val="1"/>
              <c:layout>
                <c:manualLayout>
                  <c:x val="-8.5297418630751964E-2"/>
                  <c:y val="-3.7634408602150692E-2"/>
                </c:manualLayout>
              </c:layout>
              <c:showVal val="1"/>
            </c:dLbl>
            <c:dLbl>
              <c:idx val="2"/>
              <c:layout>
                <c:manualLayout>
                  <c:x val="4.4893378226712162E-3"/>
                  <c:y val="-1.0752688172043012E-2"/>
                </c:manualLayout>
              </c:layout>
              <c:showVal val="1"/>
            </c:dLbl>
            <c:numFmt formatCode="0.0%" sourceLinked="0"/>
            <c:showVal val="1"/>
            <c:showLeaderLines val="1"/>
          </c:dLbls>
          <c:cat>
            <c:strRef>
              <c:f>List2!$A$13:$A$15</c:f>
              <c:strCache>
                <c:ptCount val="3"/>
                <c:pt idx="0">
                  <c:v>televizní vysílání v rámci CZ-NACE 6020</c:v>
                </c:pt>
                <c:pt idx="1">
                  <c:v>televizní vysílání mimo CZ-NACE 6020</c:v>
                </c:pt>
                <c:pt idx="2">
                  <c:v>AVMS</c:v>
                </c:pt>
              </c:strCache>
            </c:strRef>
          </c:cat>
          <c:val>
            <c:numRef>
              <c:f>List2!$B$13:$B$15</c:f>
              <c:numCache>
                <c:formatCode>General</c:formatCode>
                <c:ptCount val="3"/>
                <c:pt idx="0">
                  <c:v>0.89265962795374565</c:v>
                </c:pt>
                <c:pt idx="1">
                  <c:v>1.4831573655103181E-2</c:v>
                </c:pt>
                <c:pt idx="2">
                  <c:v>9.2508798391151364E-2</c:v>
                </c:pt>
              </c:numCache>
            </c:numRef>
          </c:val>
        </c:ser>
        <c:firstSliceAng val="0"/>
        <c:holeSize val="50"/>
      </c:doughnutChart>
    </c:plotArea>
    <c:legend>
      <c:legendPos val="t"/>
      <c:layout>
        <c:manualLayout>
          <c:xMode val="edge"/>
          <c:yMode val="edge"/>
          <c:x val="2.1471406983218012E-2"/>
          <c:y val="0.20591397849462501"/>
          <c:w val="0.94807851038822621"/>
          <c:h val="0.24058462450258233"/>
        </c:manualLayout>
      </c:layout>
    </c:legend>
    <c:plotVisOnly val="1"/>
    <c:dispBlanksAs val="zero"/>
  </c:chart>
  <c:spPr>
    <a:ln>
      <a:noFill/>
    </a:ln>
  </c:spPr>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Příjmy z televizního vysílání a AVMS</a:t>
            </a:r>
          </a:p>
        </c:rich>
      </c:tx>
      <c:layout>
        <c:manualLayout>
          <c:xMode val="edge"/>
          <c:yMode val="edge"/>
          <c:x val="0.16342222222222241"/>
          <c:y val="0"/>
        </c:manualLayout>
      </c:layout>
    </c:title>
    <c:plotArea>
      <c:layout>
        <c:manualLayout>
          <c:layoutTarget val="inner"/>
          <c:xMode val="edge"/>
          <c:yMode val="edge"/>
          <c:x val="0.35121959755030618"/>
          <c:y val="0.42499322665311973"/>
          <c:w val="0.42645004374453238"/>
          <c:h val="0.51586698840063683"/>
        </c:manualLayout>
      </c:layout>
      <c:doughnutChart>
        <c:varyColors val="1"/>
        <c:ser>
          <c:idx val="0"/>
          <c:order val="0"/>
          <c:dPt>
            <c:idx val="0"/>
            <c:explosion val="11"/>
          </c:dPt>
          <c:dLbls>
            <c:dLbl>
              <c:idx val="0"/>
              <c:numFmt formatCode="0.0%" sourceLinked="0"/>
              <c:spPr/>
              <c:txPr>
                <a:bodyPr/>
                <a:lstStyle/>
                <a:p>
                  <a:pPr>
                    <a:defRPr>
                      <a:solidFill>
                        <a:schemeClr val="accent6">
                          <a:lumMod val="60000"/>
                          <a:lumOff val="40000"/>
                        </a:schemeClr>
                      </a:solidFill>
                    </a:defRPr>
                  </a:pPr>
                  <a:endParaRPr lang="cs-CZ"/>
                </a:p>
              </c:txPr>
            </c:dLbl>
            <c:dLbl>
              <c:idx val="1"/>
              <c:layout>
                <c:manualLayout>
                  <c:x val="-8.8888888888889767E-2"/>
                  <c:y val="-4.3010752688171977E-2"/>
                </c:manualLayout>
              </c:layout>
              <c:showVal val="1"/>
            </c:dLbl>
            <c:numFmt formatCode="0.0%" sourceLinked="0"/>
            <c:showVal val="1"/>
            <c:showLeaderLines val="1"/>
          </c:dLbls>
          <c:cat>
            <c:strRef>
              <c:f>List3!$A$10:$A$12</c:f>
              <c:strCache>
                <c:ptCount val="3"/>
                <c:pt idx="0">
                  <c:v>televizní vysílání v rámci CZ-NACE 6020</c:v>
                </c:pt>
                <c:pt idx="1">
                  <c:v>televizní vysílání mimo CZ-NACE 6020</c:v>
                </c:pt>
                <c:pt idx="2">
                  <c:v>AVMS</c:v>
                </c:pt>
              </c:strCache>
            </c:strRef>
          </c:cat>
          <c:val>
            <c:numRef>
              <c:f>List3!$B$10:$B$12</c:f>
              <c:numCache>
                <c:formatCode>General</c:formatCode>
                <c:ptCount val="3"/>
                <c:pt idx="0">
                  <c:v>0.9046624547614035</c:v>
                </c:pt>
                <c:pt idx="1">
                  <c:v>4.8041106397316005E-3</c:v>
                </c:pt>
                <c:pt idx="2">
                  <c:v>9.0533434598865065E-2</c:v>
                </c:pt>
              </c:numCache>
            </c:numRef>
          </c:val>
        </c:ser>
        <c:firstSliceAng val="0"/>
        <c:holeSize val="50"/>
      </c:doughnutChart>
    </c:plotArea>
    <c:legend>
      <c:legendPos val="t"/>
      <c:layout>
        <c:manualLayout>
          <c:xMode val="edge"/>
          <c:yMode val="edge"/>
          <c:x val="6.1812073490813933E-2"/>
          <c:y val="0.20053763440860214"/>
          <c:w val="0.87193105861767972"/>
          <c:h val="0.25133731267462533"/>
        </c:manualLayout>
      </c:layout>
    </c:legend>
    <c:plotVisOnly val="1"/>
    <c:dispBlanksAs val="zero"/>
  </c:chart>
  <c:spPr>
    <a:ln>
      <a:noFill/>
    </a:ln>
  </c:spPr>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numFmt formatCode="0%" sourceLinked="0"/>
            <c:showVal val="1"/>
          </c:dLbls>
          <c:cat>
            <c:strRef>
              <c:f>List1!$C$5:$G$5</c:f>
              <c:strCache>
                <c:ptCount val="5"/>
                <c:pt idx="0">
                  <c:v>celkem (osoby starší 4 let)</c:v>
                </c:pt>
                <c:pt idx="1">
                  <c:v>pracující osoby</c:v>
                </c:pt>
                <c:pt idx="2">
                  <c:v>děti (4-14 let)</c:v>
                </c:pt>
                <c:pt idx="3">
                  <c:v>VŠ vzdělaní</c:v>
                </c:pt>
                <c:pt idx="4">
                  <c:v>15-24 let</c:v>
                </c:pt>
              </c:strCache>
            </c:strRef>
          </c:cat>
          <c:val>
            <c:numRef>
              <c:f>List1!$C$6:$G$6</c:f>
              <c:numCache>
                <c:formatCode>General</c:formatCode>
                <c:ptCount val="5"/>
                <c:pt idx="0">
                  <c:v>0.25</c:v>
                </c:pt>
                <c:pt idx="1">
                  <c:v>0.33000000000000063</c:v>
                </c:pt>
                <c:pt idx="2">
                  <c:v>0.37000000000000038</c:v>
                </c:pt>
                <c:pt idx="3">
                  <c:v>0.38000000000000056</c:v>
                </c:pt>
                <c:pt idx="4">
                  <c:v>0.53</c:v>
                </c:pt>
              </c:numCache>
            </c:numRef>
          </c:val>
        </c:ser>
        <c:axId val="121638912"/>
        <c:axId val="121640448"/>
      </c:barChart>
      <c:catAx>
        <c:axId val="121638912"/>
        <c:scaling>
          <c:orientation val="minMax"/>
        </c:scaling>
        <c:axPos val="b"/>
        <c:tickLblPos val="nextTo"/>
        <c:crossAx val="121640448"/>
        <c:crosses val="autoZero"/>
        <c:auto val="1"/>
        <c:lblAlgn val="ctr"/>
        <c:lblOffset val="100"/>
      </c:catAx>
      <c:valAx>
        <c:axId val="121640448"/>
        <c:scaling>
          <c:orientation val="minMax"/>
        </c:scaling>
        <c:delete val="1"/>
        <c:axPos val="l"/>
        <c:numFmt formatCode="General" sourceLinked="1"/>
        <c:tickLblPos val="none"/>
        <c:crossAx val="121638912"/>
        <c:crosses val="autoZero"/>
        <c:crossBetween val="between"/>
      </c:valAx>
      <c:spPr>
        <a:ln>
          <a:noFill/>
        </a:ln>
      </c:spPr>
    </c:plotArea>
    <c:plotVisOnly val="1"/>
  </c:chart>
  <c:spPr>
    <a:ln>
      <a:noFill/>
    </a:ln>
  </c:spPr>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List1!$D$4</c:f>
              <c:strCache>
                <c:ptCount val="1"/>
                <c:pt idx="0">
                  <c:v>2016</c:v>
                </c:pt>
              </c:strCache>
            </c:strRef>
          </c:tx>
          <c:dLbls>
            <c:numFmt formatCode="0%" sourceLinked="0"/>
            <c:showVal val="1"/>
          </c:dLbls>
          <c:cat>
            <c:strRef>
              <c:f>List1!$C$5:$C$8</c:f>
              <c:strCache>
                <c:ptCount val="4"/>
                <c:pt idx="0">
                  <c:v>televize na internetu</c:v>
                </c:pt>
                <c:pt idx="1">
                  <c:v>videa ze stránek určených ke sdílení</c:v>
                </c:pt>
                <c:pt idx="2">
                  <c:v>videa z placených katalogů pořadů</c:v>
                </c:pt>
                <c:pt idx="3">
                  <c:v>videa z neplacených katalogů pořadů</c:v>
                </c:pt>
              </c:strCache>
            </c:strRef>
          </c:cat>
          <c:val>
            <c:numRef>
              <c:f>List1!$D$5:$D$8</c:f>
              <c:numCache>
                <c:formatCode>General</c:formatCode>
                <c:ptCount val="4"/>
                <c:pt idx="0">
                  <c:v>0.24000000000000021</c:v>
                </c:pt>
                <c:pt idx="1">
                  <c:v>0.39000000000000257</c:v>
                </c:pt>
                <c:pt idx="2">
                  <c:v>3.0000000000000002E-2</c:v>
                </c:pt>
                <c:pt idx="3">
                  <c:v>0.21000000000000021</c:v>
                </c:pt>
              </c:numCache>
            </c:numRef>
          </c:val>
        </c:ser>
        <c:ser>
          <c:idx val="1"/>
          <c:order val="1"/>
          <c:tx>
            <c:strRef>
              <c:f>List1!$E$4</c:f>
              <c:strCache>
                <c:ptCount val="1"/>
                <c:pt idx="0">
                  <c:v>2018</c:v>
                </c:pt>
              </c:strCache>
            </c:strRef>
          </c:tx>
          <c:dLbls>
            <c:numFmt formatCode="0%" sourceLinked="0"/>
            <c:showVal val="1"/>
          </c:dLbls>
          <c:cat>
            <c:strRef>
              <c:f>List1!$C$5:$C$8</c:f>
              <c:strCache>
                <c:ptCount val="4"/>
                <c:pt idx="0">
                  <c:v>televize na internetu</c:v>
                </c:pt>
                <c:pt idx="1">
                  <c:v>videa ze stránek určených ke sdílení</c:v>
                </c:pt>
                <c:pt idx="2">
                  <c:v>videa z placených katalogů pořadů</c:v>
                </c:pt>
                <c:pt idx="3">
                  <c:v>videa z neplacených katalogů pořadů</c:v>
                </c:pt>
              </c:strCache>
            </c:strRef>
          </c:cat>
          <c:val>
            <c:numRef>
              <c:f>List1!$E$5:$E$8</c:f>
              <c:numCache>
                <c:formatCode>General</c:formatCode>
                <c:ptCount val="4"/>
                <c:pt idx="0">
                  <c:v>0.24000000000000021</c:v>
                </c:pt>
                <c:pt idx="1">
                  <c:v>0.44</c:v>
                </c:pt>
                <c:pt idx="2">
                  <c:v>4.0000000000000022E-2</c:v>
                </c:pt>
                <c:pt idx="3">
                  <c:v>0.26</c:v>
                </c:pt>
              </c:numCache>
            </c:numRef>
          </c:val>
        </c:ser>
        <c:axId val="121673600"/>
        <c:axId val="121675136"/>
      </c:barChart>
      <c:catAx>
        <c:axId val="121673600"/>
        <c:scaling>
          <c:orientation val="minMax"/>
        </c:scaling>
        <c:axPos val="b"/>
        <c:tickLblPos val="nextTo"/>
        <c:crossAx val="121675136"/>
        <c:crosses val="autoZero"/>
        <c:auto val="1"/>
        <c:lblAlgn val="ctr"/>
        <c:lblOffset val="100"/>
      </c:catAx>
      <c:valAx>
        <c:axId val="121675136"/>
        <c:scaling>
          <c:orientation val="minMax"/>
        </c:scaling>
        <c:delete val="1"/>
        <c:axPos val="l"/>
        <c:numFmt formatCode="General" sourceLinked="1"/>
        <c:tickLblPos val="none"/>
        <c:crossAx val="121673600"/>
        <c:crosses val="autoZero"/>
        <c:crossBetween val="between"/>
      </c:valAx>
      <c:spPr>
        <a:noFill/>
        <a:ln w="25400">
          <a:noFill/>
        </a:ln>
      </c:spPr>
    </c:plotArea>
    <c:legend>
      <c:legendPos val="t"/>
    </c:legend>
    <c:plotVisOnly val="1"/>
  </c:chart>
  <c:spPr>
    <a:ln>
      <a:noFill/>
    </a:ln>
  </c:spPr>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List2!$C$4</c:f>
              <c:strCache>
                <c:ptCount val="1"/>
                <c:pt idx="0">
                  <c:v>sledování videa ze stránek určených ke sdílení</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List2!$D$3:$I$3</c:f>
              <c:strCache>
                <c:ptCount val="6"/>
                <c:pt idx="0">
                  <c:v>16–24 let</c:v>
                </c:pt>
                <c:pt idx="1">
                  <c:v>25–34 let</c:v>
                </c:pt>
                <c:pt idx="2">
                  <c:v>35–44 let</c:v>
                </c:pt>
                <c:pt idx="3">
                  <c:v>45–54 let</c:v>
                </c:pt>
                <c:pt idx="4">
                  <c:v>55–64 let</c:v>
                </c:pt>
                <c:pt idx="5">
                  <c:v>65+</c:v>
                </c:pt>
              </c:strCache>
            </c:strRef>
          </c:cat>
          <c:val>
            <c:numRef>
              <c:f>List2!$D$4:$I$4</c:f>
              <c:numCache>
                <c:formatCode>General</c:formatCode>
                <c:ptCount val="6"/>
                <c:pt idx="0">
                  <c:v>0.85800000000000065</c:v>
                </c:pt>
                <c:pt idx="1">
                  <c:v>0.75000000000000977</c:v>
                </c:pt>
                <c:pt idx="2">
                  <c:v>0.58099999999999996</c:v>
                </c:pt>
                <c:pt idx="3">
                  <c:v>0.42200000000000032</c:v>
                </c:pt>
                <c:pt idx="4">
                  <c:v>0.23500000000000001</c:v>
                </c:pt>
                <c:pt idx="5">
                  <c:v>7.0999999999999994E-2</c:v>
                </c:pt>
              </c:numCache>
            </c:numRef>
          </c:val>
          <c:extLst xmlns:c16r2="http://schemas.microsoft.com/office/drawing/2015/06/chart">
            <c:ext xmlns:c16="http://schemas.microsoft.com/office/drawing/2014/chart" uri="{C3380CC4-5D6E-409C-BE32-E72D297353CC}">
              <c16:uniqueId val="{00000000-9A2B-44CF-B7B1-A9565C5C669F}"/>
            </c:ext>
          </c:extLst>
        </c:ser>
        <c:ser>
          <c:idx val="1"/>
          <c:order val="1"/>
          <c:tx>
            <c:strRef>
              <c:f>List2!$C$5</c:f>
              <c:strCache>
                <c:ptCount val="1"/>
                <c:pt idx="0">
                  <c:v>sledování videa z neplacených katalogů pořadů</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List2!$D$3:$I$3</c:f>
              <c:strCache>
                <c:ptCount val="6"/>
                <c:pt idx="0">
                  <c:v>16–24 let</c:v>
                </c:pt>
                <c:pt idx="1">
                  <c:v>25–34 let</c:v>
                </c:pt>
                <c:pt idx="2">
                  <c:v>35–44 let</c:v>
                </c:pt>
                <c:pt idx="3">
                  <c:v>45–54 let</c:v>
                </c:pt>
                <c:pt idx="4">
                  <c:v>55–64 let</c:v>
                </c:pt>
                <c:pt idx="5">
                  <c:v>65+</c:v>
                </c:pt>
              </c:strCache>
            </c:strRef>
          </c:cat>
          <c:val>
            <c:numRef>
              <c:f>List2!$D$5:$I$5</c:f>
              <c:numCache>
                <c:formatCode>General</c:formatCode>
                <c:ptCount val="6"/>
                <c:pt idx="0">
                  <c:v>0.49500000000000038</c:v>
                </c:pt>
                <c:pt idx="1">
                  <c:v>0.44500000000000001</c:v>
                </c:pt>
                <c:pt idx="2">
                  <c:v>0.32500000000000545</c:v>
                </c:pt>
                <c:pt idx="3">
                  <c:v>0.23900000000000021</c:v>
                </c:pt>
                <c:pt idx="4">
                  <c:v>0.13800000000000001</c:v>
                </c:pt>
                <c:pt idx="5">
                  <c:v>4.3999999999999997E-2</c:v>
                </c:pt>
              </c:numCache>
            </c:numRef>
          </c:val>
          <c:extLst xmlns:c16r2="http://schemas.microsoft.com/office/drawing/2015/06/chart">
            <c:ext xmlns:c16="http://schemas.microsoft.com/office/drawing/2014/chart" uri="{C3380CC4-5D6E-409C-BE32-E72D297353CC}">
              <c16:uniqueId val="{00000001-9A2B-44CF-B7B1-A9565C5C669F}"/>
            </c:ext>
          </c:extLst>
        </c:ser>
        <c:ser>
          <c:idx val="2"/>
          <c:order val="2"/>
          <c:tx>
            <c:strRef>
              <c:f>List2!$C$6</c:f>
              <c:strCache>
                <c:ptCount val="1"/>
                <c:pt idx="0">
                  <c:v>sledování televize na internetu</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List2!$D$3:$I$3</c:f>
              <c:strCache>
                <c:ptCount val="6"/>
                <c:pt idx="0">
                  <c:v>16–24 let</c:v>
                </c:pt>
                <c:pt idx="1">
                  <c:v>25–34 let</c:v>
                </c:pt>
                <c:pt idx="2">
                  <c:v>35–44 let</c:v>
                </c:pt>
                <c:pt idx="3">
                  <c:v>45–54 let</c:v>
                </c:pt>
                <c:pt idx="4">
                  <c:v>55–64 let</c:v>
                </c:pt>
                <c:pt idx="5">
                  <c:v>65+</c:v>
                </c:pt>
              </c:strCache>
            </c:strRef>
          </c:cat>
          <c:val>
            <c:numRef>
              <c:f>List2!$D$6:$I$6</c:f>
              <c:numCache>
                <c:formatCode>General</c:formatCode>
                <c:ptCount val="6"/>
                <c:pt idx="0">
                  <c:v>0.38400000000000545</c:v>
                </c:pt>
                <c:pt idx="1">
                  <c:v>0.35800000000000032</c:v>
                </c:pt>
                <c:pt idx="2">
                  <c:v>0.30800000000000038</c:v>
                </c:pt>
                <c:pt idx="3">
                  <c:v>0.26800000000000002</c:v>
                </c:pt>
                <c:pt idx="4">
                  <c:v>0.19100000000000003</c:v>
                </c:pt>
                <c:pt idx="5">
                  <c:v>6.1000000000000013E-2</c:v>
                </c:pt>
              </c:numCache>
            </c:numRef>
          </c:val>
          <c:extLst xmlns:c16r2="http://schemas.microsoft.com/office/drawing/2015/06/chart">
            <c:ext xmlns:c16="http://schemas.microsoft.com/office/drawing/2014/chart" uri="{C3380CC4-5D6E-409C-BE32-E72D297353CC}">
              <c16:uniqueId val="{00000002-9A2B-44CF-B7B1-A9565C5C669F}"/>
            </c:ext>
          </c:extLst>
        </c:ser>
        <c:ser>
          <c:idx val="3"/>
          <c:order val="3"/>
          <c:tx>
            <c:strRef>
              <c:f>List2!$C$7</c:f>
              <c:strCache>
                <c:ptCount val="1"/>
                <c:pt idx="0">
                  <c:v>sledování videa z placených katalogů pořadů</c:v>
                </c:pt>
              </c:strCache>
            </c:strRef>
          </c:tx>
          <c:dLbls>
            <c:numFmt formatCode="0%" sourceLinked="0"/>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List2!$D$3:$I$3</c:f>
              <c:strCache>
                <c:ptCount val="6"/>
                <c:pt idx="0">
                  <c:v>16–24 let</c:v>
                </c:pt>
                <c:pt idx="1">
                  <c:v>25–34 let</c:v>
                </c:pt>
                <c:pt idx="2">
                  <c:v>35–44 let</c:v>
                </c:pt>
                <c:pt idx="3">
                  <c:v>45–54 let</c:v>
                </c:pt>
                <c:pt idx="4">
                  <c:v>55–64 let</c:v>
                </c:pt>
                <c:pt idx="5">
                  <c:v>65+</c:v>
                </c:pt>
              </c:strCache>
            </c:strRef>
          </c:cat>
          <c:val>
            <c:numRef>
              <c:f>List2!$D$7:$I$7</c:f>
              <c:numCache>
                <c:formatCode>General</c:formatCode>
                <c:ptCount val="6"/>
                <c:pt idx="0">
                  <c:v>6.4000000000000112E-2</c:v>
                </c:pt>
                <c:pt idx="1">
                  <c:v>6.8000000000000019E-2</c:v>
                </c:pt>
                <c:pt idx="2">
                  <c:v>5.1000000000000004E-2</c:v>
                </c:pt>
                <c:pt idx="3">
                  <c:v>5.3000000000000012E-2</c:v>
                </c:pt>
                <c:pt idx="4">
                  <c:v>1.9000000000000315E-2</c:v>
                </c:pt>
                <c:pt idx="5">
                  <c:v>4.0000000000000114E-3</c:v>
                </c:pt>
              </c:numCache>
            </c:numRef>
          </c:val>
          <c:extLst xmlns:c16r2="http://schemas.microsoft.com/office/drawing/2015/06/chart">
            <c:ext xmlns:c16="http://schemas.microsoft.com/office/drawing/2014/chart" uri="{C3380CC4-5D6E-409C-BE32-E72D297353CC}">
              <c16:uniqueId val="{00000003-9A2B-44CF-B7B1-A9565C5C669F}"/>
            </c:ext>
          </c:extLst>
        </c:ser>
        <c:gapWidth val="59"/>
        <c:axId val="123896192"/>
        <c:axId val="123897728"/>
      </c:barChart>
      <c:catAx>
        <c:axId val="123896192"/>
        <c:scaling>
          <c:orientation val="minMax"/>
        </c:scaling>
        <c:axPos val="b"/>
        <c:numFmt formatCode="General" sourceLinked="0"/>
        <c:tickLblPos val="nextTo"/>
        <c:crossAx val="123897728"/>
        <c:crosses val="autoZero"/>
        <c:auto val="1"/>
        <c:lblAlgn val="ctr"/>
        <c:lblOffset val="100"/>
      </c:catAx>
      <c:valAx>
        <c:axId val="123897728"/>
        <c:scaling>
          <c:orientation val="minMax"/>
        </c:scaling>
        <c:delete val="1"/>
        <c:axPos val="l"/>
        <c:numFmt formatCode="General" sourceLinked="1"/>
        <c:tickLblPos val="none"/>
        <c:crossAx val="123896192"/>
        <c:crosses val="autoZero"/>
        <c:crossBetween val="between"/>
      </c:valAx>
    </c:plotArea>
    <c:legend>
      <c:legendPos val="t"/>
    </c:legend>
    <c:plotVisOnly val="1"/>
    <c:dispBlanksAs val="gap"/>
  </c:chart>
  <c:spPr>
    <a:ln>
      <a:noFill/>
    </a:ln>
  </c:spPr>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List1!$B$7</c:f>
              <c:strCache>
                <c:ptCount val="1"/>
                <c:pt idx="0">
                  <c:v>zaměstnanost (stovky osob)</c:v>
                </c:pt>
              </c:strCache>
            </c:strRef>
          </c:tx>
          <c:dLbls>
            <c:numFmt formatCode="#,##0.0" sourceLinked="0"/>
            <c:dLblPos val="t"/>
            <c:showVal val="1"/>
          </c:dLbls>
          <c:cat>
            <c:strRef>
              <c:f>List1!$C$6:$I$6</c:f>
              <c:strCache>
                <c:ptCount val="7"/>
                <c:pt idx="0">
                  <c:v>2009</c:v>
                </c:pt>
                <c:pt idx="1">
                  <c:v>2011</c:v>
                </c:pt>
                <c:pt idx="2">
                  <c:v>2013</c:v>
                </c:pt>
                <c:pt idx="3">
                  <c:v>2015</c:v>
                </c:pt>
                <c:pt idx="4">
                  <c:v>2016</c:v>
                </c:pt>
                <c:pt idx="5">
                  <c:v>2017</c:v>
                </c:pt>
                <c:pt idx="6">
                  <c:v>2018</c:v>
                </c:pt>
              </c:strCache>
            </c:strRef>
          </c:cat>
          <c:val>
            <c:numRef>
              <c:f>List1!$C$7:$I$7</c:f>
              <c:numCache>
                <c:formatCode>#,##0.00</c:formatCode>
                <c:ptCount val="7"/>
                <c:pt idx="0">
                  <c:v>0.54097462759100434</c:v>
                </c:pt>
                <c:pt idx="1">
                  <c:v>0.91003473869400064</c:v>
                </c:pt>
                <c:pt idx="2">
                  <c:v>1.9476528358300103</c:v>
                </c:pt>
                <c:pt idx="3">
                  <c:v>3.34308084848703</c:v>
                </c:pt>
                <c:pt idx="4">
                  <c:v>3.8407802571200205</c:v>
                </c:pt>
                <c:pt idx="5" formatCode="General">
                  <c:v>4.3899999999999997</c:v>
                </c:pt>
                <c:pt idx="6" formatCode="General">
                  <c:v>6.72</c:v>
                </c:pt>
              </c:numCache>
            </c:numRef>
          </c:val>
        </c:ser>
        <c:ser>
          <c:idx val="1"/>
          <c:order val="1"/>
          <c:tx>
            <c:strRef>
              <c:f>List1!$B$8</c:f>
              <c:strCache>
                <c:ptCount val="1"/>
                <c:pt idx="0">
                  <c:v>příjmy (mld. Kč)</c:v>
                </c:pt>
              </c:strCache>
            </c:strRef>
          </c:tx>
          <c:dLbls>
            <c:dLbl>
              <c:idx val="0"/>
              <c:layout>
                <c:manualLayout>
                  <c:x val="-7.626076260762607E-2"/>
                  <c:y val="-6.0301507537688523E-2"/>
                </c:manualLayout>
              </c:layout>
              <c:showVal val="1"/>
            </c:dLbl>
            <c:dLbl>
              <c:idx val="1"/>
              <c:layout>
                <c:manualLayout>
                  <c:x val="-2.460024600246009E-3"/>
                  <c:y val="-1.3400335008375243E-2"/>
                </c:manualLayout>
              </c:layout>
              <c:showVal val="1"/>
            </c:dLbl>
            <c:numFmt formatCode="#,##0.0" sourceLinked="0"/>
            <c:showVal val="1"/>
          </c:dLbls>
          <c:cat>
            <c:strRef>
              <c:f>List1!$C$6:$I$6</c:f>
              <c:strCache>
                <c:ptCount val="7"/>
                <c:pt idx="0">
                  <c:v>2009</c:v>
                </c:pt>
                <c:pt idx="1">
                  <c:v>2011</c:v>
                </c:pt>
                <c:pt idx="2">
                  <c:v>2013</c:v>
                </c:pt>
                <c:pt idx="3">
                  <c:v>2015</c:v>
                </c:pt>
                <c:pt idx="4">
                  <c:v>2016</c:v>
                </c:pt>
                <c:pt idx="5">
                  <c:v>2017</c:v>
                </c:pt>
                <c:pt idx="6">
                  <c:v>2018</c:v>
                </c:pt>
              </c:strCache>
            </c:strRef>
          </c:cat>
          <c:val>
            <c:numRef>
              <c:f>List1!$C$8:$I$8</c:f>
              <c:numCache>
                <c:formatCode>#,##0.00</c:formatCode>
                <c:ptCount val="7"/>
                <c:pt idx="0">
                  <c:v>0.17879691348078033</c:v>
                </c:pt>
                <c:pt idx="1">
                  <c:v>0.20353424943553144</c:v>
                </c:pt>
                <c:pt idx="2">
                  <c:v>1.2725045410541398</c:v>
                </c:pt>
                <c:pt idx="3">
                  <c:v>1.5154049466310637</c:v>
                </c:pt>
                <c:pt idx="4">
                  <c:v>1.4441692375045907</c:v>
                </c:pt>
                <c:pt idx="5" formatCode="General">
                  <c:v>1.27</c:v>
                </c:pt>
                <c:pt idx="6" formatCode="General">
                  <c:v>2.8099999999999987</c:v>
                </c:pt>
              </c:numCache>
            </c:numRef>
          </c:val>
        </c:ser>
        <c:marker val="1"/>
        <c:axId val="123914880"/>
        <c:axId val="123924864"/>
      </c:lineChart>
      <c:catAx>
        <c:axId val="123914880"/>
        <c:scaling>
          <c:orientation val="minMax"/>
        </c:scaling>
        <c:axPos val="b"/>
        <c:tickLblPos val="nextTo"/>
        <c:crossAx val="123924864"/>
        <c:crosses val="autoZero"/>
        <c:auto val="1"/>
        <c:lblAlgn val="ctr"/>
        <c:lblOffset val="100"/>
      </c:catAx>
      <c:valAx>
        <c:axId val="123924864"/>
        <c:scaling>
          <c:orientation val="minMax"/>
        </c:scaling>
        <c:delete val="1"/>
        <c:axPos val="l"/>
        <c:numFmt formatCode="#,##0.00" sourceLinked="1"/>
        <c:tickLblPos val="none"/>
        <c:crossAx val="123914880"/>
        <c:crosses val="autoZero"/>
        <c:crossBetween val="between"/>
      </c:valAx>
    </c:plotArea>
    <c:legend>
      <c:legendPos val="t"/>
    </c:legend>
    <c:plotVisOnly val="1"/>
  </c:chart>
  <c:spPr>
    <a:ln>
      <a:noFill/>
    </a:ln>
  </c:spPr>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0.15668650616580521"/>
          <c:y val="0.13107583705365719"/>
          <c:w val="0.79551494598484562"/>
          <c:h val="0.81637316063012277"/>
        </c:manualLayout>
      </c:layout>
      <c:barChart>
        <c:barDir val="bar"/>
        <c:grouping val="clustered"/>
        <c:ser>
          <c:idx val="0"/>
          <c:order val="0"/>
          <c:tx>
            <c:strRef>
              <c:f>List1!$B$11</c:f>
              <c:strCache>
                <c:ptCount val="1"/>
                <c:pt idx="0">
                  <c:v>jednotlivci</c:v>
                </c:pt>
              </c:strCache>
            </c:strRef>
          </c:tx>
          <c:dLbls>
            <c:numFmt formatCode="0%" sourceLinked="0"/>
            <c:showVal val="1"/>
          </c:dLbls>
          <c:cat>
            <c:strRef>
              <c:f>List1!$A$12:$A$17</c:f>
              <c:strCache>
                <c:ptCount val="6"/>
                <c:pt idx="0">
                  <c:v>65+</c:v>
                </c:pt>
                <c:pt idx="1">
                  <c:v>55–64 let</c:v>
                </c:pt>
                <c:pt idx="2">
                  <c:v>45–54 let</c:v>
                </c:pt>
                <c:pt idx="3">
                  <c:v>35–44 let</c:v>
                </c:pt>
                <c:pt idx="4">
                  <c:v>25–34 let</c:v>
                </c:pt>
                <c:pt idx="5">
                  <c:v>16–24 let</c:v>
                </c:pt>
              </c:strCache>
            </c:strRef>
          </c:cat>
          <c:val>
            <c:numRef>
              <c:f>List1!$B$12:$B$17</c:f>
              <c:numCache>
                <c:formatCode>#,##0.0__</c:formatCode>
                <c:ptCount val="6"/>
                <c:pt idx="0">
                  <c:v>3.4000000000000002E-2</c:v>
                </c:pt>
                <c:pt idx="1">
                  <c:v>9.2000000000000026E-2</c:v>
                </c:pt>
                <c:pt idx="2">
                  <c:v>0.14100000000000001</c:v>
                </c:pt>
                <c:pt idx="3">
                  <c:v>0.26800000000000002</c:v>
                </c:pt>
                <c:pt idx="4">
                  <c:v>0.41200000000000031</c:v>
                </c:pt>
                <c:pt idx="5">
                  <c:v>0.68300000000000061</c:v>
                </c:pt>
              </c:numCache>
            </c:numRef>
          </c:val>
        </c:ser>
        <c:ser>
          <c:idx val="1"/>
          <c:order val="1"/>
          <c:tx>
            <c:strRef>
              <c:f>List1!$C$11</c:f>
              <c:strCache>
                <c:ptCount val="1"/>
                <c:pt idx="0">
                  <c:v>jednotlivci používající internet</c:v>
                </c:pt>
              </c:strCache>
            </c:strRef>
          </c:tx>
          <c:dLbls>
            <c:numFmt formatCode="0%" sourceLinked="0"/>
            <c:showVal val="1"/>
          </c:dLbls>
          <c:cat>
            <c:strRef>
              <c:f>List1!$A$12:$A$17</c:f>
              <c:strCache>
                <c:ptCount val="6"/>
                <c:pt idx="0">
                  <c:v>65+</c:v>
                </c:pt>
                <c:pt idx="1">
                  <c:v>55–64 let</c:v>
                </c:pt>
                <c:pt idx="2">
                  <c:v>45–54 let</c:v>
                </c:pt>
                <c:pt idx="3">
                  <c:v>35–44 let</c:v>
                </c:pt>
                <c:pt idx="4">
                  <c:v>25–34 let</c:v>
                </c:pt>
                <c:pt idx="5">
                  <c:v>16–24 let</c:v>
                </c:pt>
              </c:strCache>
            </c:strRef>
          </c:cat>
          <c:val>
            <c:numRef>
              <c:f>List1!$C$12:$C$17</c:f>
              <c:numCache>
                <c:formatCode>#,##0.0__</c:formatCode>
                <c:ptCount val="6"/>
                <c:pt idx="0">
                  <c:v>8.8000000000000064E-2</c:v>
                </c:pt>
                <c:pt idx="1">
                  <c:v>0.11899999999999998</c:v>
                </c:pt>
                <c:pt idx="2">
                  <c:v>0.15000000000000024</c:v>
                </c:pt>
                <c:pt idx="3">
                  <c:v>0.27400000000000002</c:v>
                </c:pt>
                <c:pt idx="4">
                  <c:v>0.41600000000000031</c:v>
                </c:pt>
                <c:pt idx="5">
                  <c:v>0.68899999999999995</c:v>
                </c:pt>
              </c:numCache>
            </c:numRef>
          </c:val>
        </c:ser>
        <c:gapWidth val="36"/>
        <c:axId val="124224640"/>
        <c:axId val="124226176"/>
      </c:barChart>
      <c:catAx>
        <c:axId val="124224640"/>
        <c:scaling>
          <c:orientation val="minMax"/>
        </c:scaling>
        <c:axPos val="l"/>
        <c:tickLblPos val="nextTo"/>
        <c:crossAx val="124226176"/>
        <c:crosses val="autoZero"/>
        <c:auto val="1"/>
        <c:lblAlgn val="ctr"/>
        <c:lblOffset val="100"/>
      </c:catAx>
      <c:valAx>
        <c:axId val="124226176"/>
        <c:scaling>
          <c:orientation val="minMax"/>
        </c:scaling>
        <c:delete val="1"/>
        <c:axPos val="b"/>
        <c:numFmt formatCode="#,##0.0__" sourceLinked="1"/>
        <c:tickLblPos val="none"/>
        <c:crossAx val="124224640"/>
        <c:crosses val="autoZero"/>
        <c:crossBetween val="between"/>
      </c:valAx>
    </c:plotArea>
    <c:legend>
      <c:legendPos val="t"/>
      <c:layout>
        <c:manualLayout>
          <c:xMode val="edge"/>
          <c:yMode val="edge"/>
          <c:x val="0.17524135768992302"/>
          <c:y val="0"/>
          <c:w val="0.64951705579086838"/>
          <c:h val="0.11802236871114473"/>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lineChart>
        <c:grouping val="standard"/>
        <c:ser>
          <c:idx val="0"/>
          <c:order val="0"/>
          <c:tx>
            <c:strRef>
              <c:f>List1!$A$32</c:f>
              <c:strCache>
                <c:ptCount val="1"/>
                <c:pt idx="0">
                  <c:v>zaměstnanci</c:v>
                </c:pt>
              </c:strCache>
            </c:strRef>
          </c:tx>
          <c:dLbls>
            <c:dLblPos val="t"/>
            <c:showVal val="1"/>
          </c:dLbls>
          <c:cat>
            <c:numRef>
              <c:f>List1!$B$31:$O$31</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List1!$B$32:$O$32</c:f>
              <c:numCache>
                <c:formatCode>#,##0.0</c:formatCode>
                <c:ptCount val="14"/>
                <c:pt idx="0">
                  <c:v>16.922830241609848</c:v>
                </c:pt>
                <c:pt idx="1">
                  <c:v>17.756952118560005</c:v>
                </c:pt>
                <c:pt idx="2">
                  <c:v>17.169956282399987</c:v>
                </c:pt>
                <c:pt idx="3">
                  <c:v>16.006080936654598</c:v>
                </c:pt>
                <c:pt idx="4">
                  <c:v>15.372311796120702</c:v>
                </c:pt>
                <c:pt idx="5">
                  <c:v>14.974237736534224</c:v>
                </c:pt>
                <c:pt idx="6">
                  <c:v>14.130700653987304</c:v>
                </c:pt>
                <c:pt idx="7">
                  <c:v>13.7932347610476</c:v>
                </c:pt>
                <c:pt idx="8">
                  <c:v>13.264299394547894</c:v>
                </c:pt>
                <c:pt idx="9">
                  <c:v>12.842245362554799</c:v>
                </c:pt>
                <c:pt idx="10">
                  <c:v>12.760691317230103</c:v>
                </c:pt>
                <c:pt idx="11">
                  <c:v>12.728654519132892</c:v>
                </c:pt>
                <c:pt idx="12">
                  <c:v>11.8952919488157</c:v>
                </c:pt>
                <c:pt idx="13">
                  <c:v>11.672368603276398</c:v>
                </c:pt>
              </c:numCache>
            </c:numRef>
          </c:val>
        </c:ser>
        <c:marker val="1"/>
        <c:axId val="195035904"/>
        <c:axId val="195037824"/>
      </c:lineChart>
      <c:catAx>
        <c:axId val="195035904"/>
        <c:scaling>
          <c:orientation val="minMax"/>
        </c:scaling>
        <c:axPos val="b"/>
        <c:numFmt formatCode="General" sourceLinked="1"/>
        <c:tickLblPos val="nextTo"/>
        <c:crossAx val="195037824"/>
        <c:crosses val="autoZero"/>
        <c:auto val="1"/>
        <c:lblAlgn val="ctr"/>
        <c:lblOffset val="100"/>
      </c:catAx>
      <c:valAx>
        <c:axId val="195037824"/>
        <c:scaling>
          <c:orientation val="minMax"/>
        </c:scaling>
        <c:delete val="1"/>
        <c:axPos val="l"/>
        <c:numFmt formatCode="#,##0.0" sourceLinked="1"/>
        <c:tickLblPos val="none"/>
        <c:crossAx val="195035904"/>
        <c:crosses val="autoZero"/>
        <c:crossBetween val="between"/>
      </c:valAx>
    </c:plotArea>
    <c:plotVisOnly val="1"/>
  </c:chart>
  <c:spPr>
    <a:ln>
      <a:noFill/>
    </a:ln>
  </c:spPr>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2.3391812865497082E-2"/>
          <c:y val="9.0863917434049549E-2"/>
          <c:w val="0.94896331738437389"/>
          <c:h val="0.44695182170025388"/>
        </c:manualLayout>
      </c:layout>
      <c:barChart>
        <c:barDir val="col"/>
        <c:grouping val="clustered"/>
        <c:ser>
          <c:idx val="1"/>
          <c:order val="0"/>
          <c:tx>
            <c:strRef>
              <c:f>List2!$B$1</c:f>
              <c:strCache>
                <c:ptCount val="1"/>
                <c:pt idx="0">
                  <c:v>muži</c:v>
                </c:pt>
              </c:strCache>
            </c:strRef>
          </c:tx>
          <c:dPt>
            <c:idx val="24"/>
            <c:spPr>
              <a:solidFill>
                <a:schemeClr val="accent6">
                  <a:lumMod val="75000"/>
                </a:schemeClr>
              </a:solidFill>
            </c:spPr>
          </c:dPt>
          <c:cat>
            <c:strRef>
              <c:f>List2!$A$2:$A$30</c:f>
              <c:strCache>
                <c:ptCount val="29"/>
                <c:pt idx="0">
                  <c:v>Nizozemsko</c:v>
                </c:pt>
                <c:pt idx="1">
                  <c:v>Dánsko</c:v>
                </c:pt>
                <c:pt idx="2">
                  <c:v>Belgie</c:v>
                </c:pt>
                <c:pt idx="3">
                  <c:v>Malta</c:v>
                </c:pt>
                <c:pt idx="4">
                  <c:v>Portugalsko</c:v>
                </c:pt>
                <c:pt idx="5">
                  <c:v>Maďarsko</c:v>
                </c:pt>
                <c:pt idx="6">
                  <c:v>Finsko</c:v>
                </c:pt>
                <c:pt idx="7">
                  <c:v>Německo</c:v>
                </c:pt>
                <c:pt idx="8">
                  <c:v>Švédsko</c:v>
                </c:pt>
                <c:pt idx="9">
                  <c:v>Francie</c:v>
                </c:pt>
                <c:pt idx="10">
                  <c:v>Španělsko</c:v>
                </c:pt>
                <c:pt idx="11">
                  <c:v>Kypr</c:v>
                </c:pt>
                <c:pt idx="12">
                  <c:v>Spojené království</c:v>
                </c:pt>
                <c:pt idx="13">
                  <c:v>EU 28</c:v>
                </c:pt>
                <c:pt idx="14">
                  <c:v>Lucembursko</c:v>
                </c:pt>
                <c:pt idx="15">
                  <c:v>Irsko</c:v>
                </c:pt>
                <c:pt idx="16">
                  <c:v>Řecko</c:v>
                </c:pt>
                <c:pt idx="17">
                  <c:v>Rumunsko</c:v>
                </c:pt>
                <c:pt idx="18">
                  <c:v>Itálie</c:v>
                </c:pt>
                <c:pt idx="19">
                  <c:v>Slovensko</c:v>
                </c:pt>
                <c:pt idx="20">
                  <c:v>Chorvatsko</c:v>
                </c:pt>
                <c:pt idx="21">
                  <c:v>Litva</c:v>
                </c:pt>
                <c:pt idx="22">
                  <c:v>Estonsko</c:v>
                </c:pt>
                <c:pt idx="23">
                  <c:v>Slovinsko</c:v>
                </c:pt>
                <c:pt idx="24">
                  <c:v>Česká republika</c:v>
                </c:pt>
                <c:pt idx="25">
                  <c:v>Lotyšsko</c:v>
                </c:pt>
                <c:pt idx="26">
                  <c:v>Polsko</c:v>
                </c:pt>
                <c:pt idx="27">
                  <c:v>Rakousko</c:v>
                </c:pt>
                <c:pt idx="28">
                  <c:v>Bulharsko</c:v>
                </c:pt>
              </c:strCache>
            </c:strRef>
          </c:cat>
          <c:val>
            <c:numRef>
              <c:f>List2!$B$2:$B$30</c:f>
              <c:numCache>
                <c:formatCode>#,##0.00</c:formatCode>
                <c:ptCount val="29"/>
                <c:pt idx="0">
                  <c:v>0.48000000000000032</c:v>
                </c:pt>
                <c:pt idx="1">
                  <c:v>0.44</c:v>
                </c:pt>
                <c:pt idx="2">
                  <c:v>0.47000000000000008</c:v>
                </c:pt>
                <c:pt idx="3">
                  <c:v>0.39000000000000196</c:v>
                </c:pt>
                <c:pt idx="4">
                  <c:v>0.43000000000000038</c:v>
                </c:pt>
                <c:pt idx="5">
                  <c:v>0.44</c:v>
                </c:pt>
                <c:pt idx="6">
                  <c:v>0.45</c:v>
                </c:pt>
                <c:pt idx="7">
                  <c:v>0.41000000000000031</c:v>
                </c:pt>
                <c:pt idx="8">
                  <c:v>0.35000000000000031</c:v>
                </c:pt>
                <c:pt idx="9">
                  <c:v>0.34</c:v>
                </c:pt>
                <c:pt idx="10">
                  <c:v>0.36000000000000032</c:v>
                </c:pt>
                <c:pt idx="11">
                  <c:v>0.4</c:v>
                </c:pt>
                <c:pt idx="12">
                  <c:v>0.41000000000000031</c:v>
                </c:pt>
                <c:pt idx="13">
                  <c:v>0.37000000000000038</c:v>
                </c:pt>
                <c:pt idx="14">
                  <c:v>0.34</c:v>
                </c:pt>
                <c:pt idx="15">
                  <c:v>0.34</c:v>
                </c:pt>
                <c:pt idx="16">
                  <c:v>0.34</c:v>
                </c:pt>
                <c:pt idx="17">
                  <c:v>0.38000000000000195</c:v>
                </c:pt>
                <c:pt idx="18">
                  <c:v>0.30000000000000032</c:v>
                </c:pt>
                <c:pt idx="19">
                  <c:v>0.29000000000000031</c:v>
                </c:pt>
                <c:pt idx="20">
                  <c:v>0.33000000000000218</c:v>
                </c:pt>
                <c:pt idx="21">
                  <c:v>0.34</c:v>
                </c:pt>
                <c:pt idx="22">
                  <c:v>0.31000000000000172</c:v>
                </c:pt>
                <c:pt idx="23">
                  <c:v>0.28000000000000008</c:v>
                </c:pt>
                <c:pt idx="24">
                  <c:v>0.37000000000000038</c:v>
                </c:pt>
                <c:pt idx="25">
                  <c:v>0.32000000000000195</c:v>
                </c:pt>
                <c:pt idx="26">
                  <c:v>0.29000000000000031</c:v>
                </c:pt>
                <c:pt idx="27">
                  <c:v>0.25</c:v>
                </c:pt>
                <c:pt idx="28">
                  <c:v>0.28000000000000008</c:v>
                </c:pt>
              </c:numCache>
            </c:numRef>
          </c:val>
        </c:ser>
        <c:ser>
          <c:idx val="2"/>
          <c:order val="1"/>
          <c:tx>
            <c:strRef>
              <c:f>List2!$C$1</c:f>
              <c:strCache>
                <c:ptCount val="1"/>
                <c:pt idx="0">
                  <c:v>ženy</c:v>
                </c:pt>
              </c:strCache>
            </c:strRef>
          </c:tx>
          <c:dPt>
            <c:idx val="24"/>
            <c:spPr>
              <a:solidFill>
                <a:schemeClr val="accent6">
                  <a:lumMod val="60000"/>
                  <a:lumOff val="40000"/>
                </a:schemeClr>
              </a:solidFill>
            </c:spPr>
          </c:dPt>
          <c:cat>
            <c:strRef>
              <c:f>List2!$A$2:$A$30</c:f>
              <c:strCache>
                <c:ptCount val="29"/>
                <c:pt idx="0">
                  <c:v>Nizozemsko</c:v>
                </c:pt>
                <c:pt idx="1">
                  <c:v>Dánsko</c:v>
                </c:pt>
                <c:pt idx="2">
                  <c:v>Belgie</c:v>
                </c:pt>
                <c:pt idx="3">
                  <c:v>Malta</c:v>
                </c:pt>
                <c:pt idx="4">
                  <c:v>Portugalsko</c:v>
                </c:pt>
                <c:pt idx="5">
                  <c:v>Maďarsko</c:v>
                </c:pt>
                <c:pt idx="6">
                  <c:v>Finsko</c:v>
                </c:pt>
                <c:pt idx="7">
                  <c:v>Německo</c:v>
                </c:pt>
                <c:pt idx="8">
                  <c:v>Švédsko</c:v>
                </c:pt>
                <c:pt idx="9">
                  <c:v>Francie</c:v>
                </c:pt>
                <c:pt idx="10">
                  <c:v>Španělsko</c:v>
                </c:pt>
                <c:pt idx="11">
                  <c:v>Kypr</c:v>
                </c:pt>
                <c:pt idx="12">
                  <c:v>Spojené království</c:v>
                </c:pt>
                <c:pt idx="13">
                  <c:v>EU 28</c:v>
                </c:pt>
                <c:pt idx="14">
                  <c:v>Lucembursko</c:v>
                </c:pt>
                <c:pt idx="15">
                  <c:v>Irsko</c:v>
                </c:pt>
                <c:pt idx="16">
                  <c:v>Řecko</c:v>
                </c:pt>
                <c:pt idx="17">
                  <c:v>Rumunsko</c:v>
                </c:pt>
                <c:pt idx="18">
                  <c:v>Itálie</c:v>
                </c:pt>
                <c:pt idx="19">
                  <c:v>Slovensko</c:v>
                </c:pt>
                <c:pt idx="20">
                  <c:v>Chorvatsko</c:v>
                </c:pt>
                <c:pt idx="21">
                  <c:v>Litva</c:v>
                </c:pt>
                <c:pt idx="22">
                  <c:v>Estonsko</c:v>
                </c:pt>
                <c:pt idx="23">
                  <c:v>Slovinsko</c:v>
                </c:pt>
                <c:pt idx="24">
                  <c:v>Česká republika</c:v>
                </c:pt>
                <c:pt idx="25">
                  <c:v>Lotyšsko</c:v>
                </c:pt>
                <c:pt idx="26">
                  <c:v>Polsko</c:v>
                </c:pt>
                <c:pt idx="27">
                  <c:v>Rakousko</c:v>
                </c:pt>
                <c:pt idx="28">
                  <c:v>Bulharsko</c:v>
                </c:pt>
              </c:strCache>
            </c:strRef>
          </c:cat>
          <c:val>
            <c:numRef>
              <c:f>List2!$C$2:$C$30</c:f>
              <c:numCache>
                <c:formatCode>#,##0.00</c:formatCode>
                <c:ptCount val="29"/>
                <c:pt idx="0">
                  <c:v>0.46</c:v>
                </c:pt>
                <c:pt idx="1">
                  <c:v>0.42000000000000032</c:v>
                </c:pt>
                <c:pt idx="2">
                  <c:v>0.4</c:v>
                </c:pt>
                <c:pt idx="3">
                  <c:v>0.37000000000000038</c:v>
                </c:pt>
                <c:pt idx="4">
                  <c:v>0.36000000000000032</c:v>
                </c:pt>
                <c:pt idx="5">
                  <c:v>0.35000000000000031</c:v>
                </c:pt>
                <c:pt idx="6">
                  <c:v>0.35000000000000031</c:v>
                </c:pt>
                <c:pt idx="7">
                  <c:v>0.34</c:v>
                </c:pt>
                <c:pt idx="8">
                  <c:v>0.33000000000000218</c:v>
                </c:pt>
                <c:pt idx="9">
                  <c:v>0.33000000000000218</c:v>
                </c:pt>
                <c:pt idx="10">
                  <c:v>0.31000000000000172</c:v>
                </c:pt>
                <c:pt idx="11">
                  <c:v>0.30000000000000032</c:v>
                </c:pt>
                <c:pt idx="12">
                  <c:v>0.30000000000000032</c:v>
                </c:pt>
                <c:pt idx="13">
                  <c:v>0.30000000000000032</c:v>
                </c:pt>
                <c:pt idx="14">
                  <c:v>0.29000000000000031</c:v>
                </c:pt>
                <c:pt idx="15">
                  <c:v>0.29000000000000031</c:v>
                </c:pt>
                <c:pt idx="16">
                  <c:v>0.29000000000000031</c:v>
                </c:pt>
                <c:pt idx="17">
                  <c:v>0.28000000000000008</c:v>
                </c:pt>
                <c:pt idx="18">
                  <c:v>0.24000000000000021</c:v>
                </c:pt>
                <c:pt idx="19">
                  <c:v>0.24000000000000021</c:v>
                </c:pt>
                <c:pt idx="20">
                  <c:v>0.23</c:v>
                </c:pt>
                <c:pt idx="21">
                  <c:v>0.23</c:v>
                </c:pt>
                <c:pt idx="22">
                  <c:v>0.23</c:v>
                </c:pt>
                <c:pt idx="23">
                  <c:v>0.23</c:v>
                </c:pt>
                <c:pt idx="24">
                  <c:v>0.21000000000000021</c:v>
                </c:pt>
                <c:pt idx="25">
                  <c:v>0.21000000000000021</c:v>
                </c:pt>
                <c:pt idx="26">
                  <c:v>0.17</c:v>
                </c:pt>
                <c:pt idx="27">
                  <c:v>0.17</c:v>
                </c:pt>
                <c:pt idx="28">
                  <c:v>0.16</c:v>
                </c:pt>
              </c:numCache>
            </c:numRef>
          </c:val>
        </c:ser>
        <c:axId val="124268928"/>
        <c:axId val="124270464"/>
      </c:barChart>
      <c:catAx>
        <c:axId val="124268928"/>
        <c:scaling>
          <c:orientation val="minMax"/>
        </c:scaling>
        <c:axPos val="b"/>
        <c:tickLblPos val="nextTo"/>
        <c:crossAx val="124270464"/>
        <c:crosses val="autoZero"/>
        <c:auto val="1"/>
        <c:lblAlgn val="ctr"/>
        <c:lblOffset val="100"/>
      </c:catAx>
      <c:valAx>
        <c:axId val="124270464"/>
        <c:scaling>
          <c:orientation val="minMax"/>
        </c:scaling>
        <c:delete val="1"/>
        <c:axPos val="l"/>
        <c:numFmt formatCode="#,##0.00" sourceLinked="1"/>
        <c:tickLblPos val="none"/>
        <c:crossAx val="124268928"/>
        <c:crosses val="autoZero"/>
        <c:crossBetween val="between"/>
      </c:valAx>
    </c:plotArea>
    <c:legend>
      <c:legendPos val="t"/>
      <c:layout>
        <c:manualLayout>
          <c:xMode val="edge"/>
          <c:yMode val="edge"/>
          <c:x val="0.42323575581760431"/>
          <c:y val="0"/>
          <c:w val="0.15111830801369641"/>
          <c:h val="0.11266612701449702"/>
        </c:manualLayout>
      </c:layout>
    </c:legend>
    <c:plotVisOnly val="1"/>
    <c:dispBlanksAs val="zero"/>
  </c:chart>
  <c:spPr>
    <a:ln>
      <a:noFill/>
    </a:ln>
  </c:spPr>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cs-CZ"/>
  <c:chart>
    <c:autoTitleDeleted val="1"/>
    <c:plotArea>
      <c:layout/>
      <c:barChart>
        <c:barDir val="col"/>
        <c:grouping val="clustered"/>
        <c:ser>
          <c:idx val="0"/>
          <c:order val="0"/>
          <c:tx>
            <c:strRef>
              <c:f>List1!$A$7</c:f>
              <c:strCache>
                <c:ptCount val="1"/>
                <c:pt idx="0">
                  <c:v>něco2</c:v>
                </c:pt>
              </c:strCache>
            </c:strRef>
          </c:tx>
          <c:dLbls>
            <c:numFmt formatCode="0%" sourceLinked="0"/>
            <c:showVal val="1"/>
          </c:dLbls>
          <c:cat>
            <c:strRef>
              <c:f>List1!$B$6:$E$6</c:f>
              <c:strCache>
                <c:ptCount val="4"/>
                <c:pt idx="0">
                  <c:v>PC/konzole</c:v>
                </c:pt>
                <c:pt idx="1">
                  <c:v>Mobilní</c:v>
                </c:pt>
                <c:pt idx="2">
                  <c:v>Web</c:v>
                </c:pt>
                <c:pt idx="3">
                  <c:v>VR/AR</c:v>
                </c:pt>
              </c:strCache>
            </c:strRef>
          </c:cat>
          <c:val>
            <c:numRef>
              <c:f>List1!$B$7:$E$7</c:f>
              <c:numCache>
                <c:formatCode>General</c:formatCode>
                <c:ptCount val="4"/>
                <c:pt idx="0">
                  <c:v>0.67000000000000448</c:v>
                </c:pt>
                <c:pt idx="1">
                  <c:v>0.41000000000000031</c:v>
                </c:pt>
                <c:pt idx="2">
                  <c:v>0.16</c:v>
                </c:pt>
                <c:pt idx="3">
                  <c:v>8.0000000000000043E-2</c:v>
                </c:pt>
              </c:numCache>
            </c:numRef>
          </c:val>
        </c:ser>
        <c:axId val="124281600"/>
        <c:axId val="124283136"/>
      </c:barChart>
      <c:catAx>
        <c:axId val="124281600"/>
        <c:scaling>
          <c:orientation val="minMax"/>
        </c:scaling>
        <c:axPos val="b"/>
        <c:tickLblPos val="nextTo"/>
        <c:crossAx val="124283136"/>
        <c:crosses val="autoZero"/>
        <c:auto val="1"/>
        <c:lblAlgn val="ctr"/>
        <c:lblOffset val="100"/>
      </c:catAx>
      <c:valAx>
        <c:axId val="124283136"/>
        <c:scaling>
          <c:orientation val="minMax"/>
        </c:scaling>
        <c:delete val="1"/>
        <c:axPos val="l"/>
        <c:numFmt formatCode="General" sourceLinked="1"/>
        <c:tickLblPos val="none"/>
        <c:crossAx val="124281600"/>
        <c:crosses val="autoZero"/>
        <c:crossBetween val="between"/>
      </c:valAx>
    </c:plotArea>
    <c:plotVisOnly val="1"/>
  </c:chart>
  <c:spPr>
    <a:ln>
      <a:noFill/>
    </a:ln>
  </c:spPr>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dLbls>
            <c:showVal val="1"/>
          </c:dLbls>
          <c:cat>
            <c:strRef>
              <c:f>List1!$A$2:$G$2</c:f>
              <c:strCache>
                <c:ptCount val="7"/>
                <c:pt idx="0">
                  <c:v>4. čtvrtletí 2018</c:v>
                </c:pt>
                <c:pt idx="1">
                  <c:v>1. čtvrtletí 2019</c:v>
                </c:pt>
                <c:pt idx="2">
                  <c:v>2.čtvrtletí 2019</c:v>
                </c:pt>
                <c:pt idx="3">
                  <c:v>3. čtvrtletí 2019</c:v>
                </c:pt>
                <c:pt idx="4">
                  <c:v>4. čtvrtletí 2019</c:v>
                </c:pt>
                <c:pt idx="5">
                  <c:v>1. čtvrtletí 2020</c:v>
                </c:pt>
                <c:pt idx="6">
                  <c:v>2. čtvrtletí 2020</c:v>
                </c:pt>
              </c:strCache>
            </c:strRef>
          </c:cat>
          <c:val>
            <c:numRef>
              <c:f>List1!$A$3:$G$3</c:f>
              <c:numCache>
                <c:formatCode>General</c:formatCode>
                <c:ptCount val="7"/>
                <c:pt idx="0">
                  <c:v>8.4</c:v>
                </c:pt>
                <c:pt idx="1">
                  <c:v>8.5</c:v>
                </c:pt>
                <c:pt idx="2">
                  <c:v>8.7000000000000011</c:v>
                </c:pt>
                <c:pt idx="3">
                  <c:v>8.9</c:v>
                </c:pt>
                <c:pt idx="4">
                  <c:v>8.8000000000000007</c:v>
                </c:pt>
                <c:pt idx="5">
                  <c:v>9.8000000000000007</c:v>
                </c:pt>
                <c:pt idx="6">
                  <c:v>10.200000000000001</c:v>
                </c:pt>
              </c:numCache>
            </c:numRef>
          </c:val>
        </c:ser>
        <c:axId val="124315136"/>
        <c:axId val="124316672"/>
      </c:barChart>
      <c:catAx>
        <c:axId val="124315136"/>
        <c:scaling>
          <c:orientation val="minMax"/>
        </c:scaling>
        <c:axPos val="b"/>
        <c:tickLblPos val="nextTo"/>
        <c:crossAx val="124316672"/>
        <c:crosses val="autoZero"/>
        <c:auto val="1"/>
        <c:lblAlgn val="ctr"/>
        <c:lblOffset val="100"/>
      </c:catAx>
      <c:valAx>
        <c:axId val="124316672"/>
        <c:scaling>
          <c:orientation val="minMax"/>
        </c:scaling>
        <c:delete val="1"/>
        <c:axPos val="l"/>
        <c:numFmt formatCode="General" sourceLinked="1"/>
        <c:tickLblPos val="none"/>
        <c:crossAx val="124315136"/>
        <c:crosses val="autoZero"/>
        <c:crossBetween val="between"/>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Oblast knih a tisku</a:t>
            </a:r>
          </a:p>
        </c:rich>
      </c:tx>
    </c:title>
    <c:plotArea>
      <c:layout>
        <c:manualLayout>
          <c:layoutTarget val="inner"/>
          <c:xMode val="edge"/>
          <c:yMode val="edge"/>
          <c:x val="0.32122906554489228"/>
          <c:y val="0.28993193278226131"/>
          <c:w val="0.46756121238269882"/>
          <c:h val="0.70813212663769731"/>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List1!$C$3:$D$3</c:f>
              <c:strCache>
                <c:ptCount val="2"/>
                <c:pt idx="0">
                  <c:v>povolání kult. charakteru</c:v>
                </c:pt>
                <c:pt idx="1">
                  <c:v>povolání ne-kult. charakteru</c:v>
                </c:pt>
              </c:strCache>
            </c:strRef>
          </c:cat>
          <c:val>
            <c:numRef>
              <c:f>List1!$C$4:$D$4</c:f>
              <c:numCache>
                <c:formatCode>General</c:formatCode>
                <c:ptCount val="2"/>
                <c:pt idx="0">
                  <c:v>16.482999999999858</c:v>
                </c:pt>
                <c:pt idx="1">
                  <c:v>12.257</c:v>
                </c:pt>
              </c:numCache>
            </c:numRef>
          </c:val>
        </c:ser>
        <c:firstSliceAng val="0"/>
        <c:holeSize val="50"/>
      </c:doughnutChart>
    </c:plotArea>
    <c:legend>
      <c:legendPos val="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style val="3"/>
  <c:chart>
    <c:title>
      <c:tx>
        <c:rich>
          <a:bodyPr/>
          <a:lstStyle/>
          <a:p>
            <a:pPr>
              <a:defRPr/>
            </a:pPr>
            <a:r>
              <a:rPr lang="cs-CZ" sz="1200"/>
              <a:t>Spisovatelé,</a:t>
            </a:r>
            <a:r>
              <a:rPr lang="cs-CZ" sz="1200" baseline="0"/>
              <a:t> novináři a jazykovědci</a:t>
            </a:r>
            <a:endParaRPr lang="cs-CZ" sz="1200"/>
          </a:p>
        </c:rich>
      </c:tx>
      <c:layout>
        <c:manualLayout>
          <c:xMode val="edge"/>
          <c:yMode val="edge"/>
          <c:x val="0.18961240310077629"/>
          <c:y val="0"/>
        </c:manualLayout>
      </c:layout>
    </c:title>
    <c:plotArea>
      <c:layout>
        <c:manualLayout>
          <c:layoutTarget val="inner"/>
          <c:xMode val="edge"/>
          <c:yMode val="edge"/>
          <c:x val="0.18670152872112394"/>
          <c:y val="0.28146257579871714"/>
          <c:w val="0.6084942160007849"/>
          <c:h val="0.70816137206987528"/>
        </c:manualLayout>
      </c:layout>
      <c:doughnutChart>
        <c:varyColors val="1"/>
        <c:ser>
          <c:idx val="0"/>
          <c:order val="0"/>
          <c:dLbls>
            <c:dLbl>
              <c:idx val="0"/>
              <c:numFmt formatCode="#,##0.0&quot; tis.&quot;" sourceLinked="0"/>
              <c:spPr/>
              <c:txPr>
                <a:bodyPr/>
                <a:lstStyle/>
                <a:p>
                  <a:pPr>
                    <a:defRPr>
                      <a:solidFill>
                        <a:schemeClr val="accent6">
                          <a:lumMod val="60000"/>
                          <a:lumOff val="40000"/>
                        </a:schemeClr>
                      </a:solidFill>
                    </a:defRPr>
                  </a:pPr>
                  <a:endParaRPr lang="cs-CZ"/>
                </a:p>
              </c:txPr>
            </c:dLbl>
            <c:numFmt formatCode="#,##0.0&quot; tis.&quot;" sourceLinked="0"/>
            <c:showVal val="1"/>
            <c:showLeaderLines val="1"/>
          </c:dLbls>
          <c:cat>
            <c:strRef>
              <c:f>List1!$C$24:$D$24</c:f>
              <c:strCache>
                <c:ptCount val="2"/>
                <c:pt idx="0">
                  <c:v>v kult. organizaci</c:v>
                </c:pt>
                <c:pt idx="1">
                  <c:v>v ne-kult. organizaci</c:v>
                </c:pt>
              </c:strCache>
            </c:strRef>
          </c:cat>
          <c:val>
            <c:numRef>
              <c:f>List1!$C$25:$D$25</c:f>
              <c:numCache>
                <c:formatCode>General</c:formatCode>
                <c:ptCount val="2"/>
                <c:pt idx="0">
                  <c:v>19.841999999999999</c:v>
                </c:pt>
                <c:pt idx="1">
                  <c:v>2.827</c:v>
                </c:pt>
              </c:numCache>
            </c:numRef>
          </c:val>
        </c:ser>
        <c:firstSliceAng val="0"/>
        <c:holeSize val="50"/>
      </c:doughnutChart>
    </c:plotArea>
    <c:legend>
      <c:legendPos val="t"/>
      <c:layout>
        <c:manualLayout>
          <c:xMode val="edge"/>
          <c:yMode val="edge"/>
          <c:x val="6.5503672506053018E-2"/>
          <c:y val="0.14746760895170791"/>
          <c:w val="0.8805368542905937"/>
          <c:h val="0.13356485461151418"/>
        </c:manualLayout>
      </c:layout>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2CF8-7FFC-4AFE-842E-42FFE220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19</TotalTime>
  <Pages>64</Pages>
  <Words>18578</Words>
  <Characters>109611</Characters>
  <Application>Microsoft Office Word</Application>
  <DocSecurity>0</DocSecurity>
  <Lines>913</Lines>
  <Paragraphs>255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4</cp:revision>
  <cp:lastPrinted>2020-10-29T09:09:00Z</cp:lastPrinted>
  <dcterms:created xsi:type="dcterms:W3CDTF">2020-11-04T11:24:00Z</dcterms:created>
  <dcterms:modified xsi:type="dcterms:W3CDTF">2020-11-04T14:40:00Z</dcterms:modified>
</cp:coreProperties>
</file>