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498" w:rsidRDefault="00ED3CB8">
      <w:pPr>
        <w:pStyle w:val="Nadpis7"/>
        <w:jc w:val="both"/>
      </w:pPr>
      <w:r>
        <w:t>METODIKA STATISTICKÉHO ZJIŠŤOVÁNÍ</w:t>
      </w:r>
    </w:p>
    <w:p w:rsidR="001A5498" w:rsidRDefault="00ED3CB8">
      <w:pPr>
        <w:rPr>
          <w:rFonts w:cs="Arial"/>
        </w:rPr>
      </w:pPr>
      <w:r>
        <w:rPr>
          <w:rFonts w:cs="Arial"/>
        </w:rPr>
        <w:t>Publikace obsahuje výsledky ze statistického zjišťování zpravodajských jednotek obesílaných statistickým výkazem NI 1-01 (a) o pracovnících, mzdách, výnosech, nákladech, aktivech a pasivech a dalších finančních ukazatelích neziskových institucí za rok 20</w:t>
      </w:r>
      <w:r w:rsidR="00266C9E">
        <w:rPr>
          <w:rFonts w:cs="Arial"/>
        </w:rPr>
        <w:t>1</w:t>
      </w:r>
      <w:r w:rsidR="00DB12EC">
        <w:rPr>
          <w:rFonts w:cs="Arial"/>
        </w:rPr>
        <w:t>3</w:t>
      </w:r>
      <w:r>
        <w:rPr>
          <w:rFonts w:cs="Arial"/>
        </w:rPr>
        <w:t xml:space="preserve">, které jsou zařazeny podle číselníku institucionálních sektorů a subsektorů (ČISS) do sektoru neziskových institucí sloužících domácnostem (dále S.15). </w:t>
      </w:r>
    </w:p>
    <w:p w:rsidR="001A5498" w:rsidRDefault="001A5498">
      <w:pPr>
        <w:rPr>
          <w:rFonts w:cs="Arial"/>
        </w:rPr>
      </w:pPr>
    </w:p>
    <w:p w:rsidR="001A5498" w:rsidRDefault="00ED3CB8">
      <w:pPr>
        <w:rPr>
          <w:rFonts w:cs="Arial"/>
        </w:rPr>
      </w:pPr>
      <w:r>
        <w:rPr>
          <w:rFonts w:cs="Arial"/>
        </w:rPr>
        <w:footnoteReference w:customMarkFollows="1" w:id="1"/>
        <w:t xml:space="preserve">Výkaz NI 1-01 (a) šetří údaje o neziskových institucích kombinací plošného a výběrového zjišťování. </w:t>
      </w:r>
    </w:p>
    <w:p w:rsidR="001A5498" w:rsidRDefault="001A5498">
      <w:pPr>
        <w:rPr>
          <w:rFonts w:cs="Arial"/>
        </w:rPr>
      </w:pPr>
    </w:p>
    <w:p w:rsidR="001A5498" w:rsidRDefault="00ED3CB8">
      <w:pPr>
        <w:rPr>
          <w:rFonts w:cs="Arial"/>
        </w:rPr>
      </w:pPr>
      <w:r>
        <w:rPr>
          <w:rFonts w:cs="Arial"/>
        </w:rPr>
        <w:t xml:space="preserve">V některých tabulkách této publikace </w:t>
      </w:r>
      <w:r w:rsidR="005E1AE1">
        <w:rPr>
          <w:rFonts w:cs="Arial"/>
        </w:rPr>
        <w:t xml:space="preserve">jsou </w:t>
      </w:r>
      <w:r w:rsidR="00E433D4">
        <w:rPr>
          <w:rFonts w:cs="Arial"/>
        </w:rPr>
        <w:t xml:space="preserve">pro srovnání </w:t>
      </w:r>
      <w:r w:rsidR="005E1AE1">
        <w:rPr>
          <w:rFonts w:cs="Arial"/>
        </w:rPr>
        <w:t>uvedeny</w:t>
      </w:r>
      <w:r>
        <w:rPr>
          <w:rFonts w:cs="Arial"/>
        </w:rPr>
        <w:t xml:space="preserve"> údaje za předchozí roky 200</w:t>
      </w:r>
      <w:r w:rsidR="00040205">
        <w:rPr>
          <w:rFonts w:cs="Arial"/>
        </w:rPr>
        <w:t>8</w:t>
      </w:r>
      <w:r>
        <w:rPr>
          <w:rFonts w:cs="Arial"/>
        </w:rPr>
        <w:t xml:space="preserve"> – 201</w:t>
      </w:r>
      <w:r w:rsidR="00DB12EC">
        <w:rPr>
          <w:rFonts w:cs="Arial"/>
        </w:rPr>
        <w:t>2</w:t>
      </w:r>
      <w:r>
        <w:rPr>
          <w:rFonts w:cs="Arial"/>
        </w:rPr>
        <w:t xml:space="preserve">. </w:t>
      </w:r>
    </w:p>
    <w:p w:rsidR="001A5498" w:rsidRDefault="001A5498">
      <w:pPr>
        <w:rPr>
          <w:rFonts w:cs="Arial"/>
        </w:rPr>
      </w:pPr>
    </w:p>
    <w:p w:rsidR="001A5498" w:rsidRDefault="00ED3CB8">
      <w:pPr>
        <w:rPr>
          <w:rFonts w:cs="Arial"/>
        </w:rPr>
      </w:pPr>
      <w:r>
        <w:rPr>
          <w:rFonts w:cs="Arial"/>
        </w:rPr>
        <w:t xml:space="preserve">Od roku 2003 ČSÚ publikuje údaje o počtu dobrovolníků činných v neziskových institucích. Je to důležitý krok z hlediska rostoucího významu dobrovolnictví, neboť oceněním dobrovolnické práce stoupá hodnota celkové produkce a hrubé přidané hodnoty. </w:t>
      </w:r>
    </w:p>
    <w:p w:rsidR="001A5498" w:rsidRDefault="001A5498">
      <w:pPr>
        <w:rPr>
          <w:rFonts w:cs="Arial"/>
          <w:szCs w:val="20"/>
        </w:rPr>
      </w:pPr>
    </w:p>
    <w:p w:rsidR="001A5498" w:rsidRDefault="00ED3CB8">
      <w:pPr>
        <w:rPr>
          <w:rFonts w:cs="Arial"/>
          <w:szCs w:val="20"/>
        </w:rPr>
      </w:pPr>
      <w:r>
        <w:rPr>
          <w:rFonts w:cs="Arial"/>
          <w:szCs w:val="20"/>
        </w:rPr>
        <w:t xml:space="preserve">Neziskové instituce nejsou založeny za účelem dosahování zisku, jejich činnost a hlavní funkce spočívá v zajišťování obecně nebo vzájemně prospěšných aktivit domácnostem. Jedná se většinou o takové činnosti, které nelze jiným způsobem efektivně zajistit a které jsou nezbytné pro rozvoj občanské společnosti a pro zajištění primárních či sekundárních společenských potřeb. Členství v těchto institucích je zcela dobrovolné. Případný zisk instituce není předmětem rozdělování ve prospěch jejích členů nebo subjektů, které ji založily, řídí nebo kontrolují. Vznikne-li, rozděluje se ve prospěch programů a aktivit instituce nebo se poskytne osobám, pro které byla instituce založena ať už z filantropických nebo charitativních důvodů či z potřeby podporovat specifickou skupinu osob v podnikání, v politice nebo v jiných oblastech společenského života (např. v oblasti výchovy nebo zdravotní a sociální péče). </w:t>
      </w:r>
    </w:p>
    <w:p w:rsidR="001A5498" w:rsidRDefault="001A5498">
      <w:pPr>
        <w:rPr>
          <w:rFonts w:cs="Arial"/>
          <w:szCs w:val="20"/>
        </w:rPr>
      </w:pPr>
    </w:p>
    <w:p w:rsidR="001A5498" w:rsidRDefault="00ED3CB8">
      <w:pPr>
        <w:rPr>
          <w:rFonts w:cs="Arial"/>
          <w:szCs w:val="20"/>
        </w:rPr>
      </w:pPr>
      <w:r>
        <w:rPr>
          <w:rFonts w:cs="Arial"/>
          <w:szCs w:val="20"/>
        </w:rPr>
        <w:t xml:space="preserve">Činnost neziskových institucí sloužících domácnostem je netržního charakteru, příležitostné prodeje z vedlejší hospodářské činnosti pokrývají méně než 50 % provozních nákladů. Při provozování hospodářské činnosti se musí brát na zřetel, že tato činnost nesmí být provozována na úkor hlavní činnosti a příjem z hospodářské činnosti musí sloužit k podporování hlavních (neziskových) záměrů instituce. Hlavními finančními zdroji neziskových institucí sloužících domácnostem jsou dotace a finanční výpomoci (poskytované vládou, domácnostmi nebo ze zahraničních fondů), členské příspěvky, dary či důchody z vlastnictví. Doplňkové zdroje mohou vyplývat z příležitostných prodejů zboží a služeb, tj. z vedlejších hospodářských (zdaňovaných) činností. Provozní náklady (neboli výroba a poskytování služeb v rámci hlavní činnosti) jsou z více než 50 % financovány a kontrolovány domácnostmi. </w:t>
      </w:r>
    </w:p>
    <w:p w:rsidR="001A5498" w:rsidRDefault="001A5498">
      <w:pPr>
        <w:rPr>
          <w:rFonts w:cs="Arial"/>
        </w:rPr>
      </w:pPr>
    </w:p>
    <w:p w:rsidR="001A5498" w:rsidRDefault="00ED3CB8">
      <w:pPr>
        <w:rPr>
          <w:rFonts w:cs="Arial"/>
          <w:szCs w:val="20"/>
        </w:rPr>
      </w:pPr>
      <w:r>
        <w:rPr>
          <w:rFonts w:cs="Arial"/>
          <w:szCs w:val="20"/>
        </w:rPr>
        <w:t>Sektor S.15 tvoří tyto instituce: občanská sdružení (spolky, společnosti, svazy, kluby, hnutí, odborové organizace aj.) a jejich organizační jednotky, politické strany, politická hnutí, církevní organizace,</w:t>
      </w:r>
      <w:r>
        <w:rPr>
          <w:rFonts w:cs="Arial"/>
        </w:rPr>
        <w:t xml:space="preserve"> nadace, nadační fondy, obecně prospěšné společnosti, školská zařízení, školské právnické osoby, veřejné školy (kromě veřejných vysokých škol), profesní komory, zdravotnická zařízení,</w:t>
      </w:r>
      <w:r>
        <w:rPr>
          <w:rFonts w:cs="Arial"/>
          <w:szCs w:val="20"/>
        </w:rPr>
        <w:t xml:space="preserve"> zájmová sdružení právnických osob a honební společenstva. </w:t>
      </w:r>
    </w:p>
    <w:p w:rsidR="001A5498" w:rsidRDefault="001A5498">
      <w:pPr>
        <w:rPr>
          <w:rFonts w:cs="Arial"/>
          <w:szCs w:val="20"/>
        </w:rPr>
      </w:pPr>
    </w:p>
    <w:p w:rsidR="001A5498" w:rsidRDefault="00ED3CB8">
      <w:pPr>
        <w:rPr>
          <w:rFonts w:cs="Arial"/>
        </w:rPr>
      </w:pPr>
      <w:r>
        <w:rPr>
          <w:rFonts w:cs="Arial"/>
        </w:rPr>
        <w:t>Pro statistické zjišťování neziskových institucí byla v roce 201</w:t>
      </w:r>
      <w:r w:rsidR="00DB12EC">
        <w:rPr>
          <w:rFonts w:cs="Arial"/>
        </w:rPr>
        <w:t>3</w:t>
      </w:r>
      <w:r>
        <w:rPr>
          <w:rFonts w:cs="Arial"/>
        </w:rPr>
        <w:t xml:space="preserve"> použita kombinace plošného zjišťování (zpravodajské jednotky s 10 a více zaměstnanci) a metody záměrného výběru. </w:t>
      </w:r>
    </w:p>
    <w:p w:rsidR="001A5498" w:rsidRDefault="00ED3CB8">
      <w:pPr>
        <w:rPr>
          <w:rFonts w:cs="Arial"/>
        </w:rPr>
      </w:pPr>
      <w:r>
        <w:rPr>
          <w:rFonts w:cs="Arial"/>
        </w:rPr>
        <w:t xml:space="preserve">Z celkového počtu </w:t>
      </w:r>
      <w:r w:rsidR="009664F6">
        <w:rPr>
          <w:rFonts w:cs="Arial"/>
        </w:rPr>
        <w:t xml:space="preserve">127 517 </w:t>
      </w:r>
      <w:r>
        <w:rPr>
          <w:rFonts w:cs="Arial"/>
        </w:rPr>
        <w:t xml:space="preserve">aktivních jednotek bylo podle daných kritérií (podle zastoupení v právních formách, a dále v jednotlivých odvětvích, významnosti a počtu zaměstnanců) vybráno a výkazem NI 1-01 (a) obesláno </w:t>
      </w:r>
      <w:r w:rsidR="00DB12EC">
        <w:rPr>
          <w:rFonts w:cs="Arial"/>
        </w:rPr>
        <w:t>3 764</w:t>
      </w:r>
      <w:r>
        <w:rPr>
          <w:rFonts w:cs="Arial"/>
        </w:rPr>
        <w:t xml:space="preserve"> neziskových institucí.</w:t>
      </w:r>
    </w:p>
    <w:p w:rsidR="001A5498" w:rsidRDefault="00ED3CB8">
      <w:pPr>
        <w:rPr>
          <w:rFonts w:cs="Arial"/>
        </w:rPr>
      </w:pPr>
      <w:r>
        <w:rPr>
          <w:rFonts w:cs="Arial"/>
        </w:rPr>
        <w:t xml:space="preserve">Statistický výkaz NI 1-01 (a) předložilo </w:t>
      </w:r>
      <w:r w:rsidR="009664F6">
        <w:rPr>
          <w:rFonts w:cs="Arial"/>
        </w:rPr>
        <w:t>2 747</w:t>
      </w:r>
      <w:r>
        <w:rPr>
          <w:rFonts w:cs="Arial"/>
        </w:rPr>
        <w:t xml:space="preserve"> respondentů, návratnost v roce 201</w:t>
      </w:r>
      <w:r w:rsidR="00DB12EC">
        <w:rPr>
          <w:rFonts w:cs="Arial"/>
        </w:rPr>
        <w:t>3</w:t>
      </w:r>
      <w:r>
        <w:rPr>
          <w:rFonts w:cs="Arial"/>
        </w:rPr>
        <w:t xml:space="preserve"> byla </w:t>
      </w:r>
      <w:r w:rsidR="009664F6">
        <w:rPr>
          <w:rFonts w:cs="Arial"/>
        </w:rPr>
        <w:t>73</w:t>
      </w:r>
      <w:bookmarkStart w:id="0" w:name="_GoBack"/>
      <w:bookmarkEnd w:id="0"/>
      <w:r>
        <w:rPr>
          <w:rFonts w:cs="Arial"/>
        </w:rPr>
        <w:t xml:space="preserve"> %. Za všechny aktivní jednotky (tj. ty, které byly zahrnuty do výběrového souboru) byl proveden dopočet na non-response.</w:t>
      </w:r>
    </w:p>
    <w:p w:rsidR="00ED3CB8" w:rsidRDefault="00ED3CB8">
      <w:r>
        <w:t xml:space="preserve"> </w:t>
      </w:r>
    </w:p>
    <w:sectPr w:rsidR="00ED3CB8" w:rsidSect="001A5498">
      <w:footerReference w:type="even" r:id="rId8"/>
      <w:footerReference w:type="default" r:id="rId9"/>
      <w:pgSz w:w="11906" w:h="16838"/>
      <w:pgMar w:top="1418" w:right="1418" w:bottom="1418" w:left="1418" w:header="1134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78BE" w:rsidRDefault="00A378BE">
      <w:r>
        <w:separator/>
      </w:r>
    </w:p>
  </w:endnote>
  <w:endnote w:type="continuationSeparator" w:id="0">
    <w:p w:rsidR="00A378BE" w:rsidRDefault="00A37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5498" w:rsidRDefault="00CA6FD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ED3CB8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1A5498" w:rsidRDefault="001A5498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5498" w:rsidRDefault="00CA6FD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ED3CB8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9664F6">
      <w:rPr>
        <w:rStyle w:val="slostrnky"/>
        <w:noProof/>
      </w:rPr>
      <w:t>1</w:t>
    </w:r>
    <w:r>
      <w:rPr>
        <w:rStyle w:val="slostrnky"/>
      </w:rPr>
      <w:fldChar w:fldCharType="end"/>
    </w:r>
  </w:p>
  <w:p w:rsidR="001A5498" w:rsidRDefault="001A549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78BE" w:rsidRDefault="00A378BE">
      <w:r>
        <w:separator/>
      </w:r>
    </w:p>
  </w:footnote>
  <w:footnote w:type="continuationSeparator" w:id="0">
    <w:p w:rsidR="00A378BE" w:rsidRDefault="00A378BE">
      <w:r>
        <w:continuationSeparator/>
      </w:r>
    </w:p>
  </w:footnote>
  <w:footnote w:id="1">
    <w:p w:rsidR="001A5498" w:rsidRDefault="001A5498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6C0299"/>
    <w:multiLevelType w:val="hybridMultilevel"/>
    <w:tmpl w:val="B5E0FF56"/>
    <w:lvl w:ilvl="0" w:tplc="C02A922C">
      <w:start w:val="1"/>
      <w:numFmt w:val="bullet"/>
      <w:pStyle w:val="normalnsodrkami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1DC430A"/>
    <w:multiLevelType w:val="multilevel"/>
    <w:tmpl w:val="1080472A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7289F"/>
    <w:rsid w:val="00040205"/>
    <w:rsid w:val="00120D9D"/>
    <w:rsid w:val="001A5498"/>
    <w:rsid w:val="00266C9E"/>
    <w:rsid w:val="003108F3"/>
    <w:rsid w:val="003732E3"/>
    <w:rsid w:val="00393C11"/>
    <w:rsid w:val="00495CF2"/>
    <w:rsid w:val="00536ACB"/>
    <w:rsid w:val="005E1AE1"/>
    <w:rsid w:val="00601866"/>
    <w:rsid w:val="00612AA1"/>
    <w:rsid w:val="00820141"/>
    <w:rsid w:val="009035CF"/>
    <w:rsid w:val="009329F2"/>
    <w:rsid w:val="009664F6"/>
    <w:rsid w:val="00A378BE"/>
    <w:rsid w:val="00A85A90"/>
    <w:rsid w:val="00AD021D"/>
    <w:rsid w:val="00AE5BFB"/>
    <w:rsid w:val="00B7289F"/>
    <w:rsid w:val="00CA4585"/>
    <w:rsid w:val="00CA6FDE"/>
    <w:rsid w:val="00CC2917"/>
    <w:rsid w:val="00DB12EC"/>
    <w:rsid w:val="00E433D4"/>
    <w:rsid w:val="00ED3CB8"/>
    <w:rsid w:val="00F8644C"/>
    <w:rsid w:val="00FF4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A5498"/>
    <w:pPr>
      <w:jc w:val="both"/>
    </w:pPr>
    <w:rPr>
      <w:rFonts w:ascii="Arial" w:hAnsi="Arial"/>
      <w:szCs w:val="24"/>
    </w:rPr>
  </w:style>
  <w:style w:type="paragraph" w:styleId="Nadpis1">
    <w:name w:val="heading 1"/>
    <w:basedOn w:val="Normln"/>
    <w:next w:val="Normln"/>
    <w:qFormat/>
    <w:rsid w:val="001A5498"/>
    <w:pPr>
      <w:keepNext/>
      <w:spacing w:before="240" w:after="240"/>
      <w:outlineLvl w:val="0"/>
    </w:pPr>
    <w:rPr>
      <w:rFonts w:cs="Arial"/>
      <w:b/>
      <w:bCs/>
      <w:kern w:val="32"/>
      <w:sz w:val="24"/>
      <w:szCs w:val="32"/>
    </w:rPr>
  </w:style>
  <w:style w:type="paragraph" w:styleId="Nadpis2">
    <w:name w:val="heading 2"/>
    <w:basedOn w:val="Normln"/>
    <w:next w:val="Normln"/>
    <w:qFormat/>
    <w:rsid w:val="001A5498"/>
    <w:pPr>
      <w:keepNext/>
      <w:spacing w:before="240" w:after="240"/>
      <w:outlineLvl w:val="1"/>
    </w:pPr>
    <w:rPr>
      <w:rFonts w:cs="Arial"/>
      <w:b/>
      <w:bCs/>
      <w:iCs/>
      <w:szCs w:val="28"/>
    </w:rPr>
  </w:style>
  <w:style w:type="paragraph" w:styleId="Nadpis3">
    <w:name w:val="heading 3"/>
    <w:basedOn w:val="Normln"/>
    <w:next w:val="Normln"/>
    <w:qFormat/>
    <w:rsid w:val="001A5498"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Nadpis7">
    <w:name w:val="heading 7"/>
    <w:basedOn w:val="Normln"/>
    <w:next w:val="Normln"/>
    <w:qFormat/>
    <w:rsid w:val="001A5498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</w:tabs>
      <w:spacing w:before="40" w:after="240" w:line="1" w:lineRule="atLeast"/>
      <w:jc w:val="left"/>
      <w:outlineLvl w:val="6"/>
    </w:pPr>
    <w:rPr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1A5498"/>
    <w:pPr>
      <w:spacing w:before="240" w:after="240"/>
      <w:jc w:val="center"/>
      <w:outlineLvl w:val="0"/>
    </w:pPr>
    <w:rPr>
      <w:rFonts w:cs="Arial"/>
      <w:b/>
      <w:bCs/>
      <w:kern w:val="28"/>
      <w:sz w:val="28"/>
      <w:szCs w:val="32"/>
    </w:rPr>
  </w:style>
  <w:style w:type="paragraph" w:customStyle="1" w:styleId="normalnsodrkami">
    <w:name w:val="normalní s odrážkami"/>
    <w:basedOn w:val="Normln"/>
    <w:rsid w:val="001A5498"/>
    <w:pPr>
      <w:numPr>
        <w:numId w:val="3"/>
      </w:numPr>
    </w:pPr>
  </w:style>
  <w:style w:type="paragraph" w:styleId="Zpat">
    <w:name w:val="footer"/>
    <w:basedOn w:val="Normln"/>
    <w:semiHidden/>
    <w:rsid w:val="001A549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1A5498"/>
  </w:style>
  <w:style w:type="character" w:styleId="Hypertextovodkaz">
    <w:name w:val="Hyperlink"/>
    <w:semiHidden/>
    <w:rsid w:val="001A5498"/>
    <w:rPr>
      <w:color w:val="0000FF"/>
      <w:u w:val="single"/>
    </w:rPr>
  </w:style>
  <w:style w:type="paragraph" w:styleId="Textpoznpodarou">
    <w:name w:val="footnote text"/>
    <w:basedOn w:val="Normln"/>
    <w:semiHidden/>
    <w:rsid w:val="001A5498"/>
    <w:pPr>
      <w:jc w:val="left"/>
    </w:pPr>
    <w:rPr>
      <w:rFonts w:ascii="Times New Roman" w:hAnsi="Times New Roman"/>
      <w:szCs w:val="20"/>
    </w:rPr>
  </w:style>
  <w:style w:type="character" w:styleId="Znakapoznpodarou">
    <w:name w:val="footnote reference"/>
    <w:semiHidden/>
    <w:rsid w:val="001A549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547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METODIKA STATISTICKÉHO ZJIŠŤOVÁNÍ</vt:lpstr>
    </vt:vector>
  </TitlesOfParts>
  <Company>CSU</Company>
  <LinksUpToDate>false</LinksUpToDate>
  <CharactersWithSpaces>3774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METODIKA STATISTICKÉHO ZJIŠŤOVÁNÍ</dc:title>
  <dc:subject/>
  <dc:creator>Tannenbergerová</dc:creator>
  <cp:keywords/>
  <dc:description/>
  <cp:lastModifiedBy>tannenbergerova8528</cp:lastModifiedBy>
  <cp:revision>10</cp:revision>
  <cp:lastPrinted>2013-05-28T07:21:00Z</cp:lastPrinted>
  <dcterms:created xsi:type="dcterms:W3CDTF">2013-12-04T12:25:00Z</dcterms:created>
  <dcterms:modified xsi:type="dcterms:W3CDTF">2014-12-10T12:05:00Z</dcterms:modified>
</cp:coreProperties>
</file>